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25018E" wp14:paraId="3260F841" wp14:textId="3C23B835">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The purpose of this e-portfolio is to </w:t>
      </w:r>
      <w:r w:rsidRPr="74A0C5CB" w:rsidR="0D170B17">
        <w:rPr>
          <w:rFonts w:ascii="Aptos Display" w:hAnsi="Aptos Display" w:eastAsia="Aptos Display" w:cs="Aptos Display" w:asciiTheme="majorAscii" w:hAnsiTheme="majorAscii" w:eastAsiaTheme="majorAscii" w:cstheme="majorAscii"/>
          <w:noProof w:val="0"/>
          <w:sz w:val="24"/>
          <w:szCs w:val="24"/>
          <w:lang w:val="en-US"/>
        </w:rPr>
        <w:t>highlight</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the </w:t>
      </w:r>
      <w:r w:rsidRPr="74A0C5CB" w:rsidR="3417CBCE">
        <w:rPr>
          <w:rFonts w:ascii="Aptos Display" w:hAnsi="Aptos Display" w:eastAsia="Aptos Display" w:cs="Aptos Display" w:asciiTheme="majorAscii" w:hAnsiTheme="majorAscii" w:eastAsiaTheme="majorAscii" w:cstheme="majorAscii"/>
          <w:noProof w:val="0"/>
          <w:sz w:val="24"/>
          <w:szCs w:val="24"/>
          <w:lang w:val="en-US"/>
        </w:rPr>
        <w:t>various parts</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of contemporary challenges that we have looked at during this module, and to reflect on the key aspects of the course. This module has allowed me to critically engage in pressing issues on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different levels</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such as global, national, and local. There is a range of issues that we have looked at, such as climate change, political issues, society, etc. In this portfolio I will be sharing my reflections and learning outcomes from the different things we have done or looked at. </w:t>
      </w:r>
    </w:p>
    <w:p xmlns:wp14="http://schemas.microsoft.com/office/word/2010/wordml" w:rsidP="2625018E" wp14:paraId="6ECD9256" wp14:textId="7C7F5B19">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For this e-portfolio, I will explore the multifaceted impacts of global inequality and poverty that are related to Outdoor Adventure Education. I will examine the social implications of restricted access to OAE, highlight the international imbalances that shape participation, and </w:t>
      </w:r>
      <w:r w:rsidRPr="74A0C5CB" w:rsidR="7FCE3244">
        <w:rPr>
          <w:rFonts w:ascii="Aptos Display" w:hAnsi="Aptos Display" w:eastAsia="Aptos Display" w:cs="Aptos Display" w:asciiTheme="majorAscii" w:hAnsiTheme="majorAscii" w:eastAsiaTheme="majorAscii" w:cstheme="majorAscii"/>
          <w:noProof w:val="0"/>
          <w:sz w:val="24"/>
          <w:szCs w:val="24"/>
          <w:lang w:val="en-US"/>
        </w:rPr>
        <w:t>consider</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potential solutions for creating more inclusive outdoor learning opportunities. By trying to tackle these challenges, this portfolio underscores the need for equity-focused interventions to ensure that the benefits of OAE are accessible to all, regardless of socioeconomic status.</w:t>
      </w:r>
    </w:p>
    <w:p xmlns:wp14="http://schemas.microsoft.com/office/word/2010/wordml" w:rsidP="2625018E" wp14:paraId="2C078E63" wp14:textId="7C49E92E">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Social impacts of global inequalities and poverty are extensive, some of these impacts are limited access to basic needs, health inequities, and educational barriers. These impacts </w:t>
      </w:r>
      <w:r w:rsidRPr="74A0C5CB" w:rsidR="14DD8959">
        <w:rPr>
          <w:rFonts w:ascii="Aptos Display" w:hAnsi="Aptos Display" w:eastAsia="Aptos Display" w:cs="Aptos Display" w:asciiTheme="majorAscii" w:hAnsiTheme="majorAscii" w:eastAsiaTheme="majorAscii" w:cstheme="majorAscii"/>
          <w:noProof w:val="0"/>
          <w:sz w:val="24"/>
          <w:szCs w:val="24"/>
          <w:lang w:val="en-US"/>
        </w:rPr>
        <w:t>affect</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an individual’s quality of life and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exacerbate</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disparities within and between societies.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For the purpose of this portfolio, I will be linking the contemporary challenges I mention to my specific area of knowledge, Outdoor Adventure education.</w:t>
      </w:r>
    </w:p>
    <w:p w:rsidR="7D940BFC" w:rsidP="2625018E" w:rsidRDefault="7D940BFC" w14:paraId="2C450477" w14:textId="265EE71E">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Global inequalities and poverty remain among the most pressing issues around the world as the difference between rich and poor is ever growing. This issue </w:t>
      </w:r>
      <w:r w:rsidRPr="74A0C5CB" w:rsidR="555A98E6">
        <w:rPr>
          <w:rFonts w:ascii="Aptos Display" w:hAnsi="Aptos Display" w:eastAsia="Aptos Display" w:cs="Aptos Display" w:asciiTheme="majorAscii" w:hAnsiTheme="majorAscii" w:eastAsiaTheme="majorAscii" w:cstheme="majorAscii"/>
          <w:noProof w:val="0"/>
          <w:sz w:val="24"/>
          <w:szCs w:val="24"/>
          <w:lang w:val="en-US"/>
        </w:rPr>
        <w:t>affects</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nearly all</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aspects of life, including education, health, and social mobility. Global events such as the COVID-19 pandemic have emphasized these differences, making this topic highly relevant. Trying to tackle this issue involves addressing systematic problems and reviewing the efficiency of global efforts to reduce inequalities. In addition, it is a multifaceted challenge that integrates social,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economic</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and political dimensions, </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providing</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many opportunities for research. </w:t>
      </w:r>
    </w:p>
    <w:p w:rsidR="7D940BFC" w:rsidP="2625018E" w:rsidRDefault="7D940BFC" w14:paraId="73A8FC3A" w14:textId="0D841A1D">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2625018E" w:rsidR="7D940BFC">
        <w:rPr>
          <w:rFonts w:ascii="Aptos Display" w:hAnsi="Aptos Display" w:eastAsia="Aptos Display" w:cs="Aptos Display" w:asciiTheme="majorAscii" w:hAnsiTheme="majorAscii" w:eastAsiaTheme="majorAscii" w:cstheme="majorAscii"/>
          <w:noProof w:val="0"/>
          <w:sz w:val="24"/>
          <w:szCs w:val="24"/>
          <w:lang w:val="en-US"/>
        </w:rPr>
        <w:t xml:space="preserve">Outdoor Adventure Education is one often overlooked area where these disparities are found. As a transformative learning approach, OAE helps with personal development, teamwork, and resilience through activities in natural settings. While Outdoor Adventure Education has the potential to empower individuals and bridge social divides, its benefits </w:t>
      </w:r>
      <w:r w:rsidRPr="2625018E" w:rsidR="7D940BFC">
        <w:rPr>
          <w:rFonts w:ascii="Aptos Display" w:hAnsi="Aptos Display" w:eastAsia="Aptos Display" w:cs="Aptos Display" w:asciiTheme="majorAscii" w:hAnsiTheme="majorAscii" w:eastAsiaTheme="majorAscii" w:cstheme="majorAscii"/>
          <w:noProof w:val="0"/>
          <w:sz w:val="24"/>
          <w:szCs w:val="24"/>
          <w:lang w:val="en-US"/>
        </w:rPr>
        <w:t>remain</w:t>
      </w:r>
      <w:r w:rsidRPr="2625018E" w:rsidR="7D940BFC">
        <w:rPr>
          <w:rFonts w:ascii="Aptos Display" w:hAnsi="Aptos Display" w:eastAsia="Aptos Display" w:cs="Aptos Display" w:asciiTheme="majorAscii" w:hAnsiTheme="majorAscii" w:eastAsiaTheme="majorAscii" w:cstheme="majorAscii"/>
          <w:noProof w:val="0"/>
          <w:sz w:val="24"/>
          <w:szCs w:val="24"/>
          <w:lang w:val="en-US"/>
        </w:rPr>
        <w:t xml:space="preserve"> disproportionately available to those in affluent communities, leaving disadvantaged populations excluded.</w:t>
      </w:r>
    </w:p>
    <w:p w:rsidR="7D940BFC" w:rsidP="2625018E" w:rsidRDefault="7D940BFC" w14:paraId="0379637D" w14:textId="50A5E16E">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The intersection of global inequality and poverty with OAE raises critical questions about equity, accessibility, and representation. For many individuals in low-income situations, barriers such as financial constraints, lack of infrastructure, and cultural disconnects prevent them from accessing the transformative experiences that Outdoor Adventure Education provides. Furthermore, systematic disparities in education funding and resource allocation </w:t>
      </w:r>
      <w:r w:rsidRPr="74A0C5CB" w:rsidR="4A9DA1A3">
        <w:rPr>
          <w:rFonts w:ascii="Aptos Display" w:hAnsi="Aptos Display" w:eastAsia="Aptos Display" w:cs="Aptos Display" w:asciiTheme="majorAscii" w:hAnsiTheme="majorAscii" w:eastAsiaTheme="majorAscii" w:cstheme="majorAscii"/>
          <w:noProof w:val="0"/>
          <w:sz w:val="24"/>
          <w:szCs w:val="24"/>
          <w:lang w:val="en-US"/>
        </w:rPr>
        <w:t>make</w:t>
      </w:r>
      <w:r w:rsidRPr="74A0C5CB" w:rsidR="7D940BFC">
        <w:rPr>
          <w:rFonts w:ascii="Aptos Display" w:hAnsi="Aptos Display" w:eastAsia="Aptos Display" w:cs="Aptos Display" w:asciiTheme="majorAscii" w:hAnsiTheme="majorAscii" w:eastAsiaTheme="majorAscii" w:cstheme="majorAscii"/>
          <w:noProof w:val="0"/>
          <w:sz w:val="24"/>
          <w:szCs w:val="24"/>
          <w:lang w:val="en-US"/>
        </w:rPr>
        <w:t xml:space="preserve"> these issues more prevalent, limiting the ability of marginalized groups to engage in outdoor learning.</w:t>
      </w:r>
    </w:p>
    <w:p w:rsidR="2625018E" w:rsidP="2625018E" w:rsidRDefault="2625018E" w14:paraId="7F0637CC" w14:textId="2397FC28">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p>
    <w:p w:rsidR="2625018E" w:rsidP="2625018E" w:rsidRDefault="2625018E" w14:paraId="4B01622B" w14:textId="7E1F28A7">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p>
    <w:p w:rsidR="458248C9" w:rsidP="2625018E" w:rsidRDefault="458248C9" w14:paraId="3E7ADF6A" w14:textId="7D2656DF">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2625018E" w:rsidR="458248C9">
        <w:rPr>
          <w:rFonts w:ascii="Aptos Display" w:hAnsi="Aptos Display" w:eastAsia="Aptos Display" w:cs="Aptos Display" w:asciiTheme="majorAscii" w:hAnsiTheme="majorAscii" w:eastAsiaTheme="majorAscii" w:cstheme="majorAscii"/>
          <w:noProof w:val="0"/>
          <w:sz w:val="24"/>
          <w:szCs w:val="24"/>
          <w:lang w:val="en-US"/>
        </w:rPr>
        <w:t xml:space="preserve">Inequality and poverty have deep historical roots and persist as significant challenges in contemporary society. These systematic issues shape access to OAE and its outcomes, reinforcing differences in education, health, and social opportunities. Here, I will explore the historical context and current manifestations of inequality and poverty, with a heavy focus on their impact withing an OAE setting. </w:t>
      </w:r>
    </w:p>
    <w:p w:rsidR="458248C9" w:rsidP="2625018E" w:rsidRDefault="458248C9" w14:paraId="3A1B8BB6" w14:textId="4B6BF641">
      <w:pPr>
        <w:pStyle w:val="Normal"/>
        <w:spacing w:before="0" w:beforeAutospacing="off" w:after="160" w:afterAutospacing="off" w:line="276" w:lineRule="auto"/>
      </w:pPr>
      <w:r w:rsidRPr="2625018E" w:rsidR="458248C9">
        <w:rPr>
          <w:rFonts w:ascii="Aptos Display" w:hAnsi="Aptos Display" w:eastAsia="Aptos Display" w:cs="Aptos Display" w:asciiTheme="majorAscii" w:hAnsiTheme="majorAscii" w:eastAsiaTheme="majorAscii" w:cstheme="majorAscii"/>
          <w:noProof w:val="0"/>
          <w:sz w:val="24"/>
          <w:szCs w:val="24"/>
          <w:lang w:val="en-US"/>
        </w:rPr>
        <w:t xml:space="preserve"> </w:t>
      </w:r>
      <w:r w:rsidR="6ADACAB6">
        <w:drawing>
          <wp:inline wp14:editId="2906D664" wp14:anchorId="5F726A8C">
            <wp:extent cx="2857500" cy="4572000"/>
            <wp:effectExtent l="0" t="0" r="0" b="0"/>
            <wp:docPr id="20518481" name="" title=""/>
            <wp:cNvGraphicFramePr>
              <a:graphicFrameLocks noChangeAspect="1"/>
            </wp:cNvGraphicFramePr>
            <a:graphic>
              <a:graphicData uri="http://schemas.openxmlformats.org/drawingml/2006/picture">
                <pic:pic>
                  <pic:nvPicPr>
                    <pic:cNvPr id="0" name=""/>
                    <pic:cNvPicPr/>
                  </pic:nvPicPr>
                  <pic:blipFill>
                    <a:blip r:embed="R5f8f52293f8d41dd">
                      <a:extLst>
                        <a:ext xmlns:a="http://schemas.openxmlformats.org/drawingml/2006/main" uri="{28A0092B-C50C-407E-A947-70E740481C1C}">
                          <a14:useLocalDpi val="0"/>
                        </a:ext>
                      </a:extLst>
                    </a:blip>
                    <a:stretch>
                      <a:fillRect/>
                    </a:stretch>
                  </pic:blipFill>
                  <pic:spPr>
                    <a:xfrm>
                      <a:off x="0" y="0"/>
                      <a:ext cx="2857500" cy="4572000"/>
                    </a:xfrm>
                    <a:prstGeom prst="rect">
                      <a:avLst/>
                    </a:prstGeom>
                  </pic:spPr>
                </pic:pic>
              </a:graphicData>
            </a:graphic>
          </wp:inline>
        </w:drawing>
      </w:r>
    </w:p>
    <w:p w:rsidR="458248C9" w:rsidP="3BA767A6" w:rsidRDefault="458248C9" w14:paraId="462AE551" w14:textId="3F946EAE">
      <w:pPr>
        <w:spacing w:before="0" w:beforeAutospacing="off" w:after="160" w:afterAutospacing="off" w:line="276" w:lineRule="auto"/>
        <w:jc w:val="both"/>
        <w:rPr>
          <w:rFonts w:ascii="Aptos Display" w:hAnsi="Aptos Display" w:eastAsia="Aptos Display" w:cs="Aptos Display" w:asciiTheme="majorAscii" w:hAnsiTheme="majorAscii" w:eastAsiaTheme="majorAscii" w:cstheme="majorAscii"/>
          <w:noProof w:val="0"/>
          <w:sz w:val="24"/>
          <w:szCs w:val="24"/>
          <w:lang w:val="en-US"/>
        </w:rPr>
      </w:pPr>
    </w:p>
    <w:p w:rsidR="458248C9" w:rsidP="2625018E" w:rsidRDefault="458248C9" w14:paraId="7220EF27" w14:textId="6CFF466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74A0C5CB" w:rsidR="458248C9">
        <w:rPr>
          <w:rFonts w:ascii="Aptos Display" w:hAnsi="Aptos Display" w:eastAsia="Aptos Display" w:cs="Aptos Display" w:asciiTheme="majorAscii" w:hAnsiTheme="majorAscii" w:eastAsiaTheme="majorAscii" w:cstheme="majorAscii"/>
          <w:noProof w:val="0"/>
          <w:sz w:val="24"/>
          <w:szCs w:val="24"/>
          <w:lang w:val="en-US"/>
        </w:rPr>
        <w:t>‘Play for peace is a group of people united by a dream of peace for our children – today and tomorrow – and guided by our mission and core values.’ (play for peace, 2024). Play serves as a universal language that brings people together, fostering learning and connection. It opens opportunities to celebrate differences, form friendships, and focus on what unites us rather than what separates us. As a tool for experiential learning, play becomes a powerful catalyst for breaking down barriers and inspiring individuals from diverse cultures to connect. As groups grow through this shared experience, they transition "beyond play," incorporating community service learning to collaboratively address and solve community challenges.</w:t>
      </w:r>
    </w:p>
    <w:p w:rsidR="74A0C5CB" w:rsidP="74A0C5CB" w:rsidRDefault="74A0C5CB" w14:paraId="7EDDCACC" w14:textId="78C47CE2">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p>
    <w:p w:rsidR="74A0C5CB" w:rsidP="74A0C5CB" w:rsidRDefault="74A0C5CB" w14:paraId="48FEC486" w14:textId="0C63ECFE">
      <w:pPr>
        <w:pStyle w:val="Normal"/>
        <w:spacing w:before="240" w:beforeAutospacing="off" w:after="240" w:afterAutospacing="off"/>
      </w:pPr>
      <w:r w:rsidR="74A0C5CB">
        <w:drawing>
          <wp:anchor distT="0" distB="0" distL="114300" distR="114300" simplePos="0" relativeHeight="251658240" behindDoc="0" locked="0" layoutInCell="1" allowOverlap="1" wp14:editId="29AFA6AC" wp14:anchorId="0FBE0291">
            <wp:simplePos x="0" y="0"/>
            <wp:positionH relativeFrom="column">
              <wp:align>left</wp:align>
            </wp:positionH>
            <wp:positionV relativeFrom="paragraph">
              <wp:posOffset>0</wp:posOffset>
            </wp:positionV>
            <wp:extent cx="4359018" cy="2334970"/>
            <wp:effectExtent l="0" t="0" r="0" b="0"/>
            <wp:wrapSquare wrapText="bothSides"/>
            <wp:docPr id="1458292096" name="" title=""/>
            <wp:cNvGraphicFramePr>
              <a:graphicFrameLocks noChangeAspect="1"/>
            </wp:cNvGraphicFramePr>
            <a:graphic>
              <a:graphicData uri="http://schemas.openxmlformats.org/drawingml/2006/picture">
                <pic:pic>
                  <pic:nvPicPr>
                    <pic:cNvPr id="0" name=""/>
                    <pic:cNvPicPr/>
                  </pic:nvPicPr>
                  <pic:blipFill>
                    <a:blip r:embed="R0c5dc0c5aae648a4">
                      <a:extLst>
                        <a:ext xmlns:a="http://schemas.openxmlformats.org/drawingml/2006/main" uri="{28A0092B-C50C-407E-A947-70E740481C1C}">
                          <a14:useLocalDpi val="0"/>
                        </a:ext>
                      </a:extLst>
                    </a:blip>
                    <a:stretch>
                      <a:fillRect/>
                    </a:stretch>
                  </pic:blipFill>
                  <pic:spPr>
                    <a:xfrm>
                      <a:off x="0" y="0"/>
                      <a:ext cx="4359018" cy="2334970"/>
                    </a:xfrm>
                    <a:prstGeom prst="rect">
                      <a:avLst/>
                    </a:prstGeom>
                  </pic:spPr>
                </pic:pic>
              </a:graphicData>
            </a:graphic>
            <wp14:sizeRelH relativeFrom="page">
              <wp14:pctWidth>0</wp14:pctWidth>
            </wp14:sizeRelH>
            <wp14:sizeRelV relativeFrom="page">
              <wp14:pctHeight>0</wp14:pctHeight>
            </wp14:sizeRelV>
          </wp:anchor>
        </w:drawing>
      </w:r>
    </w:p>
    <w:p w:rsidR="458248C9" w:rsidP="2625018E" w:rsidRDefault="458248C9" w14:paraId="099AE2C2" w14:textId="2C5676AD">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Play for peace </w:t>
      </w:r>
      <w:r w:rsidRPr="74A0C5CB" w:rsidR="0930D8CE">
        <w:rPr>
          <w:rFonts w:ascii="Aptos Display" w:hAnsi="Aptos Display" w:eastAsia="Aptos Display" w:cs="Aptos Display" w:asciiTheme="majorAscii" w:hAnsiTheme="majorAscii" w:eastAsiaTheme="majorAscii" w:cstheme="majorAscii"/>
          <w:noProof w:val="0"/>
          <w:sz w:val="24"/>
          <w:szCs w:val="24"/>
          <w:lang w:val="en-US"/>
        </w:rPr>
        <w:t>looks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to gain an outcome that transforms communities, empowers younger generations, and builds lasting bridges across divides. They have achieved outcomes creating laughter, compassion, and connection between communities.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Play for peace </w:t>
      </w:r>
      <w:r w:rsidRPr="74A0C5CB" w:rsidR="61F0E916">
        <w:rPr>
          <w:rFonts w:ascii="Aptos Display" w:hAnsi="Aptos Display" w:eastAsia="Aptos Display" w:cs="Aptos Display" w:asciiTheme="majorAscii" w:hAnsiTheme="majorAscii" w:eastAsiaTheme="majorAscii" w:cstheme="majorAscii"/>
          <w:noProof w:val="0"/>
          <w:sz w:val="24"/>
          <w:szCs w:val="24"/>
          <w:lang w:val="en-US"/>
        </w:rPr>
        <w:t>has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managed to have activities located in 31 countries around the world, and have over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1 million children</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youth and adults participating.</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Play for Peace </w:t>
      </w:r>
      <w:r w:rsidRPr="74A0C5CB" w:rsidR="5F3C9D5E">
        <w:rPr>
          <w:rFonts w:ascii="Aptos Display" w:hAnsi="Aptos Display" w:eastAsia="Aptos Display" w:cs="Aptos Display" w:asciiTheme="majorAscii" w:hAnsiTheme="majorAscii" w:eastAsiaTheme="majorAscii" w:cstheme="majorAscii"/>
          <w:noProof w:val="0"/>
          <w:sz w:val="24"/>
          <w:szCs w:val="24"/>
          <w:lang w:val="en-US"/>
        </w:rPr>
        <w:t>envisions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w:t>
      </w:r>
      <w:r w:rsidRPr="74A0C5CB" w:rsidR="4A836A3C">
        <w:rPr>
          <w:rFonts w:ascii="Aptos Display" w:hAnsi="Aptos Display" w:eastAsia="Aptos Display" w:cs="Aptos Display" w:asciiTheme="majorAscii" w:hAnsiTheme="majorAscii" w:eastAsiaTheme="majorAscii" w:cstheme="majorAscii"/>
          <w:noProof w:val="0"/>
          <w:sz w:val="24"/>
          <w:szCs w:val="24"/>
          <w:lang w:val="en-US"/>
        </w:rPr>
        <w:t xml:space="preserve">a </w:t>
      </w:r>
      <w:r w:rsidRPr="74A0C5CB" w:rsidR="5AD7C42D">
        <w:rPr>
          <w:rFonts w:ascii="Aptos Display" w:hAnsi="Aptos Display" w:eastAsia="Aptos Display" w:cs="Aptos Display" w:asciiTheme="majorAscii" w:hAnsiTheme="majorAscii" w:eastAsiaTheme="majorAscii" w:cstheme="majorAscii"/>
          <w:noProof w:val="0"/>
          <w:sz w:val="24"/>
          <w:szCs w:val="24"/>
          <w:lang w:val="en-US"/>
        </w:rPr>
        <w:t>future</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where every community, no matter how divided or challenged, has the opportunity to thrive through the power of compassionate play. </w:t>
      </w:r>
    </w:p>
    <w:p w:rsidR="11F3E2A4" w:rsidP="74A0C5CB" w:rsidRDefault="11F3E2A4" w14:paraId="502923C6" w14:textId="7D326BAF">
      <w:pPr>
        <w:pStyle w:val="Normal"/>
        <w:spacing w:before="240" w:beforeAutospacing="off" w:after="240" w:afterAutospacing="off"/>
      </w:pPr>
      <w:r w:rsidR="11F3E2A4">
        <w:drawing>
          <wp:inline wp14:editId="5E572A25" wp14:anchorId="77E8608C">
            <wp:extent cx="5826125" cy="1177363"/>
            <wp:effectExtent l="0" t="0" r="0" b="0"/>
            <wp:docPr id="338131370" name="" title=""/>
            <wp:cNvGraphicFramePr>
              <a:graphicFrameLocks noChangeAspect="1"/>
            </wp:cNvGraphicFramePr>
            <a:graphic>
              <a:graphicData uri="http://schemas.openxmlformats.org/drawingml/2006/picture">
                <pic:pic>
                  <pic:nvPicPr>
                    <pic:cNvPr id="0" name=""/>
                    <pic:cNvPicPr/>
                  </pic:nvPicPr>
                  <pic:blipFill>
                    <a:blip r:embed="R7c14519920b84295">
                      <a:extLst>
                        <a:ext xmlns:a="http://schemas.openxmlformats.org/drawingml/2006/main" uri="{28A0092B-C50C-407E-A947-70E740481C1C}">
                          <a14:useLocalDpi val="0"/>
                        </a:ext>
                      </a:extLst>
                    </a:blip>
                    <a:stretch>
                      <a:fillRect/>
                    </a:stretch>
                  </pic:blipFill>
                  <pic:spPr>
                    <a:xfrm>
                      <a:off x="0" y="0"/>
                      <a:ext cx="5826125" cy="1177363"/>
                    </a:xfrm>
                    <a:prstGeom prst="rect">
                      <a:avLst/>
                    </a:prstGeom>
                  </pic:spPr>
                </pic:pic>
              </a:graphicData>
            </a:graphic>
          </wp:inline>
        </w:drawing>
      </w:r>
    </w:p>
    <w:p w:rsidR="458248C9" w:rsidP="2625018E" w:rsidRDefault="458248C9" w14:paraId="00E2324A" w14:textId="4C36C28B">
      <w:pPr>
        <w:spacing w:before="0" w:beforeAutospacing="off" w:after="160" w:afterAutospacing="off" w:line="276" w:lineRule="auto"/>
        <w:jc w:val="both"/>
        <w:rPr>
          <w:rFonts w:ascii="Aptos Display" w:hAnsi="Aptos Display" w:eastAsia="Aptos Display" w:cs="Aptos Display" w:asciiTheme="majorAscii" w:hAnsiTheme="majorAscii" w:eastAsiaTheme="majorAscii" w:cstheme="majorAscii"/>
          <w:noProof w:val="0"/>
          <w:sz w:val="24"/>
          <w:szCs w:val="24"/>
          <w:lang w:val="en-US"/>
        </w:rPr>
      </w:pPr>
      <w:r w:rsidRPr="2625018E" w:rsidR="458248C9">
        <w:rPr>
          <w:rFonts w:ascii="Aptos Display" w:hAnsi="Aptos Display" w:eastAsia="Aptos Display" w:cs="Aptos Display" w:asciiTheme="majorAscii" w:hAnsiTheme="majorAscii" w:eastAsiaTheme="majorAscii" w:cstheme="majorAscii"/>
          <w:noProof w:val="0"/>
          <w:sz w:val="24"/>
          <w:szCs w:val="24"/>
          <w:lang w:val="en-US"/>
        </w:rPr>
        <w:t xml:space="preserve"> </w:t>
      </w:r>
    </w:p>
    <w:p w:rsidR="458248C9" w:rsidP="2625018E" w:rsidRDefault="458248C9" w14:paraId="02797397" w14:textId="386D1C03">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color w:val="FF0000"/>
          <w:sz w:val="24"/>
          <w:szCs w:val="24"/>
          <w:lang w:val="en-US"/>
        </w:rPr>
      </w:pPr>
      <w:r w:rsidRPr="2625018E" w:rsidR="458248C9">
        <w:rPr>
          <w:rFonts w:ascii="Aptos Display" w:hAnsi="Aptos Display" w:eastAsia="Aptos Display" w:cs="Aptos Display" w:asciiTheme="majorAscii" w:hAnsiTheme="majorAscii" w:eastAsiaTheme="majorAscii" w:cstheme="majorAscii"/>
          <w:noProof w:val="0"/>
          <w:color w:val="FF0000"/>
          <w:sz w:val="24"/>
          <w:szCs w:val="24"/>
          <w:lang w:val="en-US"/>
        </w:rPr>
        <w:t xml:space="preserve"> </w:t>
      </w:r>
    </w:p>
    <w:p w:rsidR="458248C9" w:rsidP="2625018E" w:rsidRDefault="458248C9" w14:paraId="5EAFBB05" w14:textId="1996F148">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Tonic surf therapy is a Welsh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bases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outdoor adventure therapy. Tonic Surf Therapy </w:t>
      </w:r>
      <w:r w:rsidRPr="74A0C5CB" w:rsidR="20253C83">
        <w:rPr>
          <w:rFonts w:ascii="Aptos Display" w:hAnsi="Aptos Display" w:eastAsia="Aptos Display" w:cs="Aptos Display" w:asciiTheme="majorAscii" w:hAnsiTheme="majorAscii" w:eastAsiaTheme="majorAscii" w:cstheme="majorAscii"/>
          <w:noProof w:val="0"/>
          <w:sz w:val="24"/>
          <w:szCs w:val="24"/>
          <w:lang w:val="en-US"/>
        </w:rPr>
        <w:t>is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an ocean-based project in Wales, using </w:t>
      </w:r>
      <w:r w:rsidRPr="74A0C5CB" w:rsidR="3693081A">
        <w:rPr>
          <w:rFonts w:ascii="Aptos Display" w:hAnsi="Aptos Display" w:eastAsia="Aptos Display" w:cs="Aptos Display" w:asciiTheme="majorAscii" w:hAnsiTheme="majorAscii" w:eastAsiaTheme="majorAscii" w:cstheme="majorAscii"/>
          <w:noProof w:val="0"/>
          <w:sz w:val="24"/>
          <w:szCs w:val="24"/>
          <w:lang w:val="en-US"/>
        </w:rPr>
        <w:t>surfing</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and beach environments as a recovery tool. They work with individuals on the mental health spectrum, people with disabilities, and more to help them through life. They run various 10 weeklong courses, aiming to tailor them to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each </w:t>
      </w:r>
      <w:r w:rsidRPr="74A0C5CB" w:rsidR="666C5191">
        <w:rPr>
          <w:rFonts w:ascii="Aptos Display" w:hAnsi="Aptos Display" w:eastAsia="Aptos Display" w:cs="Aptos Display" w:asciiTheme="majorAscii" w:hAnsiTheme="majorAscii" w:eastAsiaTheme="majorAscii" w:cstheme="majorAscii"/>
          <w:noProof w:val="0"/>
          <w:sz w:val="24"/>
          <w:szCs w:val="24"/>
          <w:lang w:val="en-US"/>
        </w:rPr>
        <w:t>individual's</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needs. They have had major success with this project over their 8 years of delivering these courses and have a high success rate with students aged 8-80. By getting people out into nature any way possible, it is extremely beneficial to physical health and mental health and wellbeing. By also making surfing accessible to all, it goes to show that when the effort is </w:t>
      </w:r>
      <w:r w:rsidRPr="74A0C5CB" w:rsidR="40F43507">
        <w:rPr>
          <w:rFonts w:ascii="Aptos Display" w:hAnsi="Aptos Display" w:eastAsia="Aptos Display" w:cs="Aptos Display" w:asciiTheme="majorAscii" w:hAnsiTheme="majorAscii" w:eastAsiaTheme="majorAscii" w:cstheme="majorAscii"/>
          <w:noProof w:val="0"/>
          <w:sz w:val="24"/>
          <w:szCs w:val="24"/>
          <w:lang w:val="en-US"/>
        </w:rPr>
        <w:t>put in</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it, everyone can feel welcome in an outdoor environment. </w:t>
      </w:r>
    </w:p>
    <w:p w:rsidR="458248C9" w:rsidP="2625018E" w:rsidRDefault="458248C9" w14:paraId="363327C8" w14:textId="0F051A3D">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2625018E" w:rsidR="458248C9">
        <w:rPr>
          <w:rFonts w:ascii="Aptos Display" w:hAnsi="Aptos Display" w:eastAsia="Aptos Display" w:cs="Aptos Display" w:asciiTheme="majorAscii" w:hAnsiTheme="majorAscii" w:eastAsiaTheme="majorAscii" w:cstheme="majorAscii"/>
          <w:noProof w:val="0"/>
          <w:sz w:val="24"/>
          <w:szCs w:val="24"/>
          <w:lang w:val="en-US"/>
        </w:rPr>
        <w:t xml:space="preserve"> </w:t>
      </w:r>
    </w:p>
    <w:p w:rsidR="458248C9" w:rsidP="2625018E" w:rsidRDefault="458248C9" w14:paraId="7C955D50" w14:textId="7E21EB1C">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For our collaborative piece, we decided to think of all the things we talked about on our visit to SERO in Carmarthen. SERO is a community-based environment </w:t>
      </w:r>
      <w:r w:rsidRPr="74A0C5CB" w:rsidR="2FF46C8C">
        <w:rPr>
          <w:rFonts w:ascii="Aptos Display" w:hAnsi="Aptos Display" w:eastAsia="Aptos Display" w:cs="Aptos Display" w:asciiTheme="majorAscii" w:hAnsiTheme="majorAscii" w:eastAsiaTheme="majorAscii" w:cstheme="majorAscii"/>
          <w:noProof w:val="0"/>
          <w:sz w:val="24"/>
          <w:szCs w:val="24"/>
          <w:lang w:val="en-US"/>
        </w:rPr>
        <w:t>center</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located</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in Carmarthen town. On our visit, we were told about what sort of things they do to support the community. These were things such as a ‘New 2 You’ clothes swap section, a library of things, a seed library, and more. The aim they have with all these aspects is that it will reduce the amount of waste and create a strong community. </w:t>
      </w:r>
    </w:p>
    <w:p w:rsidR="458248C9" w:rsidP="2625018E" w:rsidRDefault="458248C9" w14:paraId="198EE2A0" w14:textId="082A4F95">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While at SERO, we also talked about the ministry of imagination. For our collaborative piece, we made sure to include some drawings that we thought would best </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represent</w:t>
      </w:r>
      <w:r w:rsidRPr="74A0C5CB" w:rsidR="458248C9">
        <w:rPr>
          <w:rFonts w:ascii="Aptos Display" w:hAnsi="Aptos Display" w:eastAsia="Aptos Display" w:cs="Aptos Display" w:asciiTheme="majorAscii" w:hAnsiTheme="majorAscii" w:eastAsiaTheme="majorAscii" w:cstheme="majorAscii"/>
          <w:noProof w:val="0"/>
          <w:sz w:val="24"/>
          <w:szCs w:val="24"/>
          <w:lang w:val="en-US"/>
        </w:rPr>
        <w:t xml:space="preserve"> imagination.</w:t>
      </w:r>
    </w:p>
    <w:p w:rsidR="74A0C5CB" w:rsidP="74A0C5CB" w:rsidRDefault="74A0C5CB" w14:paraId="602914C2" w14:textId="3761FA8F">
      <w:pPr>
        <w:spacing w:before="0" w:beforeAutospacing="off" w:after="160" w:afterAutospacing="off" w:line="276" w:lineRule="auto"/>
        <w:rPr>
          <w:rFonts w:ascii="Aptos Display" w:hAnsi="Aptos Display" w:eastAsia="Aptos Display" w:cs="Aptos Display" w:asciiTheme="majorAscii" w:hAnsiTheme="majorAscii" w:eastAsiaTheme="majorAscii" w:cstheme="majorAscii"/>
          <w:noProof w:val="0"/>
          <w:sz w:val="24"/>
          <w:szCs w:val="24"/>
          <w:lang w:val="en-US"/>
        </w:rPr>
      </w:pPr>
    </w:p>
    <w:p w:rsidR="1B160A2B" w:rsidP="74A0C5CB" w:rsidRDefault="1B160A2B" w14:paraId="572BFDCC" w14:textId="027DC303">
      <w:pPr>
        <w:pStyle w:val="Normal"/>
        <w:spacing w:before="0" w:beforeAutospacing="off" w:after="160" w:afterAutospacing="off" w:line="276" w:lineRule="auto"/>
      </w:pPr>
      <w:r w:rsidR="1B160A2B">
        <w:drawing>
          <wp:inline wp14:editId="59EABD20" wp14:anchorId="25BC777B">
            <wp:extent cx="3395766" cy="2261812"/>
            <wp:effectExtent l="0" t="0" r="0" b="0"/>
            <wp:docPr id="1187246815" name="" title=""/>
            <wp:cNvGraphicFramePr>
              <a:graphicFrameLocks noChangeAspect="1"/>
            </wp:cNvGraphicFramePr>
            <a:graphic>
              <a:graphicData uri="http://schemas.openxmlformats.org/drawingml/2006/picture">
                <pic:pic>
                  <pic:nvPicPr>
                    <pic:cNvPr id="0" name=""/>
                    <pic:cNvPicPr/>
                  </pic:nvPicPr>
                  <pic:blipFill>
                    <a:blip r:embed="Rcae40ed32484458b">
                      <a:extLst>
                        <a:ext xmlns:a="http://schemas.openxmlformats.org/drawingml/2006/main" uri="{28A0092B-C50C-407E-A947-70E740481C1C}">
                          <a14:useLocalDpi val="0"/>
                        </a:ext>
                      </a:extLst>
                    </a:blip>
                    <a:stretch>
                      <a:fillRect/>
                    </a:stretch>
                  </pic:blipFill>
                  <pic:spPr>
                    <a:xfrm>
                      <a:off x="0" y="0"/>
                      <a:ext cx="3395766" cy="2261812"/>
                    </a:xfrm>
                    <a:prstGeom prst="rect">
                      <a:avLst/>
                    </a:prstGeom>
                  </pic:spPr>
                </pic:pic>
              </a:graphicData>
            </a:graphic>
          </wp:inline>
        </w:drawing>
      </w:r>
    </w:p>
    <w:p w:rsidR="2625018E" w:rsidP="2625018E" w:rsidRDefault="2625018E" w14:paraId="61B492C0" w14:textId="33DD14C6">
      <w:pPr>
        <w:spacing w:before="0" w:beforeAutospacing="off" w:after="160" w:afterAutospacing="off" w:line="276" w:lineRule="auto"/>
        <w:rPr>
          <w:rFonts w:ascii="Aptos Display" w:hAnsi="Aptos Display" w:eastAsia="Aptos Display" w:cs="Aptos Display"/>
          <w:noProof w:val="0"/>
          <w:sz w:val="24"/>
          <w:szCs w:val="24"/>
          <w:lang w:val="en-US"/>
        </w:rPr>
      </w:pPr>
    </w:p>
    <w:p w:rsidR="3151E8E9" w:rsidP="2625018E" w:rsidRDefault="3151E8E9" w14:paraId="5AA300A8" w14:textId="4151B7D0">
      <w:pPr>
        <w:spacing w:before="0" w:beforeAutospacing="off" w:after="160" w:afterAutospacing="off" w:line="276" w:lineRule="auto"/>
      </w:pPr>
      <w:r w:rsidRPr="2625018E" w:rsidR="3151E8E9">
        <w:rPr>
          <w:rFonts w:ascii="Aptos" w:hAnsi="Aptos" w:eastAsia="Aptos" w:cs="Aptos"/>
          <w:noProof w:val="0"/>
          <w:sz w:val="24"/>
          <w:szCs w:val="24"/>
          <w:lang w:val="en-US"/>
        </w:rPr>
        <w:t>Reference List</w:t>
      </w:r>
    </w:p>
    <w:p w:rsidR="3151E8E9" w:rsidP="2625018E" w:rsidRDefault="3151E8E9" w14:paraId="21115282" w14:textId="780D0322">
      <w:pPr>
        <w:spacing w:before="0" w:beforeAutospacing="off" w:after="160" w:afterAutospacing="off" w:line="276" w:lineRule="auto"/>
      </w:pPr>
      <w:r w:rsidRPr="2625018E" w:rsidR="3151E8E9">
        <w:rPr>
          <w:rFonts w:ascii="Aptos" w:hAnsi="Aptos" w:eastAsia="Aptos" w:cs="Aptos"/>
          <w:noProof w:val="0"/>
          <w:sz w:val="24"/>
          <w:szCs w:val="24"/>
          <w:lang w:val="en-US"/>
        </w:rPr>
        <w:t>Beames, S., &amp; Brown, M. (2016). Adventurous learning: A pedagogy for a changing world. Routledge.</w:t>
      </w:r>
    </w:p>
    <w:p w:rsidR="3151E8E9" w:rsidP="2625018E" w:rsidRDefault="3151E8E9" w14:paraId="07007F2A" w14:textId="080D1875">
      <w:pPr>
        <w:spacing w:before="0" w:beforeAutospacing="off" w:after="160" w:afterAutospacing="off" w:line="276" w:lineRule="auto"/>
      </w:pPr>
      <w:r w:rsidRPr="2625018E" w:rsidR="3151E8E9">
        <w:rPr>
          <w:rFonts w:ascii="Aptos" w:hAnsi="Aptos" w:eastAsia="Aptos" w:cs="Aptos"/>
          <w:noProof w:val="0"/>
          <w:sz w:val="24"/>
          <w:szCs w:val="24"/>
          <w:lang w:val="en-US"/>
        </w:rPr>
        <w:t>Ewert, A.W., Sibthorp,J. (2014). Outdoor adventure education, foundations, theory, and research. Leeds, United Kingdom: Human Kinetics. p.N.A.</w:t>
      </w:r>
    </w:p>
    <w:p w:rsidR="3151E8E9" w:rsidP="2625018E" w:rsidRDefault="3151E8E9" w14:paraId="512D67F7" w14:textId="2D31C4DD">
      <w:pPr>
        <w:spacing w:before="0" w:beforeAutospacing="off" w:after="160" w:afterAutospacing="off" w:line="276" w:lineRule="auto"/>
      </w:pPr>
      <w:r w:rsidRPr="2625018E" w:rsidR="3151E8E9">
        <w:rPr>
          <w:rFonts w:ascii="Aptos" w:hAnsi="Aptos" w:eastAsia="Aptos" w:cs="Aptos"/>
          <w:noProof w:val="0"/>
          <w:sz w:val="24"/>
          <w:szCs w:val="24"/>
          <w:lang w:val="en-US"/>
        </w:rPr>
        <w:t>Louv, R. (2012). The Nature Principle: Reconnecting with Life in a Virtual Age. Algonquin Books.</w:t>
      </w:r>
    </w:p>
    <w:p w:rsidR="3151E8E9" w:rsidP="2625018E" w:rsidRDefault="3151E8E9" w14:paraId="4ADDF9A9" w14:textId="7AFB791D">
      <w:pPr>
        <w:spacing w:before="0" w:beforeAutospacing="off" w:after="160" w:afterAutospacing="off" w:line="276" w:lineRule="auto"/>
      </w:pPr>
      <w:r w:rsidRPr="2625018E" w:rsidR="3151E8E9">
        <w:rPr>
          <w:rFonts w:ascii="Aptos" w:hAnsi="Aptos" w:eastAsia="Aptos" w:cs="Aptos"/>
          <w:noProof w:val="0"/>
          <w:sz w:val="24"/>
          <w:szCs w:val="24"/>
          <w:lang w:val="en-US"/>
        </w:rPr>
        <w:t xml:space="preserve">Priest, S., Gass, M. A. (2018). Effective Leadership in Adventure Programming. 3rd ed. Illinois, USA: Human Kinetics. </w:t>
      </w:r>
    </w:p>
    <w:p w:rsidR="3151E8E9" w:rsidP="2625018E" w:rsidRDefault="3151E8E9" w14:paraId="06C52A5E" w14:textId="11081817">
      <w:pPr>
        <w:spacing w:before="0" w:beforeAutospacing="off" w:after="160" w:afterAutospacing="off" w:line="276" w:lineRule="auto"/>
      </w:pPr>
      <w:r w:rsidRPr="2625018E" w:rsidR="3151E8E9">
        <w:rPr>
          <w:rFonts w:ascii="Aptos" w:hAnsi="Aptos" w:eastAsia="Aptos" w:cs="Aptos"/>
          <w:noProof w:val="0"/>
          <w:sz w:val="24"/>
          <w:szCs w:val="24"/>
          <w:lang w:val="en-US"/>
        </w:rPr>
        <w:t xml:space="preserve">Play for Peace. (2024). Impact of our Work. [Online]. Play for Peace. Available at: </w:t>
      </w:r>
      <w:hyperlink r:id="R13cb6f789ad3432e">
        <w:r w:rsidRPr="2625018E" w:rsidR="3151E8E9">
          <w:rPr>
            <w:rStyle w:val="Hyperlink"/>
            <w:rFonts w:ascii="Aptos" w:hAnsi="Aptos" w:eastAsia="Aptos" w:cs="Aptos"/>
            <w:noProof w:val="0"/>
            <w:sz w:val="24"/>
            <w:szCs w:val="24"/>
            <w:lang w:val="en-US"/>
          </w:rPr>
          <w:t>https://playforpeace.org/impact</w:t>
        </w:r>
      </w:hyperlink>
      <w:r w:rsidRPr="2625018E" w:rsidR="3151E8E9">
        <w:rPr>
          <w:rFonts w:ascii="Aptos" w:hAnsi="Aptos" w:eastAsia="Aptos" w:cs="Aptos"/>
          <w:noProof w:val="0"/>
          <w:sz w:val="24"/>
          <w:szCs w:val="24"/>
          <w:lang w:val="en-US"/>
        </w:rPr>
        <w:t xml:space="preserve"> [Accessed 26 November 2024].</w:t>
      </w:r>
    </w:p>
    <w:p w:rsidR="3151E8E9" w:rsidP="2625018E" w:rsidRDefault="3151E8E9" w14:paraId="05B0219C" w14:textId="6E5DB7A6">
      <w:pPr>
        <w:spacing w:before="0" w:beforeAutospacing="off" w:after="160" w:afterAutospacing="off" w:line="276" w:lineRule="auto"/>
      </w:pPr>
      <w:r w:rsidRPr="2625018E" w:rsidR="3151E8E9">
        <w:rPr>
          <w:rFonts w:ascii="Aptos" w:hAnsi="Aptos" w:eastAsia="Aptos" w:cs="Aptos"/>
          <w:noProof w:val="0"/>
          <w:sz w:val="24"/>
          <w:szCs w:val="24"/>
          <w:lang w:val="en-US"/>
        </w:rPr>
        <w:t xml:space="preserve">Play For Peace. (2024). Our Outcomes. [Online]. Play For Peace. Available at: </w:t>
      </w:r>
      <w:hyperlink r:id="R91e7f9bee48243d1">
        <w:r w:rsidRPr="2625018E" w:rsidR="3151E8E9">
          <w:rPr>
            <w:rStyle w:val="Hyperlink"/>
            <w:rFonts w:ascii="Aptos" w:hAnsi="Aptos" w:eastAsia="Aptos" w:cs="Aptos"/>
            <w:noProof w:val="0"/>
            <w:sz w:val="24"/>
            <w:szCs w:val="24"/>
            <w:lang w:val="en-US"/>
          </w:rPr>
          <w:t>https://playforpeace.org/outcomes</w:t>
        </w:r>
      </w:hyperlink>
      <w:r w:rsidRPr="2625018E" w:rsidR="3151E8E9">
        <w:rPr>
          <w:rFonts w:ascii="Aptos" w:hAnsi="Aptos" w:eastAsia="Aptos" w:cs="Aptos"/>
          <w:noProof w:val="0"/>
          <w:sz w:val="24"/>
          <w:szCs w:val="24"/>
          <w:lang w:val="en-US"/>
        </w:rPr>
        <w:t xml:space="preserve"> [Accessed 27 November 2024].</w:t>
      </w:r>
    </w:p>
    <w:p w:rsidR="3151E8E9" w:rsidP="2625018E" w:rsidRDefault="3151E8E9" w14:paraId="43041E1C" w14:textId="6D48AD05">
      <w:pPr>
        <w:spacing w:before="0" w:beforeAutospacing="off" w:after="160" w:afterAutospacing="off" w:line="276" w:lineRule="auto"/>
      </w:pPr>
      <w:r w:rsidRPr="2625018E" w:rsidR="3151E8E9">
        <w:rPr>
          <w:rFonts w:ascii="Aptos" w:hAnsi="Aptos" w:eastAsia="Aptos" w:cs="Aptos"/>
          <w:noProof w:val="0"/>
          <w:sz w:val="24"/>
          <w:szCs w:val="24"/>
          <w:lang w:val="en-US"/>
        </w:rPr>
        <w:t xml:space="preserve">Rodney, W. (1972). How Europe Underdeveloped Africa. United Kingdom: Bogle-L'Ouverture Publications. </w:t>
      </w:r>
    </w:p>
    <w:p w:rsidR="3151E8E9" w:rsidP="2625018E" w:rsidRDefault="3151E8E9" w14:paraId="5A0142A0" w14:textId="76BF38CA">
      <w:pPr>
        <w:spacing w:before="0" w:beforeAutospacing="off" w:after="160" w:afterAutospacing="off" w:line="276" w:lineRule="auto"/>
      </w:pPr>
      <w:hyperlink r:id="Rf8e5fe37ee7943d9">
        <w:r w:rsidRPr="2625018E" w:rsidR="3151E8E9">
          <w:rPr>
            <w:rStyle w:val="Hyperlink"/>
            <w:rFonts w:ascii="Aptos" w:hAnsi="Aptos" w:eastAsia="Aptos" w:cs="Aptos"/>
            <w:strike w:val="0"/>
            <w:dstrike w:val="0"/>
            <w:noProof w:val="0"/>
            <w:color w:val="467886"/>
            <w:sz w:val="24"/>
            <w:szCs w:val="24"/>
            <w:u w:val="single"/>
            <w:lang w:val="en-US"/>
          </w:rPr>
          <w:t>https://wwamh.org.uk/portfolio/dafydd-millns-outdoor-adventure-and-its-role-in-health-and-wellbeing/</w:t>
        </w:r>
      </w:hyperlink>
    </w:p>
    <w:p w:rsidR="3151E8E9" w:rsidP="2625018E" w:rsidRDefault="3151E8E9" w14:paraId="7A6FF66D" w14:textId="5305D259">
      <w:pPr>
        <w:spacing w:before="0" w:beforeAutospacing="off" w:after="160" w:afterAutospacing="off" w:line="276" w:lineRule="auto"/>
      </w:pPr>
      <w:hyperlink r:id="Rcfecf9539bc943ef">
        <w:r w:rsidRPr="2625018E" w:rsidR="3151E8E9">
          <w:rPr>
            <w:rStyle w:val="Hyperlink"/>
            <w:rFonts w:ascii="Aptos" w:hAnsi="Aptos" w:eastAsia="Aptos" w:cs="Aptos"/>
            <w:strike w:val="0"/>
            <w:dstrike w:val="0"/>
            <w:noProof w:val="0"/>
            <w:color w:val="467886"/>
            <w:sz w:val="24"/>
            <w:szCs w:val="24"/>
            <w:u w:val="single"/>
            <w:lang w:val="en-US"/>
          </w:rPr>
          <w:t>https://www.clynfyw.co.uk/tonic-surf-therapy/</w:t>
        </w:r>
      </w:hyperlink>
    </w:p>
    <w:p w:rsidR="3151E8E9" w:rsidP="2625018E" w:rsidRDefault="3151E8E9" w14:paraId="2AB9E553" w14:textId="45C45921">
      <w:pPr>
        <w:spacing w:before="0" w:beforeAutospacing="off" w:after="160" w:afterAutospacing="off" w:line="276" w:lineRule="auto"/>
      </w:pPr>
      <w:hyperlink r:id="Reacc139b6daf450c">
        <w:r w:rsidRPr="2625018E" w:rsidR="3151E8E9">
          <w:rPr>
            <w:rStyle w:val="Hyperlink"/>
            <w:rFonts w:ascii="Aptos" w:hAnsi="Aptos" w:eastAsia="Aptos" w:cs="Aptos"/>
            <w:strike w:val="0"/>
            <w:dstrike w:val="0"/>
            <w:noProof w:val="0"/>
            <w:color w:val="467886"/>
            <w:sz w:val="24"/>
            <w:szCs w:val="24"/>
            <w:u w:val="single"/>
            <w:lang w:val="en-US"/>
          </w:rPr>
          <w:t>https://sero.org.uk/</w:t>
        </w:r>
      </w:hyperlink>
      <w:r w:rsidRPr="2625018E" w:rsidR="3151E8E9">
        <w:rPr>
          <w:rFonts w:ascii="Aptos" w:hAnsi="Aptos" w:eastAsia="Aptos" w:cs="Aptos"/>
          <w:noProof w:val="0"/>
          <w:sz w:val="24"/>
          <w:szCs w:val="24"/>
          <w:lang w:val="en-US"/>
        </w:rPr>
        <w:t xml:space="preserve"> </w:t>
      </w:r>
    </w:p>
    <w:p w:rsidR="3151E8E9" w:rsidP="2625018E" w:rsidRDefault="3151E8E9" w14:paraId="0A1F645A" w14:textId="02A356AB">
      <w:pPr>
        <w:spacing w:before="0" w:beforeAutospacing="off" w:after="160" w:afterAutospacing="off" w:line="276" w:lineRule="auto"/>
      </w:pPr>
      <w:r w:rsidRPr="2625018E" w:rsidR="3151E8E9">
        <w:rPr>
          <w:rFonts w:ascii="Aptos" w:hAnsi="Aptos" w:eastAsia="Aptos" w:cs="Aptos"/>
          <w:noProof w:val="0"/>
          <w:sz w:val="24"/>
          <w:szCs w:val="24"/>
          <w:lang w:val="en-US"/>
        </w:rPr>
        <w:t xml:space="preserve"> </w:t>
      </w:r>
    </w:p>
    <w:p w:rsidR="3151E8E9" w:rsidP="2625018E" w:rsidRDefault="3151E8E9" w14:paraId="52027EAC" w14:textId="44E3EA7A">
      <w:pPr>
        <w:spacing w:before="0" w:beforeAutospacing="off" w:after="160" w:afterAutospacing="off" w:line="276" w:lineRule="auto"/>
      </w:pPr>
      <w:r w:rsidRPr="2625018E" w:rsidR="3151E8E9">
        <w:rPr>
          <w:rFonts w:ascii="Aptos" w:hAnsi="Aptos" w:eastAsia="Aptos" w:cs="Aptos"/>
          <w:noProof w:val="0"/>
          <w:sz w:val="24"/>
          <w:szCs w:val="24"/>
          <w:lang w:val="en-US"/>
        </w:rPr>
        <w:t>AI was used to help create a structure for this portfolio and to come up with ideas for the infographic on the history of outdoor adventure inequalities.</w:t>
      </w:r>
    </w:p>
    <w:p w:rsidR="2625018E" w:rsidRDefault="2625018E" w14:paraId="4A202918" w14:textId="4DBDF504"/>
    <w:sectPr>
      <w:pgSz w:w="12240" w:h="15840" w:orient="portrait"/>
      <w:pgMar w:top="1440" w:right="1440" w:bottom="1440" w:left="1440" w:header="720" w:footer="720" w:gutter="0"/>
      <w:cols w:space="720"/>
      <w:docGrid w:linePitch="360"/>
      <w:headerReference w:type="default" r:id="Rafc10fa907e244af"/>
      <w:footerReference w:type="default" r:id="Rbd3b3cebaeaf48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A0C5CB" w:rsidTr="74A0C5CB" w14:paraId="27CCCA56">
      <w:trPr>
        <w:trHeight w:val="300"/>
      </w:trPr>
      <w:tc>
        <w:tcPr>
          <w:tcW w:w="3120" w:type="dxa"/>
          <w:tcMar/>
        </w:tcPr>
        <w:p w:rsidR="74A0C5CB" w:rsidP="74A0C5CB" w:rsidRDefault="74A0C5CB" w14:paraId="0F641D36" w14:textId="74B1F6B8">
          <w:pPr>
            <w:pStyle w:val="Header"/>
            <w:bidi w:val="0"/>
            <w:ind w:left="-115"/>
            <w:jc w:val="left"/>
          </w:pPr>
        </w:p>
      </w:tc>
      <w:tc>
        <w:tcPr>
          <w:tcW w:w="3120" w:type="dxa"/>
          <w:tcMar/>
        </w:tcPr>
        <w:p w:rsidR="74A0C5CB" w:rsidP="74A0C5CB" w:rsidRDefault="74A0C5CB" w14:paraId="321B3E9C" w14:textId="406736F6">
          <w:pPr>
            <w:pStyle w:val="Header"/>
            <w:bidi w:val="0"/>
            <w:jc w:val="center"/>
          </w:pPr>
        </w:p>
      </w:tc>
      <w:tc>
        <w:tcPr>
          <w:tcW w:w="3120" w:type="dxa"/>
          <w:tcMar/>
        </w:tcPr>
        <w:p w:rsidR="74A0C5CB" w:rsidP="74A0C5CB" w:rsidRDefault="74A0C5CB" w14:paraId="3E2D037C" w14:textId="06B3B7F2">
          <w:pPr>
            <w:pStyle w:val="Header"/>
            <w:bidi w:val="0"/>
            <w:ind w:right="-115"/>
            <w:jc w:val="right"/>
          </w:pPr>
        </w:p>
      </w:tc>
    </w:tr>
  </w:tbl>
  <w:p w:rsidR="74A0C5CB" w:rsidP="74A0C5CB" w:rsidRDefault="74A0C5CB" w14:paraId="1B46459E" w14:textId="56ECD8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A0C5CB" w:rsidTr="74A0C5CB" w14:paraId="4734338A">
      <w:trPr>
        <w:trHeight w:val="300"/>
      </w:trPr>
      <w:tc>
        <w:tcPr>
          <w:tcW w:w="3120" w:type="dxa"/>
          <w:tcMar/>
        </w:tcPr>
        <w:p w:rsidR="74A0C5CB" w:rsidP="74A0C5CB" w:rsidRDefault="74A0C5CB" w14:paraId="1F7F17B9" w14:textId="45E4AEB4">
          <w:pPr>
            <w:pStyle w:val="Header"/>
            <w:bidi w:val="0"/>
            <w:ind w:left="-115"/>
            <w:jc w:val="left"/>
          </w:pPr>
          <w:r w:rsidR="74A0C5CB">
            <w:rPr/>
            <w:t>Isobel Francis</w:t>
          </w:r>
        </w:p>
      </w:tc>
      <w:tc>
        <w:tcPr>
          <w:tcW w:w="3120" w:type="dxa"/>
          <w:tcMar/>
        </w:tcPr>
        <w:p w:rsidR="74A0C5CB" w:rsidP="74A0C5CB" w:rsidRDefault="74A0C5CB" w14:paraId="2DDBF304" w14:textId="0C049F12">
          <w:pPr>
            <w:pStyle w:val="Header"/>
            <w:bidi w:val="0"/>
            <w:jc w:val="center"/>
          </w:pPr>
          <w:r w:rsidR="74A0C5CB">
            <w:rPr/>
            <w:t>2400292</w:t>
          </w:r>
        </w:p>
      </w:tc>
      <w:tc>
        <w:tcPr>
          <w:tcW w:w="3120" w:type="dxa"/>
          <w:tcMar/>
        </w:tcPr>
        <w:p w:rsidR="74A0C5CB" w:rsidP="74A0C5CB" w:rsidRDefault="74A0C5CB" w14:paraId="2CAB09F9" w14:textId="575AF33D">
          <w:pPr>
            <w:pStyle w:val="Header"/>
            <w:bidi w:val="0"/>
            <w:ind w:right="-115"/>
            <w:jc w:val="right"/>
          </w:pPr>
          <w:r w:rsidR="74A0C5CB">
            <w:rPr/>
            <w:t>BMSS4009</w:t>
          </w:r>
        </w:p>
      </w:tc>
    </w:tr>
  </w:tbl>
  <w:p w:rsidR="74A0C5CB" w:rsidP="74A0C5CB" w:rsidRDefault="74A0C5CB" w14:paraId="7C6A51CF" w14:textId="3F4D0AA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CE6498"/>
    <w:rsid w:val="0930D8CE"/>
    <w:rsid w:val="0C835FC2"/>
    <w:rsid w:val="0D170B17"/>
    <w:rsid w:val="11F3E2A4"/>
    <w:rsid w:val="14DD8959"/>
    <w:rsid w:val="1B160A2B"/>
    <w:rsid w:val="1B99C7B1"/>
    <w:rsid w:val="20253C83"/>
    <w:rsid w:val="2625018E"/>
    <w:rsid w:val="26D9C51E"/>
    <w:rsid w:val="2734D018"/>
    <w:rsid w:val="2FF46C8C"/>
    <w:rsid w:val="30833ECE"/>
    <w:rsid w:val="30A68AD5"/>
    <w:rsid w:val="3151E8E9"/>
    <w:rsid w:val="3417CBCE"/>
    <w:rsid w:val="3693081A"/>
    <w:rsid w:val="398FE725"/>
    <w:rsid w:val="3B89EE0C"/>
    <w:rsid w:val="3BA767A6"/>
    <w:rsid w:val="40F43507"/>
    <w:rsid w:val="458248C9"/>
    <w:rsid w:val="47850078"/>
    <w:rsid w:val="4A836A3C"/>
    <w:rsid w:val="4A9DA1A3"/>
    <w:rsid w:val="555A98E6"/>
    <w:rsid w:val="5AD7C42D"/>
    <w:rsid w:val="5D99641E"/>
    <w:rsid w:val="5F3C9D5E"/>
    <w:rsid w:val="61F0E916"/>
    <w:rsid w:val="6560128F"/>
    <w:rsid w:val="666C5191"/>
    <w:rsid w:val="66B652A6"/>
    <w:rsid w:val="66CE6498"/>
    <w:rsid w:val="6930D308"/>
    <w:rsid w:val="6ADACAB6"/>
    <w:rsid w:val="6EACC03D"/>
    <w:rsid w:val="7118B853"/>
    <w:rsid w:val="74A0C5CB"/>
    <w:rsid w:val="77CCDFE8"/>
    <w:rsid w:val="7D940BFC"/>
    <w:rsid w:val="7FCE32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6498"/>
  <w15:chartTrackingRefBased/>
  <w15:docId w15:val="{A24DA5DD-9320-4C4A-AB9A-D136487DB5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layforpeace.org/impact" TargetMode="External" Id="R13cb6f789ad3432e" /><Relationship Type="http://schemas.openxmlformats.org/officeDocument/2006/relationships/hyperlink" Target="https://playforpeace.org/outcomes" TargetMode="External" Id="R91e7f9bee48243d1" /><Relationship Type="http://schemas.openxmlformats.org/officeDocument/2006/relationships/hyperlink" Target="https://wwamh.org.uk/portfolio/dafydd-millns-outdoor-adventure-and-its-role-in-health-and-wellbeing/" TargetMode="External" Id="Rf8e5fe37ee7943d9" /><Relationship Type="http://schemas.openxmlformats.org/officeDocument/2006/relationships/hyperlink" Target="https://www.clynfyw.co.uk/tonic-surf-therapy/" TargetMode="External" Id="Rcfecf9539bc943ef" /><Relationship Type="http://schemas.openxmlformats.org/officeDocument/2006/relationships/hyperlink" Target="https://sero.org.uk/" TargetMode="External" Id="Reacc139b6daf450c" /><Relationship Type="http://schemas.openxmlformats.org/officeDocument/2006/relationships/image" Target="/media/image2.png" Id="R5f8f52293f8d41dd" /><Relationship Type="http://schemas.openxmlformats.org/officeDocument/2006/relationships/image" Target="/media/image3.png" Id="R0c5dc0c5aae648a4" /><Relationship Type="http://schemas.openxmlformats.org/officeDocument/2006/relationships/image" Target="/media/image4.png" Id="R7c14519920b84295" /><Relationship Type="http://schemas.openxmlformats.org/officeDocument/2006/relationships/image" Target="/media/image5.png" Id="Rcae40ed32484458b" /><Relationship Type="http://schemas.openxmlformats.org/officeDocument/2006/relationships/header" Target="header.xml" Id="Rafc10fa907e244af" /><Relationship Type="http://schemas.openxmlformats.org/officeDocument/2006/relationships/footer" Target="footer.xml" Id="Rbd3b3cebaeaf48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2024-12-06T13:29:12.5768842Z</dcterms:created>
  <dcterms:modified xsi:type="dcterms:W3CDTF">2024-12-06T13:51:00.1238249Z</dcterms:modified>
  <dc:creator>Izzie Francis (2400292)</dc:creator>
  <lastModifiedBy>Izzie Francis (2400292)</lastModifiedBy>
</coreProperties>
</file>