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jc w:val="center"/>
        <w:rPr>
          <w:rFonts w:ascii="Cambria" w:cs="Cambria" w:eastAsia="Cambria" w:hAnsi="Cambria"/>
          <w:sz w:val="36"/>
          <w:szCs w:val="36"/>
          <w:u w:val="single"/>
        </w:rPr>
      </w:pPr>
      <w:r w:rsidDel="00000000" w:rsidR="00000000" w:rsidRPr="00000000">
        <w:rPr>
          <w:rFonts w:ascii="Cambria" w:cs="Cambria" w:eastAsia="Cambria" w:hAnsi="Cambria"/>
          <w:sz w:val="36"/>
          <w:szCs w:val="36"/>
          <w:u w:val="single"/>
          <w:rtl w:val="0"/>
        </w:rPr>
        <w:t xml:space="preserve">Ethan Reed-1807846</w:t>
      </w:r>
    </w:p>
    <w:p w:rsidR="00000000" w:rsidDel="00000000" w:rsidP="00000000" w:rsidRDefault="00000000" w:rsidRPr="00000000" w14:paraId="00000001">
      <w:pPr>
        <w:jc w:val="center"/>
        <w:rPr>
          <w:rFonts w:ascii="Cambria" w:cs="Cambria" w:eastAsia="Cambria" w:hAnsi="Cambria"/>
          <w:color w:val="ff0000"/>
          <w:u w:val="single"/>
        </w:rPr>
      </w:pPr>
      <w:r w:rsidDel="00000000" w:rsidR="00000000" w:rsidRPr="00000000">
        <w:rPr>
          <w:rFonts w:ascii="Cambria" w:cs="Cambria" w:eastAsia="Cambria" w:hAnsi="Cambria"/>
          <w:sz w:val="36"/>
          <w:szCs w:val="36"/>
          <w:u w:val="single"/>
          <w:rtl w:val="0"/>
        </w:rPr>
        <w:t xml:space="preserve">Essay</w:t>
      </w:r>
      <w:r w:rsidDel="00000000" w:rsidR="00000000" w:rsidRPr="00000000">
        <w:rPr>
          <w:rtl w:val="0"/>
        </w:rPr>
      </w:r>
    </w:p>
    <w:p w:rsidR="00000000" w:rsidDel="00000000" w:rsidP="00000000" w:rsidRDefault="00000000" w:rsidRPr="00000000" w14:paraId="00000002">
      <w:pPr>
        <w:spacing w:line="360" w:lineRule="auto"/>
        <w:rPr>
          <w:rFonts w:ascii="Cambria" w:cs="Cambria" w:eastAsia="Cambria" w:hAnsi="Cambria"/>
          <w:i w:val="1"/>
        </w:rPr>
      </w:pPr>
      <w:r w:rsidDel="00000000" w:rsidR="00000000" w:rsidRPr="00000000">
        <w:rPr>
          <w:rFonts w:ascii="Cambria" w:cs="Cambria" w:eastAsia="Cambria" w:hAnsi="Cambria"/>
          <w:rtl w:val="0"/>
        </w:rPr>
        <w:t xml:space="preserve">Communication is defined by Munodawafa (2008) as an exchange of information using verbal or non-verbal means taking place between two or more people. Counselling is defined by Bor, et al (2009) as an interaction, within a therapeutic context, that seeks to outline a client or patient’s issue and put it into a workable format from which solutions can arise. There are numerous theories and approaches towards counselling and communication, each with their own strengths, drawbacks and applicability in certain scenarios. Because of this variety of approaches, it is the responsibility of each professional to choose which work best in their settings. The BACP ethical framework (BACP, 2019a) is a set of guidelines that members of the BACP are required to follow, they outline ethical considerations, a guide for good practice and a guide for building client-counsellor relationships. In this assignment, three counselling theories; Person-centred, Cognitive Behavioural Therapy and Psychodynamic will be evaluated and contrasted against one-another, the BACP ethical guidelines will also be assessed within the frame of professional counselling, and lastly, an appraisal of how counselling and communication are valued within nursing practice.</w:t>
      </w:r>
      <w:r w:rsidDel="00000000" w:rsidR="00000000" w:rsidRPr="00000000">
        <w:rPr>
          <w:rtl w:val="0"/>
        </w:rPr>
      </w:r>
    </w:p>
    <w:p w:rsidR="00000000" w:rsidDel="00000000" w:rsidP="00000000" w:rsidRDefault="00000000" w:rsidRPr="00000000" w14:paraId="00000003">
      <w:pPr>
        <w:spacing w:line="360" w:lineRule="auto"/>
        <w:rPr>
          <w:rFonts w:ascii="Cambria" w:cs="Cambria" w:eastAsia="Cambria" w:hAnsi="Cambria"/>
          <w:color w:val="ff9900"/>
        </w:rPr>
      </w:pPr>
      <w:r w:rsidDel="00000000" w:rsidR="00000000" w:rsidRPr="00000000">
        <w:rPr>
          <w:rFonts w:ascii="Cambria" w:cs="Cambria" w:eastAsia="Cambria" w:hAnsi="Cambria"/>
          <w:rtl w:val="0"/>
        </w:rPr>
        <w:t xml:space="preserve">According to the The Person Centred Association (2018), Person-centred therapy is a therapeutic approach that focuses on a non-direction, self healing and facilitation. This means that the client is being their own therapist and working through their issues as they see fit. For this approach, therapists take on the role of facilitators rather than directors, directing discussions in a passive manner which aids clients in a sort of self actualisation. Therapists who use this method are especially concerned with being non-judgemental in order to create a more productive therapeutic space. Branch and Wilson (2010) describe Cognitive Behavioural Therapy (CBT) as a psychotherapeutic method which focuses on the methods behind the thinking process and how this affects people’s actions. It encourages a healthy way of thinking in order to boost both productivity and and happiness, and attempts this through steering people away from negative thought-to-feeling patterns. According to UKPC (2019), psychodynamic therapy is an analytical therapeutic approach which focuses itself on making clients aware of the effects of past experiences and the state of unconscious on shaping their current outlooks and ideas. The therapy seeks to dismantle issues by having clients express their thoughts and ideas about their different relationships, both past and present, to the therapist. The therapist in this approach is considered an ‘empty slate’ for the client, and keeps their own thoughts separate. Through analysis of a client’s relationships, and discussion of said relationships, hopefully the root cause of the client’s issue is made evident.</w:t>
      </w:r>
      <w:r w:rsidDel="00000000" w:rsidR="00000000" w:rsidRPr="00000000">
        <w:rPr>
          <w:rtl w:val="0"/>
        </w:rPr>
      </w:r>
    </w:p>
    <w:p w:rsidR="00000000" w:rsidDel="00000000" w:rsidP="00000000" w:rsidRDefault="00000000" w:rsidRPr="00000000" w14:paraId="00000004">
      <w:pPr>
        <w:spacing w:line="360" w:lineRule="auto"/>
        <w:rPr>
          <w:rFonts w:ascii="Cambria" w:cs="Cambria" w:eastAsia="Cambria" w:hAnsi="Cambria"/>
          <w:color w:val="ff9900"/>
        </w:rPr>
      </w:pPr>
      <w:r w:rsidDel="00000000" w:rsidR="00000000" w:rsidRPr="00000000">
        <w:rPr>
          <w:rFonts w:ascii="Cambria" w:cs="Cambria" w:eastAsia="Cambria" w:hAnsi="Cambria"/>
          <w:rtl w:val="0"/>
        </w:rPr>
        <w:t xml:space="preserve">According to McLeod (2017) psychodynamic therapy bases itself upon the works of Sigmund Freud, with influences from Jung, Erikson and Adler. This means that its core assumptions are that human consciousness comes in three layers; conscious, pre-conscious and unconscious, and seeks the underlying experiences causing a client’s problem in order to derive understanding from them. This draws some similarity to CBT, which also uses the experiences of clients as a means of divulging understanding, albeit using this information in a more directive way that gives the client a way to move forward.</w:t>
      </w:r>
      <w:r w:rsidDel="00000000" w:rsidR="00000000" w:rsidRPr="00000000">
        <w:rPr>
          <w:rtl w:val="0"/>
        </w:rPr>
      </w:r>
    </w:p>
    <w:p w:rsidR="00000000" w:rsidDel="00000000" w:rsidP="00000000" w:rsidRDefault="00000000" w:rsidRPr="00000000" w14:paraId="00000005">
      <w:pPr>
        <w:spacing w:line="360" w:lineRule="auto"/>
        <w:rPr>
          <w:rFonts w:ascii="Cambria" w:cs="Cambria" w:eastAsia="Cambria" w:hAnsi="Cambria"/>
        </w:rPr>
      </w:pPr>
      <w:r w:rsidDel="00000000" w:rsidR="00000000" w:rsidRPr="00000000">
        <w:rPr>
          <w:rFonts w:ascii="Cambria" w:cs="Cambria" w:eastAsia="Cambria" w:hAnsi="Cambria"/>
          <w:rtl w:val="0"/>
        </w:rPr>
        <w:t xml:space="preserve">According to the BACP (2019b), counsellors utilising Person-centred therapy take a non-directive role and are expected to act as a facilitator for the client’s growth. Facilitating growth and development is a result of the core conditions of the person centred approach (Gillian, 2007), it provides the client with a non-judgemental space which fosters self-improvement through reflection and clarification of feelings. This contrasts with CBT, which requires a more cooperative relationship between counsellor and client, the client providing information on their problems and the counsellor providing methods for improvement</w:t>
      </w:r>
      <w:r w:rsidDel="00000000" w:rsidR="00000000" w:rsidRPr="00000000">
        <w:rPr>
          <w:rFonts w:ascii="Cambria" w:cs="Cambria" w:eastAsia="Cambria" w:hAnsi="Cambria"/>
          <w:rtl w:val="0"/>
        </w:rPr>
        <w:t xml:space="preserve"> based on analysis of information as well as guiding the client through the breakdown of their issues.</w:t>
      </w:r>
    </w:p>
    <w:p w:rsidR="00000000" w:rsidDel="00000000" w:rsidP="00000000" w:rsidRDefault="00000000" w:rsidRPr="00000000" w14:paraId="00000006">
      <w:pPr>
        <w:spacing w:line="360" w:lineRule="auto"/>
        <w:rPr>
          <w:rFonts w:ascii="Cambria" w:cs="Cambria" w:eastAsia="Cambria" w:hAnsi="Cambria"/>
        </w:rPr>
      </w:pPr>
      <w:r w:rsidDel="00000000" w:rsidR="00000000" w:rsidRPr="00000000">
        <w:rPr>
          <w:rFonts w:ascii="Cambria" w:cs="Cambria" w:eastAsia="Cambria" w:hAnsi="Cambria"/>
          <w:rtl w:val="0"/>
        </w:rPr>
        <w:t xml:space="preserve">CBT can be ideal for clients with a ranging set of conditions and issues, as the Royal College of Psychiatrists (2015) write how Cognitive Behavioural therapy can help clients suffering from anxiety disorders, depressive episodes, obsessive compulsive disorder, post-traumatic stress disorder, bulimia and more.</w:t>
      </w:r>
    </w:p>
    <w:p w:rsidR="00000000" w:rsidDel="00000000" w:rsidP="00000000" w:rsidRDefault="00000000" w:rsidRPr="00000000" w14:paraId="00000007">
      <w:pPr>
        <w:spacing w:line="360" w:lineRule="auto"/>
        <w:rPr>
          <w:rFonts w:ascii="Cambria" w:cs="Cambria" w:eastAsia="Cambria" w:hAnsi="Cambria"/>
          <w:color w:val="00b800"/>
          <w:u w:val="single"/>
        </w:rPr>
      </w:pPr>
      <w:r w:rsidDel="00000000" w:rsidR="00000000" w:rsidRPr="00000000">
        <w:rPr>
          <w:rFonts w:ascii="Cambria" w:cs="Cambria" w:eastAsia="Cambria" w:hAnsi="Cambria"/>
          <w:rtl w:val="0"/>
        </w:rPr>
        <w:t xml:space="preserve">Person-centred therapy can treat many similar mental conditions, though it also is used for issues arising from sudden change such as loss, anger-management and transition (First Psychology Edinburgh, 2019). Although Hawtin (2000) writes that there is a limitation to who can benefit from Person-centred therapy, the limitation exists in people with very extreme mental illnesses like severe depression, schizophrenia and psychosis. The best clients for this therapy are those who feel they can be active in their therapeutic process. While .(Leave this at the end) Hawtin (2000) states that there are even clients that counsellors should not work with, not because of the client’s condition or temperament, but because of the limitations of the counsellor.</w:t>
      </w:r>
      <w:r w:rsidDel="00000000" w:rsidR="00000000" w:rsidRPr="00000000">
        <w:rPr>
          <w:rtl w:val="0"/>
        </w:rPr>
      </w:r>
    </w:p>
    <w:p w:rsidR="00000000" w:rsidDel="00000000" w:rsidP="00000000" w:rsidRDefault="00000000" w:rsidRPr="00000000" w14:paraId="00000008">
      <w:pPr>
        <w:spacing w:line="360" w:lineRule="auto"/>
        <w:rPr>
          <w:rFonts w:ascii="Cambria" w:cs="Cambria" w:eastAsia="Cambria" w:hAnsi="Cambria"/>
        </w:rPr>
      </w:pPr>
      <w:r w:rsidDel="00000000" w:rsidR="00000000" w:rsidRPr="00000000">
        <w:rPr>
          <w:rFonts w:ascii="Cambria" w:cs="Cambria" w:eastAsia="Cambria" w:hAnsi="Cambria"/>
          <w:rtl w:val="0"/>
        </w:rPr>
        <w:t xml:space="preserve">According to the BACP (2019a), the BACP ethical framework states the standards that all BACP members must adhere to: Client commitment, Ethical guidelines and Standards of good practice. In regards to client commitment, the framework highlights that fostering a trusting relationship between clients and counsellors is important in encouraging participation from clients and moving thus getting them closer to their desired target. This section is quite succinct as counsellors agree to uphold various standards expected by such an organisation, standards such as trust, confidentiality and maintaining professional integrity. Though rather eye-catching is the sub-standards which make up integrity and professional practice, within these, the framework states that practitioners should admit to their failings, refrain from working outside their comfortable zone of knowledge, being completely honest with clients and ensuring that the practitioner’s own health and wellbeing is sufficient to perform their duties. These standards not only boost the client-counsellor relationship through a non-direct actions, but also recognise that the counsellor has just as much worth as the client and should be allowed to do innately human things like making mistakes, taking time for themselves and deconstructing the trope of ‘omniscient health professionals’ (Epstein, 2007).</w:t>
      </w:r>
      <w:r w:rsidDel="00000000" w:rsidR="00000000" w:rsidRPr="00000000">
        <w:rPr>
          <w:rFonts w:ascii="Cambria" w:cs="Cambria" w:eastAsia="Cambria" w:hAnsi="Cambria"/>
          <w:rtl w:val="0"/>
        </w:rPr>
        <w:t xml:space="preserve"> </w:t>
      </w:r>
      <w:r w:rsidDel="00000000" w:rsidR="00000000" w:rsidRPr="00000000">
        <w:rPr>
          <w:rFonts w:ascii="Cambria" w:cs="Cambria" w:eastAsia="Cambria" w:hAnsi="Cambria"/>
          <w:rtl w:val="0"/>
        </w:rPr>
        <w:t xml:space="preserve">Next, the ethical considerations of the BACP form the underpinning structures for the other segments. They are split into sections: Values for counsellors to commit, Principles counsellors should possess and Personal virtues that counsellors should actively review. </w:t>
      </w:r>
      <w:r w:rsidDel="00000000" w:rsidR="00000000" w:rsidRPr="00000000">
        <w:rPr>
          <w:rFonts w:ascii="Cambria" w:cs="Cambria" w:eastAsia="Cambria" w:hAnsi="Cambria"/>
          <w:rtl w:val="0"/>
        </w:rPr>
        <w:t xml:space="preserve">The values discussed by the framework are acceptable, but nothing that would not be expected such as: showing respect and maintaining the dignity of clients, working to improve the client’s life in any way they can,  facilitation, being an advocate for safeguarding of clients, advocating reforms which protect and benefit clients, holding an unconditional positive regard for clients, and seeking the improvement of services and knowledge. </w:t>
      </w:r>
      <w:r w:rsidDel="00000000" w:rsidR="00000000" w:rsidRPr="00000000">
        <w:rPr>
          <w:rFonts w:ascii="Cambria" w:cs="Cambria" w:eastAsia="Cambria" w:hAnsi="Cambria"/>
          <w:rtl w:val="0"/>
        </w:rPr>
        <w:t xml:space="preserve">The BACP also outlines six principles which summarise the values; promoting trust, autonomy, being supportive of the client’s wellbeing, avoiding harm, being fair and promoting equal treatment, and retaining integrity and working within a counsellors knowledge.</w:t>
      </w:r>
      <w:r w:rsidDel="00000000" w:rsidR="00000000" w:rsidRPr="00000000">
        <w:rPr>
          <w:rFonts w:ascii="Cambria" w:cs="Cambria" w:eastAsia="Cambria" w:hAnsi="Cambria"/>
          <w:rtl w:val="0"/>
        </w:rPr>
        <w:t xml:space="preserve"> </w:t>
      </w:r>
      <w:r w:rsidDel="00000000" w:rsidR="00000000" w:rsidRPr="00000000">
        <w:rPr>
          <w:rFonts w:ascii="Cambria" w:cs="Cambria" w:eastAsia="Cambria" w:hAnsi="Cambria"/>
          <w:rtl w:val="0"/>
        </w:rPr>
        <w:t xml:space="preserve">Once again, the framework acknowledges its own flaws stating that there are situations in which maintaining all six principles is impossible and encourages counsellors to trust themselves in prioritising them. It also makes a point to note that even if an action or technique may be seen as controversial, this does not make said action inherently bad. This should go without saying but it is a good reminder.</w:t>
      </w:r>
      <w:r w:rsidDel="00000000" w:rsidR="00000000" w:rsidRPr="00000000">
        <w:rPr>
          <w:rtl w:val="0"/>
        </w:rPr>
      </w:r>
    </w:p>
    <w:p w:rsidR="00000000" w:rsidDel="00000000" w:rsidP="00000000" w:rsidRDefault="00000000" w:rsidRPr="00000000" w14:paraId="00000009">
      <w:pPr>
        <w:spacing w:line="360" w:lineRule="auto"/>
        <w:rPr>
          <w:rFonts w:ascii="Cambria" w:cs="Cambria" w:eastAsia="Cambria" w:hAnsi="Cambria"/>
        </w:rPr>
      </w:pPr>
      <w:r w:rsidDel="00000000" w:rsidR="00000000" w:rsidRPr="00000000">
        <w:rPr>
          <w:rFonts w:ascii="Cambria" w:cs="Cambria" w:eastAsia="Cambria" w:hAnsi="Cambria"/>
          <w:rtl w:val="0"/>
        </w:rPr>
        <w:t xml:space="preserve">Possessing effective communication and counselling skills is a cardinal aspect of working within a nursing setting as these skills have numerous benefits (Ali, 2017) such as: benefitting the experiences of patients, decreasing the likelihood of complaints and improving nurses in their self-confidence, stress management and satisfaction. According to the Royal College of Nursing (2016), effective communication can play an important role in decreasing patient anxiety. For some people, hospitals are stressful and anxiety-inducing places and this can cause patients who are normally quite well-mannered and calm to act out of character and say hurtful of offensive things. In order to maintain the proper patient-nurse relationship and reduce patient stress, nurses must maintain their composure and help patients in reducing anxiety.</w:t>
      </w:r>
    </w:p>
    <w:p w:rsidR="00000000" w:rsidDel="00000000" w:rsidP="00000000" w:rsidRDefault="00000000" w:rsidRPr="00000000" w14:paraId="0000000A">
      <w:pPr>
        <w:spacing w:line="360" w:lineRule="auto"/>
        <w:rPr>
          <w:rFonts w:ascii="Cambria" w:cs="Cambria" w:eastAsia="Cambria" w:hAnsi="Cambria"/>
        </w:rPr>
      </w:pPr>
      <w:r w:rsidDel="00000000" w:rsidR="00000000" w:rsidRPr="00000000">
        <w:rPr>
          <w:rFonts w:ascii="Cambria" w:cs="Cambria" w:eastAsia="Cambria" w:hAnsi="Cambria"/>
          <w:rtl w:val="0"/>
        </w:rPr>
        <w:t xml:space="preserve">Nurses will almost certainly come across patients who have certain requirements to foster their communication, such as those suffering from dementia or alzheimer's (Alzheimer’s Society, 2019). The Alzheimer’s society continues, proposing methods for overcoming the barriers raised by dementia. These include choosing a location with very few distractions and background noises, engaging the SOLER model, being calm and clear in speech, using humor when acknowledging less serious mistakes, breaking down the message into language that’s jargon-less and rephrasing statements rather than repeating them. Applying these methods can aid in making the patient more comfortable and in making them feel more involved and in control of their care.</w:t>
      </w:r>
    </w:p>
    <w:p w:rsidR="00000000" w:rsidDel="00000000" w:rsidP="00000000" w:rsidRDefault="00000000" w:rsidRPr="00000000" w14:paraId="0000000B">
      <w:pPr>
        <w:spacing w:line="360" w:lineRule="auto"/>
        <w:rPr>
          <w:rFonts w:ascii="Cambria" w:cs="Cambria" w:eastAsia="Cambria" w:hAnsi="Cambria"/>
        </w:rPr>
      </w:pPr>
      <w:r w:rsidDel="00000000" w:rsidR="00000000" w:rsidRPr="00000000">
        <w:rPr>
          <w:rFonts w:ascii="Cambria" w:cs="Cambria" w:eastAsia="Cambria" w:hAnsi="Cambria"/>
          <w:rtl w:val="0"/>
        </w:rPr>
        <w:t xml:space="preserve">Not all communication nurses perform is between them and their patients, quite a lot of communication occurs between nurses and other nurses, doctors and support staff. These communications are essential in preventing misdiagnosis and other mistakes in patient care (Royal College of Physicians, 2017). The RCP continue, stating that the barriers posed by communication between professions, anxieties for failure, limitations of memory, stress and fatigue, instability amongst groups, outdated or incompatible technology and hierarchy disputes. Can be overcome by regular briefing and debriefing sessions, the SBAR method (Situation, Background, Assessment, Recommendation)(ACT Academy, 2018) or the Call-out and Check-back system.</w:t>
      </w:r>
    </w:p>
    <w:p w:rsidR="00000000" w:rsidDel="00000000" w:rsidP="00000000" w:rsidRDefault="00000000" w:rsidRPr="00000000" w14:paraId="0000000C">
      <w:pPr>
        <w:spacing w:line="360" w:lineRule="auto"/>
        <w:rPr>
          <w:rFonts w:ascii="Cambria" w:cs="Cambria" w:eastAsia="Cambria" w:hAnsi="Cambria"/>
          <w:color w:val="9900ff"/>
          <w:u w:val="single"/>
        </w:rPr>
      </w:pPr>
      <w:r w:rsidDel="00000000" w:rsidR="00000000" w:rsidRPr="00000000">
        <w:rPr>
          <w:rFonts w:ascii="Cambria" w:cs="Cambria" w:eastAsia="Cambria" w:hAnsi="Cambria"/>
          <w:rtl w:val="0"/>
        </w:rPr>
        <w:t xml:space="preserve">According to Support Around Death (SAD) (2014), communication is essential around the time of death, either with the dying patient or their bereaved family and friends. Even if the nurse’s main responsibility is to deal with death, it is very useful to at least have an awareness of it and how to communicate with those affected by it. SAD lists several ‘do’s’ and ‘don'ts’ for bereavement communication, including taking time with the communication, choosing a quiet and peaceful location if possible, using the name of the deceased rather than pronouns and listening attentively.</w:t>
      </w:r>
      <w:r w:rsidDel="00000000" w:rsidR="00000000" w:rsidRPr="00000000">
        <w:rPr>
          <w:rtl w:val="0"/>
        </w:rPr>
      </w:r>
    </w:p>
    <w:p w:rsidR="00000000" w:rsidDel="00000000" w:rsidP="00000000" w:rsidRDefault="00000000" w:rsidRPr="00000000" w14:paraId="0000000D">
      <w:pPr>
        <w:spacing w:line="360" w:lineRule="auto"/>
        <w:rPr>
          <w:rFonts w:ascii="Cambria" w:cs="Cambria" w:eastAsia="Cambria" w:hAnsi="Cambria"/>
        </w:rPr>
      </w:pPr>
      <w:r w:rsidDel="00000000" w:rsidR="00000000" w:rsidRPr="00000000">
        <w:rPr>
          <w:rFonts w:ascii="Cambria" w:cs="Cambria" w:eastAsia="Cambria" w:hAnsi="Cambria"/>
          <w:rtl w:val="0"/>
        </w:rPr>
        <w:t xml:space="preserve">In conclusion, after studying numerous sources it is evident that counselling and communication skills are not only useful within the nursing profession, but they are an essential part of service provision and the delivery of effective care. Though, through this research it can also be said that these skills are applicable in many other professions with a heavy; care, team-oriented or therapeutic focus and even those where professionals are expected to work with a diverse range of people, cultures and religious backgrounds. Also under analysis were the therapeutic theories, these three were not wholly similar, being comprised of different methods, putting the counsellor into different roles, and having particular effectiveness on certain conditions and mental health issues. These differences and specialisations are incredibly useful to the healthcare professionals that make use of them, allowing them to always have a way of approaching a client or patient’s issue no matter what it is. Lastly, the BACP ethical framework and other frameworks akin to it, according to Burnard (1999) are necessary to prevent any professional from abusing those who depend on them or from acting in any interest besides that of the client. The BACP does an excellent job of fulfilling this role and goes beyond it, providing counsellors with guidelines on how they should act towards themselves and the limitations of their expertise.</w:t>
      </w:r>
    </w:p>
    <w:p w:rsidR="00000000" w:rsidDel="00000000" w:rsidP="00000000" w:rsidRDefault="00000000" w:rsidRPr="00000000" w14:paraId="0000000E">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0F">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10">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11">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12">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13">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14">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15">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16">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17">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18">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19">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1A">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1B">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1C">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1D">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1E">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1F">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20">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21">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22">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23">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24">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25">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26">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27">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28">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29">
      <w:pPr>
        <w:spacing w:line="360" w:lineRule="auto"/>
        <w:rPr>
          <w:rFonts w:ascii="Cambria" w:cs="Cambria" w:eastAsia="Cambria" w:hAnsi="Cambria"/>
        </w:rPr>
      </w:pPr>
      <w:r w:rsidDel="00000000" w:rsidR="00000000" w:rsidRPr="00000000">
        <w:rPr>
          <w:rFonts w:ascii="Cambria" w:cs="Cambria" w:eastAsia="Cambria" w:hAnsi="Cambria"/>
          <w:rtl w:val="0"/>
        </w:rPr>
        <w:t xml:space="preserve">ACT Academy (2018) SBAR communication tool- situation, background, assessment, recommendation. Available at: https://improvement.nhs.uk/resources/sbar-communication-tool/ (Date accessed: 24/01/2019)</w:t>
      </w:r>
    </w:p>
    <w:p w:rsidR="00000000" w:rsidDel="00000000" w:rsidP="00000000" w:rsidRDefault="00000000" w:rsidRPr="00000000" w14:paraId="0000002A">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2B">
      <w:pPr>
        <w:spacing w:line="360" w:lineRule="auto"/>
        <w:rPr>
          <w:rFonts w:ascii="Cambria" w:cs="Cambria" w:eastAsia="Cambria" w:hAnsi="Cambria"/>
        </w:rPr>
      </w:pPr>
      <w:r w:rsidDel="00000000" w:rsidR="00000000" w:rsidRPr="00000000">
        <w:rPr>
          <w:rFonts w:ascii="Cambria" w:cs="Cambria" w:eastAsia="Cambria" w:hAnsi="Cambria"/>
          <w:rtl w:val="0"/>
        </w:rPr>
        <w:t xml:space="preserve">Ali, M. (2017) ‘Communication skills 1: benefits of effective communication for patients’, Nursing Times. 113(12), pp. 18-19. (Date accessed: 21/01/2019) URL: https://www.nursingtimes.net/clinical-archive/assessment-skills/communication-skills-1-benefits-of-effective-communication-for-patients/7022148.article</w:t>
      </w:r>
    </w:p>
    <w:p w:rsidR="00000000" w:rsidDel="00000000" w:rsidP="00000000" w:rsidRDefault="00000000" w:rsidRPr="00000000" w14:paraId="0000002C">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2D">
      <w:pPr>
        <w:spacing w:line="360" w:lineRule="auto"/>
        <w:rPr>
          <w:rFonts w:ascii="Cambria" w:cs="Cambria" w:eastAsia="Cambria" w:hAnsi="Cambria"/>
        </w:rPr>
      </w:pPr>
      <w:r w:rsidDel="00000000" w:rsidR="00000000" w:rsidRPr="00000000">
        <w:rPr>
          <w:rFonts w:ascii="Cambria" w:cs="Cambria" w:eastAsia="Cambria" w:hAnsi="Cambria"/>
          <w:rtl w:val="0"/>
        </w:rPr>
        <w:t xml:space="preserve">Alzheimer’s Society (2019) Communicating and language. Available at: https://www.alzheimers.org.uk/about-dementia/symptoms-and-diagnosis/symptoms/communicating-and-language#content-start (Date accessed: 24/01/2019)</w:t>
      </w:r>
    </w:p>
    <w:p w:rsidR="00000000" w:rsidDel="00000000" w:rsidP="00000000" w:rsidRDefault="00000000" w:rsidRPr="00000000" w14:paraId="0000002E">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2F">
      <w:pPr>
        <w:spacing w:line="360" w:lineRule="auto"/>
        <w:rPr>
          <w:rFonts w:ascii="Cambria" w:cs="Cambria" w:eastAsia="Cambria" w:hAnsi="Cambria"/>
        </w:rPr>
      </w:pPr>
      <w:r w:rsidDel="00000000" w:rsidR="00000000" w:rsidRPr="00000000">
        <w:rPr>
          <w:rFonts w:ascii="Cambria" w:cs="Cambria" w:eastAsia="Cambria" w:hAnsi="Cambria"/>
          <w:rtl w:val="0"/>
        </w:rPr>
        <w:t xml:space="preserve">Bor, R. et al. (2009) counselling in health care settings: a handbook for practitioners. Basingstoke: Palgrave Macmillan</w:t>
      </w:r>
    </w:p>
    <w:p w:rsidR="00000000" w:rsidDel="00000000" w:rsidP="00000000" w:rsidRDefault="00000000" w:rsidRPr="00000000" w14:paraId="00000030">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31">
      <w:pPr>
        <w:spacing w:line="360" w:lineRule="auto"/>
        <w:rPr>
          <w:rFonts w:ascii="Cambria" w:cs="Cambria" w:eastAsia="Cambria" w:hAnsi="Cambria"/>
        </w:rPr>
      </w:pPr>
      <w:r w:rsidDel="00000000" w:rsidR="00000000" w:rsidRPr="00000000">
        <w:rPr>
          <w:rFonts w:ascii="Cambria" w:cs="Cambria" w:eastAsia="Cambria" w:hAnsi="Cambria"/>
          <w:rtl w:val="0"/>
        </w:rPr>
        <w:t xml:space="preserve">Branch, R. and Wilson, R. (2010) Cognitive Behavioural Therapy For Dummies. Chichester: John Wiley &amp; Sons, Ltd.</w:t>
      </w:r>
    </w:p>
    <w:p w:rsidR="00000000" w:rsidDel="00000000" w:rsidP="00000000" w:rsidRDefault="00000000" w:rsidRPr="00000000" w14:paraId="00000032">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33">
      <w:pPr>
        <w:spacing w:line="360" w:lineRule="auto"/>
        <w:rPr>
          <w:rFonts w:ascii="Cambria" w:cs="Cambria" w:eastAsia="Cambria" w:hAnsi="Cambria"/>
        </w:rPr>
      </w:pPr>
      <w:r w:rsidDel="00000000" w:rsidR="00000000" w:rsidRPr="00000000">
        <w:rPr>
          <w:rFonts w:ascii="Cambria" w:cs="Cambria" w:eastAsia="Cambria" w:hAnsi="Cambria"/>
          <w:rtl w:val="0"/>
        </w:rPr>
        <w:t xml:space="preserve">British Association for Counselling and Psychotherapy(2019a) Ethics and Standards. Available at: https://www.bacp.co.uk/events-and-resources/ethics-and-standards/ (Date accessed: 21/01/2019)</w:t>
      </w:r>
    </w:p>
    <w:p w:rsidR="00000000" w:rsidDel="00000000" w:rsidP="00000000" w:rsidRDefault="00000000" w:rsidRPr="00000000" w14:paraId="00000034">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35">
      <w:pPr>
        <w:spacing w:line="360" w:lineRule="auto"/>
        <w:rPr>
          <w:rFonts w:ascii="Cambria" w:cs="Cambria" w:eastAsia="Cambria" w:hAnsi="Cambria"/>
        </w:rPr>
      </w:pPr>
      <w:r w:rsidDel="00000000" w:rsidR="00000000" w:rsidRPr="00000000">
        <w:rPr>
          <w:rFonts w:ascii="Cambria" w:cs="Cambria" w:eastAsia="Cambria" w:hAnsi="Cambria"/>
          <w:rtl w:val="0"/>
        </w:rPr>
        <w:t xml:space="preserve">British Association for Counselling and Psychotherapy (2019b) Types of counselling and psychotherapy. Available at: https://www.bacp.co.uk/about-therapy/types-of-therapy/ (Date accessed: 22/01/2019)</w:t>
      </w:r>
    </w:p>
    <w:p w:rsidR="00000000" w:rsidDel="00000000" w:rsidP="00000000" w:rsidRDefault="00000000" w:rsidRPr="00000000" w14:paraId="00000036">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37">
      <w:pPr>
        <w:spacing w:line="360" w:lineRule="auto"/>
        <w:rPr>
          <w:rFonts w:ascii="Cambria" w:cs="Cambria" w:eastAsia="Cambria" w:hAnsi="Cambria"/>
        </w:rPr>
      </w:pPr>
      <w:r w:rsidDel="00000000" w:rsidR="00000000" w:rsidRPr="00000000">
        <w:rPr>
          <w:rFonts w:ascii="Cambria" w:cs="Cambria" w:eastAsia="Cambria" w:hAnsi="Cambria"/>
          <w:rtl w:val="0"/>
        </w:rPr>
        <w:t xml:space="preserve">Burnard, P. (1999) Counselling Skills For Health Professionals. 3rd edn. Cheltenham: Stanley Thornes Ltd</w:t>
      </w:r>
    </w:p>
    <w:p w:rsidR="00000000" w:rsidDel="00000000" w:rsidP="00000000" w:rsidRDefault="00000000" w:rsidRPr="00000000" w14:paraId="00000038">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39">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3A">
      <w:pPr>
        <w:spacing w:line="360" w:lineRule="auto"/>
        <w:rPr>
          <w:rFonts w:ascii="Cambria" w:cs="Cambria" w:eastAsia="Cambria" w:hAnsi="Cambria"/>
        </w:rPr>
      </w:pPr>
      <w:r w:rsidDel="00000000" w:rsidR="00000000" w:rsidRPr="00000000">
        <w:rPr>
          <w:rFonts w:ascii="Cambria" w:cs="Cambria" w:eastAsia="Cambria" w:hAnsi="Cambria"/>
          <w:rtl w:val="0"/>
        </w:rPr>
        <w:t xml:space="preserve">Epstein, F.H. (2007) ‘The role of the physician in the preservation of life’, QJM: An International Journal of Medicine. 100(9), pp. 585-589. (Date accessed: 22/01/2019) DOI: https://doi.org/10.1093/qjmed/hcm063</w:t>
      </w:r>
    </w:p>
    <w:p w:rsidR="00000000" w:rsidDel="00000000" w:rsidP="00000000" w:rsidRDefault="00000000" w:rsidRPr="00000000" w14:paraId="0000003B">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3C">
      <w:pPr>
        <w:spacing w:line="360" w:lineRule="auto"/>
        <w:rPr>
          <w:rFonts w:ascii="Cambria" w:cs="Cambria" w:eastAsia="Cambria" w:hAnsi="Cambria"/>
        </w:rPr>
      </w:pPr>
      <w:r w:rsidDel="00000000" w:rsidR="00000000" w:rsidRPr="00000000">
        <w:rPr>
          <w:rFonts w:ascii="Cambria" w:cs="Cambria" w:eastAsia="Cambria" w:hAnsi="Cambria"/>
          <w:rtl w:val="0"/>
        </w:rPr>
        <w:t xml:space="preserve">First Psychology Edinburgh (2019) Person-centred counselling. Available at: https://www.edinburghtherapy.co.uk/person-centred-counselling.php (Date accessed: 23/01/2019)</w:t>
      </w:r>
    </w:p>
    <w:p w:rsidR="00000000" w:rsidDel="00000000" w:rsidP="00000000" w:rsidRDefault="00000000" w:rsidRPr="00000000" w14:paraId="0000003D">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3E">
      <w:pPr>
        <w:spacing w:line="360" w:lineRule="auto"/>
        <w:rPr>
          <w:rFonts w:ascii="Cambria" w:cs="Cambria" w:eastAsia="Cambria" w:hAnsi="Cambria"/>
        </w:rPr>
      </w:pPr>
      <w:r w:rsidDel="00000000" w:rsidR="00000000" w:rsidRPr="00000000">
        <w:rPr>
          <w:rFonts w:ascii="Cambria" w:cs="Cambria" w:eastAsia="Cambria" w:hAnsi="Cambria"/>
          <w:rtl w:val="0"/>
        </w:rPr>
        <w:t xml:space="preserve">Gillon, E. (2007) Person-Centred Counselling Psychology: An Introduction. London: SAGE Productions</w:t>
      </w:r>
    </w:p>
    <w:p w:rsidR="00000000" w:rsidDel="00000000" w:rsidP="00000000" w:rsidRDefault="00000000" w:rsidRPr="00000000" w14:paraId="0000003F">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40">
      <w:pPr>
        <w:spacing w:line="360" w:lineRule="auto"/>
        <w:rPr>
          <w:rFonts w:ascii="Cambria" w:cs="Cambria" w:eastAsia="Cambria" w:hAnsi="Cambria"/>
        </w:rPr>
      </w:pPr>
      <w:r w:rsidDel="00000000" w:rsidR="00000000" w:rsidRPr="00000000">
        <w:rPr>
          <w:rFonts w:ascii="Cambria" w:cs="Cambria" w:eastAsia="Cambria" w:hAnsi="Cambria"/>
          <w:rtl w:val="0"/>
        </w:rPr>
        <w:t xml:space="preserve">Hawtin, S. (2000) ‘Person-Centred Counselling and Psychotherapy’ in Palmer, S. (ed.) Introduction to Counselling and Psychotherapy The Essential Guide. London: SAGE Publications</w:t>
      </w:r>
    </w:p>
    <w:p w:rsidR="00000000" w:rsidDel="00000000" w:rsidP="00000000" w:rsidRDefault="00000000" w:rsidRPr="00000000" w14:paraId="00000041">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42">
      <w:pPr>
        <w:spacing w:line="360" w:lineRule="auto"/>
        <w:rPr>
          <w:rFonts w:ascii="Cambria" w:cs="Cambria" w:eastAsia="Cambria" w:hAnsi="Cambria"/>
        </w:rPr>
      </w:pPr>
      <w:r w:rsidDel="00000000" w:rsidR="00000000" w:rsidRPr="00000000">
        <w:rPr>
          <w:rFonts w:ascii="Cambria" w:cs="Cambria" w:eastAsia="Cambria" w:hAnsi="Cambria"/>
          <w:rtl w:val="0"/>
        </w:rPr>
        <w:t xml:space="preserve">McLeod, S. (2017) Psychodynamic Approach. Available at: https://www.simplypsychology.org/psychodynamic.html (Date accessed: 23/01/2019)</w:t>
      </w:r>
    </w:p>
    <w:p w:rsidR="00000000" w:rsidDel="00000000" w:rsidP="00000000" w:rsidRDefault="00000000" w:rsidRPr="00000000" w14:paraId="00000043">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44">
      <w:pPr>
        <w:spacing w:line="360" w:lineRule="auto"/>
        <w:rPr>
          <w:rFonts w:ascii="Cambria" w:cs="Cambria" w:eastAsia="Cambria" w:hAnsi="Cambria"/>
        </w:rPr>
      </w:pPr>
      <w:r w:rsidDel="00000000" w:rsidR="00000000" w:rsidRPr="00000000">
        <w:rPr>
          <w:rFonts w:ascii="Cambria" w:cs="Cambria" w:eastAsia="Cambria" w:hAnsi="Cambria"/>
          <w:rtl w:val="0"/>
        </w:rPr>
        <w:t xml:space="preserve">Munodawafa, D (2008) ‘Communication: concepts, practice and challenges’, Health Education Research. 23(3), pp. 369–370. (Date accessed: 21/01/2019) DOI: https://doi.org/10.1093/her/cyn024</w:t>
      </w:r>
    </w:p>
    <w:p w:rsidR="00000000" w:rsidDel="00000000" w:rsidP="00000000" w:rsidRDefault="00000000" w:rsidRPr="00000000" w14:paraId="00000045">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46">
      <w:pPr>
        <w:spacing w:line="360" w:lineRule="auto"/>
        <w:rPr>
          <w:rFonts w:ascii="Cambria" w:cs="Cambria" w:eastAsia="Cambria" w:hAnsi="Cambria"/>
        </w:rPr>
      </w:pPr>
      <w:r w:rsidDel="00000000" w:rsidR="00000000" w:rsidRPr="00000000">
        <w:rPr>
          <w:rFonts w:ascii="Cambria" w:cs="Cambria" w:eastAsia="Cambria" w:hAnsi="Cambria"/>
          <w:rtl w:val="0"/>
        </w:rPr>
        <w:t xml:space="preserve">National Health Service (2018) Overview Cognitive behavioural therapy (CBT). Available at: https://www.nhs.uk/conditions/cognitive-behavioural-therapy-cbt/# (Date accessed: 23/01/2019)</w:t>
      </w:r>
    </w:p>
    <w:p w:rsidR="00000000" w:rsidDel="00000000" w:rsidP="00000000" w:rsidRDefault="00000000" w:rsidRPr="00000000" w14:paraId="00000047">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48">
      <w:pPr>
        <w:spacing w:line="360" w:lineRule="auto"/>
        <w:rPr>
          <w:rFonts w:ascii="Cambria" w:cs="Cambria" w:eastAsia="Cambria" w:hAnsi="Cambria"/>
        </w:rPr>
      </w:pPr>
      <w:r w:rsidDel="00000000" w:rsidR="00000000" w:rsidRPr="00000000">
        <w:rPr>
          <w:rFonts w:ascii="Cambria" w:cs="Cambria" w:eastAsia="Cambria" w:hAnsi="Cambria"/>
          <w:rtl w:val="0"/>
        </w:rPr>
        <w:t xml:space="preserve">Royal College of Physicians (2017) Improving teams in Healthcare. Available at: https://www.who.int/patientsafety/education/curriculum/who_mc_topic-4.pdf (Date accessed: 24/01/2019)</w:t>
      </w:r>
    </w:p>
    <w:p w:rsidR="00000000" w:rsidDel="00000000" w:rsidP="00000000" w:rsidRDefault="00000000" w:rsidRPr="00000000" w14:paraId="00000049">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4A">
      <w:pPr>
        <w:spacing w:line="360" w:lineRule="auto"/>
        <w:rPr>
          <w:rFonts w:ascii="Cambria" w:cs="Cambria" w:eastAsia="Cambria" w:hAnsi="Cambria"/>
        </w:rPr>
      </w:pPr>
      <w:r w:rsidDel="00000000" w:rsidR="00000000" w:rsidRPr="00000000">
        <w:rPr>
          <w:rFonts w:ascii="Cambria" w:cs="Cambria" w:eastAsia="Cambria" w:hAnsi="Cambria"/>
          <w:rtl w:val="0"/>
        </w:rPr>
        <w:t xml:space="preserve">Royal College of Psychiatrists (2015) Cognitive Behavioural Therapy (CBT). Available at: https://www.rcpsych.ac.uk/mental-health/treatments-and-wellbeing/cognitive-behavioural-therapy-(cbt) (Date accessed: 23/01/2019)</w:t>
      </w:r>
    </w:p>
    <w:p w:rsidR="00000000" w:rsidDel="00000000" w:rsidP="00000000" w:rsidRDefault="00000000" w:rsidRPr="00000000" w14:paraId="0000004B">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4C">
      <w:pPr>
        <w:spacing w:line="360" w:lineRule="auto"/>
        <w:rPr>
          <w:rFonts w:ascii="Cambria" w:cs="Cambria" w:eastAsia="Cambria" w:hAnsi="Cambria"/>
        </w:rPr>
      </w:pPr>
      <w:r w:rsidDel="00000000" w:rsidR="00000000" w:rsidRPr="00000000">
        <w:rPr>
          <w:rFonts w:ascii="Cambria" w:cs="Cambria" w:eastAsia="Cambria" w:hAnsi="Cambria"/>
          <w:rtl w:val="0"/>
        </w:rPr>
        <w:t xml:space="preserve">Support Around Death (2014) Communication around the end of life with the bereaved. Available at: http://www.sad.scot.nhs.uk/bereavement/communication-around-the-end-of-life-with-the-bereaved/ (Date accessed: 24/01/2019)</w:t>
      </w:r>
    </w:p>
    <w:p w:rsidR="00000000" w:rsidDel="00000000" w:rsidP="00000000" w:rsidRDefault="00000000" w:rsidRPr="00000000" w14:paraId="0000004D">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4E">
      <w:pPr>
        <w:spacing w:line="360" w:lineRule="auto"/>
        <w:rPr>
          <w:rFonts w:ascii="Cambria" w:cs="Cambria" w:eastAsia="Cambria" w:hAnsi="Cambria"/>
        </w:rPr>
      </w:pPr>
      <w:r w:rsidDel="00000000" w:rsidR="00000000" w:rsidRPr="00000000">
        <w:rPr>
          <w:rFonts w:ascii="Cambria" w:cs="Cambria" w:eastAsia="Cambria" w:hAnsi="Cambria"/>
          <w:rtl w:val="0"/>
        </w:rPr>
        <w:t xml:space="preserve">The Person-Centred Association (2018) What is the Person-Centred Approach? Available at: https://www.bapca.org.uk/about/what-is-it.html (Date accessed: 22/01/2019)</w:t>
      </w:r>
    </w:p>
    <w:p w:rsidR="00000000" w:rsidDel="00000000" w:rsidP="00000000" w:rsidRDefault="00000000" w:rsidRPr="00000000" w14:paraId="0000004F">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050">
      <w:pPr>
        <w:spacing w:line="360" w:lineRule="auto"/>
        <w:rPr>
          <w:rFonts w:ascii="Cambria" w:cs="Cambria" w:eastAsia="Cambria" w:hAnsi="Cambria"/>
        </w:rPr>
      </w:pPr>
      <w:r w:rsidDel="00000000" w:rsidR="00000000" w:rsidRPr="00000000">
        <w:rPr>
          <w:rFonts w:ascii="Cambria" w:cs="Cambria" w:eastAsia="Cambria" w:hAnsi="Cambria"/>
          <w:rtl w:val="0"/>
        </w:rPr>
        <w:t xml:space="preserve">United Kingdom Council for Psychotherapy (2019) Common types of psychotherapy. Available at: https://www.psychotherapy.org.uk/about-psychotherapy/types/#psychodynamic (Date accessed: 22/01/2019)</w:t>
      </w:r>
    </w:p>
    <w:p w:rsidR="00000000" w:rsidDel="00000000" w:rsidP="00000000" w:rsidRDefault="00000000" w:rsidRPr="00000000" w14:paraId="00000051">
      <w:pPr>
        <w:spacing w:line="360" w:lineRule="auto"/>
        <w:rPr>
          <w:rFonts w:ascii="Cambria" w:cs="Cambria" w:eastAsia="Cambria" w:hAnsi="Cambria"/>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mbr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