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AFAB0" w14:textId="7976CFEA" w:rsidR="00104EB9" w:rsidRPr="00104EB9" w:rsidRDefault="00104EB9" w:rsidP="00104EB9">
      <w:pPr>
        <w:spacing w:line="360" w:lineRule="auto"/>
        <w:rPr>
          <w:rFonts w:cstheme="minorHAnsi"/>
        </w:rPr>
      </w:pPr>
      <w:r w:rsidRPr="00104EB9">
        <w:rPr>
          <w:rFonts w:cstheme="minorHAnsi"/>
        </w:rPr>
        <w:t>This document is a supporting paper to the author's presentation.  The supporting paper will focus on the impacts of media on children and young people.  It will do this by providing an overview of media platforms and including background information about media.  The positives and negatives around social media will also be evaluated within this supporting paper, analysing the author's overall view of digital platforms and the impacts on children and young people, evaluating the effectiveness of policies in place to protect children and young people from harm, while also comparing these policies to case studies.</w:t>
      </w:r>
    </w:p>
    <w:p w14:paraId="692036DC" w14:textId="77777777" w:rsidR="00104EB9" w:rsidRPr="00104EB9" w:rsidRDefault="00104EB9" w:rsidP="00104EB9">
      <w:pPr>
        <w:spacing w:line="360" w:lineRule="auto"/>
        <w:rPr>
          <w:rFonts w:cstheme="minorHAnsi"/>
        </w:rPr>
      </w:pPr>
    </w:p>
    <w:p w14:paraId="13E578C1" w14:textId="19CFFF9A" w:rsidR="00104EB9" w:rsidRPr="00104EB9" w:rsidRDefault="00104EB9" w:rsidP="00104EB9">
      <w:pPr>
        <w:spacing w:line="360" w:lineRule="auto"/>
        <w:rPr>
          <w:rFonts w:cstheme="minorHAnsi"/>
        </w:rPr>
      </w:pPr>
      <w:r w:rsidRPr="00104EB9">
        <w:rPr>
          <w:rFonts w:cstheme="minorHAnsi"/>
        </w:rPr>
        <w:t xml:space="preserve">Digital media refers to media that is presented electronically, such as through mobile phone devices and computers.  Digital media can be viewed, translated, created, adjusted, and communicated with others through technologies (Das,2020).  Children and young people access many digital media platforms, including social media platforms such as Facebook, Snapchat, and Instagram.    It was recorded in 2019 that </w:t>
      </w:r>
      <w:proofErr w:type="gramStart"/>
      <w:r w:rsidRPr="00104EB9">
        <w:rPr>
          <w:rFonts w:cstheme="minorHAnsi"/>
        </w:rPr>
        <w:t>Facebook</w:t>
      </w:r>
      <w:proofErr w:type="gramEnd"/>
      <w:r w:rsidRPr="00104EB9">
        <w:rPr>
          <w:rFonts w:cstheme="minorHAnsi"/>
        </w:rPr>
        <w:t xml:space="preserve"> is the largest digital media platform, with over 2.4 billion users online (</w:t>
      </w:r>
      <w:proofErr w:type="spellStart"/>
      <w:r w:rsidRPr="00104EB9">
        <w:rPr>
          <w:rFonts w:cstheme="minorHAnsi"/>
        </w:rPr>
        <w:t>Opsina</w:t>
      </w:r>
      <w:proofErr w:type="spellEnd"/>
      <w:r w:rsidRPr="00104EB9">
        <w:rPr>
          <w:rFonts w:cstheme="minorHAnsi"/>
        </w:rPr>
        <w:t xml:space="preserve">, 2019). Digital media platforms also include e-books, videos, blogs, online news articles, and video games. The rapid development of social media transforms the way individuals communicate with peers and access information (Ospina, 2019); for example, it is estimated that 80% of individuals in the UK own a smartphone (Ofcom, 2017); this highlights the current popularity around technologies and digital media. Children and young people engage with media more frequently than adults, resulting in digital media platforms being incorporated into their daily lives (Montgomery, 2000). Digital media is significantly more complex than traditional media. Traditional media includes elements such as magazines and newspapers (Rajendran and Thesinghraja, 2014).  However, digital media includes a wide range of platforms, causing difficulty in monitoring.  Digital technologies and media platforms also increased during the Coronavirus pandemic, resulting in individuals working remotely and spending more hours on social media (De, Pandy, and Pal, 2020). </w:t>
      </w:r>
    </w:p>
    <w:p w14:paraId="65564DFE" w14:textId="77777777" w:rsidR="00104EB9" w:rsidRPr="00104EB9" w:rsidRDefault="00104EB9" w:rsidP="00104EB9">
      <w:pPr>
        <w:spacing w:line="360" w:lineRule="auto"/>
        <w:rPr>
          <w:rFonts w:cstheme="minorHAnsi"/>
        </w:rPr>
      </w:pPr>
      <w:r w:rsidRPr="00104EB9">
        <w:rPr>
          <w:rFonts w:cstheme="minorHAnsi"/>
        </w:rPr>
        <w:t xml:space="preserve"> </w:t>
      </w:r>
    </w:p>
    <w:p w14:paraId="3AFAE6DC" w14:textId="77777777" w:rsidR="00104EB9" w:rsidRPr="00104EB9" w:rsidRDefault="00104EB9" w:rsidP="00104EB9">
      <w:pPr>
        <w:spacing w:line="360" w:lineRule="auto"/>
        <w:rPr>
          <w:rFonts w:cstheme="minorHAnsi"/>
        </w:rPr>
      </w:pPr>
    </w:p>
    <w:p w14:paraId="46775ABE" w14:textId="1A2B0269" w:rsidR="00104EB9" w:rsidRPr="00104EB9" w:rsidRDefault="00104EB9" w:rsidP="00104EB9">
      <w:pPr>
        <w:spacing w:line="360" w:lineRule="auto"/>
        <w:rPr>
          <w:rFonts w:cstheme="minorHAnsi"/>
        </w:rPr>
      </w:pPr>
      <w:r w:rsidRPr="00104EB9">
        <w:rPr>
          <w:rFonts w:cstheme="minorHAnsi"/>
        </w:rPr>
        <w:t xml:space="preserve">Digital media is now incorporated into the Welsh Curriculum within the digital competence framework (Welsh Government, 2022).  The digital competence framework educates children and young people about the digital world and how to engage and contribute appropriately.  This framework provides learners with the skills to exchange </w:t>
      </w:r>
      <w:r w:rsidRPr="00104EB9">
        <w:rPr>
          <w:rFonts w:cstheme="minorHAnsi"/>
        </w:rPr>
        <w:lastRenderedPageBreak/>
        <w:t>communications digitally, access digital information, and create projects online while learning about internet safety (Welsh Government, 2022). The Welsh Curriculum aims to create 'ambitious and capable learners, who use digital technologies to communicate' (Welsh Government, 2022), emphasising the positive aspects of social media for children and young people. The education of digital media and digital communication will enable children and young people to communicate digitally, creating communication more accessible for children and young people and their peers.  Digital communication also creates accessible communication networks between students and teachers.  Studies have identified that effective communication between students and teachers enhances positive learning experiences (</w:t>
      </w:r>
      <w:proofErr w:type="spellStart"/>
      <w:r w:rsidRPr="00104EB9">
        <w:rPr>
          <w:rFonts w:cstheme="minorHAnsi"/>
        </w:rPr>
        <w:t>Faizi</w:t>
      </w:r>
      <w:proofErr w:type="spellEnd"/>
      <w:r w:rsidRPr="00104EB9">
        <w:rPr>
          <w:rFonts w:cstheme="minorHAnsi"/>
        </w:rPr>
        <w:t xml:space="preserve">, Afia, and </w:t>
      </w:r>
      <w:proofErr w:type="spellStart"/>
      <w:r w:rsidRPr="00104EB9">
        <w:rPr>
          <w:rFonts w:cstheme="minorHAnsi"/>
        </w:rPr>
        <w:t>Chiheb</w:t>
      </w:r>
      <w:proofErr w:type="spellEnd"/>
      <w:r w:rsidRPr="00104EB9">
        <w:rPr>
          <w:rFonts w:cstheme="minorHAnsi"/>
        </w:rPr>
        <w:t>, 2013).  The development of digital media also enabled online learning throughout Coronavirus, allowing children to stay educated during the global pandemic (Yu, 2022).</w:t>
      </w:r>
    </w:p>
    <w:p w14:paraId="6BE0F62D" w14:textId="77777777" w:rsidR="00104EB9" w:rsidRPr="00104EB9" w:rsidRDefault="00104EB9" w:rsidP="00104EB9">
      <w:pPr>
        <w:spacing w:line="360" w:lineRule="auto"/>
        <w:rPr>
          <w:rFonts w:cstheme="minorHAnsi"/>
        </w:rPr>
      </w:pPr>
    </w:p>
    <w:p w14:paraId="3050FD4E" w14:textId="017DF62F" w:rsidR="00104EB9" w:rsidRPr="00104EB9" w:rsidRDefault="00104EB9" w:rsidP="00104EB9">
      <w:pPr>
        <w:spacing w:line="360" w:lineRule="auto"/>
        <w:rPr>
          <w:rFonts w:cstheme="minorHAnsi"/>
        </w:rPr>
      </w:pPr>
      <w:r w:rsidRPr="00104EB9">
        <w:rPr>
          <w:rFonts w:cstheme="minorHAnsi"/>
        </w:rPr>
        <w:t xml:space="preserve">Although media allows children and young people to stay connected, the evidence presented by Kraut (1998) and Young and Rogers (1998) outlines that there is a link between poor mental health and social media. </w:t>
      </w:r>
      <w:r>
        <w:rPr>
          <w:rFonts w:cstheme="minorHAnsi"/>
        </w:rPr>
        <w:t xml:space="preserve"> </w:t>
      </w:r>
      <w:r w:rsidRPr="00104EB9">
        <w:rPr>
          <w:rFonts w:cstheme="minorHAnsi"/>
        </w:rPr>
        <w:t>Mental health refers to the state of mind which enables individuals to cope with stresses whilst facing the absence of mental health disorders (World Health Organisation, 2023).  Mental health disorders affect an individual's overall health and well-being and are associated with factors such as anxiety and depression (</w:t>
      </w:r>
      <w:proofErr w:type="spellStart"/>
      <w:r w:rsidRPr="00104EB9">
        <w:rPr>
          <w:rFonts w:cstheme="minorHAnsi"/>
        </w:rPr>
        <w:t>Manderschield</w:t>
      </w:r>
      <w:proofErr w:type="spellEnd"/>
      <w:r w:rsidRPr="00104EB9">
        <w:rPr>
          <w:rFonts w:cstheme="minorHAnsi"/>
        </w:rPr>
        <w:t xml:space="preserve"> et al., 2009).    Kraut (1998), Young and Rogers (1998) identify that frequent use of the internet increases the risk of depressive symptoms (</w:t>
      </w:r>
      <w:proofErr w:type="spellStart"/>
      <w:r w:rsidRPr="00104EB9">
        <w:rPr>
          <w:rFonts w:cstheme="minorHAnsi"/>
        </w:rPr>
        <w:t>Mcrae</w:t>
      </w:r>
      <w:proofErr w:type="spellEnd"/>
      <w:r w:rsidRPr="00104EB9">
        <w:rPr>
          <w:rFonts w:cstheme="minorHAnsi"/>
        </w:rPr>
        <w:t xml:space="preserve">, </w:t>
      </w:r>
      <w:proofErr w:type="spellStart"/>
      <w:r w:rsidRPr="00104EB9">
        <w:rPr>
          <w:rFonts w:cstheme="minorHAnsi"/>
        </w:rPr>
        <w:t>Gettings</w:t>
      </w:r>
      <w:proofErr w:type="spellEnd"/>
      <w:r w:rsidRPr="00104EB9">
        <w:rPr>
          <w:rFonts w:cstheme="minorHAnsi"/>
        </w:rPr>
        <w:t xml:space="preserve">, and </w:t>
      </w:r>
      <w:proofErr w:type="spellStart"/>
      <w:r w:rsidRPr="00104EB9">
        <w:rPr>
          <w:rFonts w:cstheme="minorHAnsi"/>
        </w:rPr>
        <w:t>Purssell</w:t>
      </w:r>
      <w:proofErr w:type="spellEnd"/>
      <w:r w:rsidRPr="00104EB9">
        <w:rPr>
          <w:rFonts w:cstheme="minorHAnsi"/>
        </w:rPr>
        <w:t xml:space="preserve">, 2017); this highlights that excessive use of social media is detrimental to children and young people's health.    Social media platforms such as Facebook </w:t>
      </w:r>
      <w:proofErr w:type="gramStart"/>
      <w:r w:rsidRPr="00104EB9">
        <w:rPr>
          <w:rFonts w:cstheme="minorHAnsi"/>
        </w:rPr>
        <w:t>and  Instagram</w:t>
      </w:r>
      <w:proofErr w:type="gramEnd"/>
      <w:r w:rsidRPr="00104EB9">
        <w:rPr>
          <w:rFonts w:cstheme="minorHAnsi"/>
        </w:rPr>
        <w:t xml:space="preserve"> have a policy in place regarding the age at which children and young people are able to create accounts; the age required to join these platforms is thirteen (</w:t>
      </w:r>
      <w:proofErr w:type="spellStart"/>
      <w:r w:rsidRPr="00104EB9">
        <w:rPr>
          <w:rFonts w:cstheme="minorHAnsi"/>
        </w:rPr>
        <w:t>Charmaraman</w:t>
      </w:r>
      <w:proofErr w:type="spellEnd"/>
      <w:r w:rsidRPr="00104EB9">
        <w:rPr>
          <w:rFonts w:cstheme="minorHAnsi"/>
        </w:rPr>
        <w:t xml:space="preserve"> et al., 2022).  However, linking back to poor mental health, half of mental health problems experienced by young people start at age fourteen (UK Government, 2022).  This creates a significant link between poor mental health and social media usage.    Social media platforms are easily accessible; this can cause individuals to take advantage of others online; for example, children and young people are at an increased risk of experiencing cyberbullying (Office for National Statistics, 2020).    Cyberbullying is referred to bullying and harassment through media platforms (Englander et al., 2017).  The Office of National Statistics reported that one in five </w:t>
      </w:r>
      <w:r w:rsidRPr="00104EB9">
        <w:rPr>
          <w:rFonts w:cstheme="minorHAnsi"/>
        </w:rPr>
        <w:lastRenderedPageBreak/>
        <w:t xml:space="preserve">children aged between 10-15 years experienced a form of cyberbullying in 2020; however, more than half of these children who experienced a form of cyberbullying stated that 'they would not class the </w:t>
      </w:r>
      <w:proofErr w:type="spellStart"/>
      <w:r w:rsidRPr="00104EB9">
        <w:rPr>
          <w:rFonts w:cstheme="minorHAnsi"/>
        </w:rPr>
        <w:t>behaviors</w:t>
      </w:r>
      <w:proofErr w:type="spellEnd"/>
      <w:r w:rsidRPr="00104EB9">
        <w:rPr>
          <w:rFonts w:cstheme="minorHAnsi"/>
        </w:rPr>
        <w:t xml:space="preserve"> as bullying' (Office of National Statistics, 2020).  Linking back to the Welsh curriculum, children and young people are not receiving effective education about forms of bullying online, as children and young people are unable to identify forms of online bullying.</w:t>
      </w:r>
    </w:p>
    <w:p w14:paraId="2E1274FA" w14:textId="77777777" w:rsidR="00104EB9" w:rsidRPr="00104EB9" w:rsidRDefault="00104EB9" w:rsidP="00104EB9">
      <w:pPr>
        <w:spacing w:line="360" w:lineRule="auto"/>
        <w:rPr>
          <w:rFonts w:cstheme="minorHAnsi"/>
        </w:rPr>
      </w:pPr>
    </w:p>
    <w:p w14:paraId="151E53EB" w14:textId="77777777" w:rsidR="00104EB9" w:rsidRPr="00104EB9" w:rsidRDefault="00104EB9" w:rsidP="00104EB9">
      <w:pPr>
        <w:spacing w:line="360" w:lineRule="auto"/>
        <w:rPr>
          <w:rFonts w:cstheme="minorHAnsi"/>
        </w:rPr>
      </w:pPr>
      <w:r w:rsidRPr="00104EB9">
        <w:rPr>
          <w:rFonts w:cstheme="minorHAnsi"/>
        </w:rPr>
        <w:t xml:space="preserve">A quantitative study conducted by </w:t>
      </w:r>
      <w:proofErr w:type="spellStart"/>
      <w:r w:rsidRPr="00104EB9">
        <w:rPr>
          <w:rFonts w:cstheme="minorHAnsi"/>
        </w:rPr>
        <w:t>Keles</w:t>
      </w:r>
      <w:proofErr w:type="spellEnd"/>
      <w:r w:rsidRPr="00104EB9">
        <w:rPr>
          <w:rFonts w:cstheme="minorHAnsi"/>
        </w:rPr>
        <w:t xml:space="preserve">, </w:t>
      </w:r>
      <w:proofErr w:type="spellStart"/>
      <w:r w:rsidRPr="00104EB9">
        <w:rPr>
          <w:rFonts w:cstheme="minorHAnsi"/>
        </w:rPr>
        <w:t>Mcrae</w:t>
      </w:r>
      <w:proofErr w:type="spellEnd"/>
      <w:r w:rsidRPr="00104EB9">
        <w:rPr>
          <w:rFonts w:cstheme="minorHAnsi"/>
        </w:rPr>
        <w:t xml:space="preserve">, and </w:t>
      </w:r>
      <w:proofErr w:type="spellStart"/>
      <w:r w:rsidRPr="00104EB9">
        <w:rPr>
          <w:rFonts w:cstheme="minorHAnsi"/>
        </w:rPr>
        <w:t>Grealish</w:t>
      </w:r>
      <w:proofErr w:type="spellEnd"/>
      <w:r w:rsidRPr="00104EB9">
        <w:rPr>
          <w:rFonts w:cstheme="minorHAnsi"/>
        </w:rPr>
        <w:t xml:space="preserve"> (2019) investigated the link between social media and poor mental health.  This study was carried out through the analysis of databases and was inclusive to adolescents aged between 13-18 who were active members online.  The findings of this study highlighted that there is a link between social media and mental health disorders.  </w:t>
      </w:r>
      <w:proofErr w:type="gramStart"/>
      <w:r w:rsidRPr="00104EB9">
        <w:rPr>
          <w:rFonts w:cstheme="minorHAnsi"/>
        </w:rPr>
        <w:t>Similar to</w:t>
      </w:r>
      <w:proofErr w:type="gramEnd"/>
      <w:r w:rsidRPr="00104EB9">
        <w:rPr>
          <w:rFonts w:cstheme="minorHAnsi"/>
        </w:rPr>
        <w:t xml:space="preserve"> Kraut's (1998), Young and Rogers (1998) perspective on social media, this study also identified that the more time an individual spends online, the more active they are on social media leads to an ongoing addictive habit whilst also increasing the risk of mental health disorders.  This study links social media to an unhealthy addiction, outlining that excessive consumption of digital platforms causes addictive habits, for example, the amount of time an individual spends online.  In 2020, it was recorded that the average child between the age of 12-15 spent an estimated 20 hours per week online (Guttman, 2023), suggesting that they are addicted and engrossed in online platforms and media.</w:t>
      </w:r>
    </w:p>
    <w:p w14:paraId="47862195" w14:textId="77777777" w:rsidR="00104EB9" w:rsidRPr="00104EB9" w:rsidRDefault="00104EB9" w:rsidP="00104EB9">
      <w:pPr>
        <w:spacing w:line="360" w:lineRule="auto"/>
        <w:rPr>
          <w:rFonts w:cstheme="minorHAnsi"/>
        </w:rPr>
      </w:pPr>
    </w:p>
    <w:p w14:paraId="7FC32858" w14:textId="77777777" w:rsidR="00104EB9" w:rsidRPr="00104EB9" w:rsidRDefault="00104EB9" w:rsidP="00104EB9">
      <w:pPr>
        <w:spacing w:line="360" w:lineRule="auto"/>
        <w:rPr>
          <w:rFonts w:cstheme="minorHAnsi"/>
        </w:rPr>
      </w:pPr>
      <w:r w:rsidRPr="00104EB9">
        <w:rPr>
          <w:rFonts w:cstheme="minorHAnsi"/>
        </w:rPr>
        <w:t xml:space="preserve">A further study investigating the link between social media is a study conducted by Woods and Scott (2016).  </w:t>
      </w:r>
      <w:proofErr w:type="gramStart"/>
      <w:r w:rsidRPr="00104EB9">
        <w:rPr>
          <w:rFonts w:cstheme="minorHAnsi"/>
        </w:rPr>
        <w:t>Similar to</w:t>
      </w:r>
      <w:proofErr w:type="gramEnd"/>
      <w:r w:rsidRPr="00104EB9">
        <w:rPr>
          <w:rFonts w:cstheme="minorHAnsi"/>
        </w:rPr>
        <w:t xml:space="preserve"> the previous study </w:t>
      </w:r>
      <w:proofErr w:type="spellStart"/>
      <w:r w:rsidRPr="00104EB9">
        <w:rPr>
          <w:rFonts w:cstheme="minorHAnsi"/>
        </w:rPr>
        <w:t>analsyed</w:t>
      </w:r>
      <w:proofErr w:type="spellEnd"/>
      <w:r w:rsidRPr="00104EB9">
        <w:rPr>
          <w:rFonts w:cstheme="minorHAnsi"/>
        </w:rPr>
        <w:t>, the purpose of this study was to identify the link between social media and poor mental health.  This study was conducted through online questionnaires focusing on 467 young people.  The findings of this study indicated that adolescents who use social media are at an increasing rate of experiencing low self-esteem and poor well-being.  Low levels of sleep and social media were also linked to this study, recognising that young people who are more emotionally invested in media have poorer sleep (Woods and Scott, 2016).  Lower levels of sleep are associated with risk factors such as depression, anxiety, and low-</w:t>
      </w:r>
      <w:proofErr w:type="spellStart"/>
      <w:r w:rsidRPr="00104EB9">
        <w:rPr>
          <w:rFonts w:cstheme="minorHAnsi"/>
        </w:rPr>
        <w:t>self esteem</w:t>
      </w:r>
      <w:proofErr w:type="spellEnd"/>
      <w:r w:rsidRPr="00104EB9">
        <w:rPr>
          <w:rFonts w:cstheme="minorHAnsi"/>
        </w:rPr>
        <w:t xml:space="preserve">, which contribute to poor self-image and well-being.  There has been an increase in children and young people experiencing poor mental health; the Health Foundation (2022) outlines that there has been </w:t>
      </w:r>
      <w:r w:rsidRPr="00104EB9">
        <w:rPr>
          <w:rFonts w:cstheme="minorHAnsi"/>
        </w:rPr>
        <w:lastRenderedPageBreak/>
        <w:t>a 60% increase in children and young people with probable mental health disorders since 2017, again linking the rapid growth of social media in recent years because of the Coronavirus Pandemic to the increased rate of children and young people experiencing poor mental health.</w:t>
      </w:r>
    </w:p>
    <w:p w14:paraId="7CEFA24A" w14:textId="77777777" w:rsidR="00104EB9" w:rsidRPr="00104EB9" w:rsidRDefault="00104EB9" w:rsidP="00104EB9">
      <w:pPr>
        <w:spacing w:line="360" w:lineRule="auto"/>
        <w:rPr>
          <w:rFonts w:cstheme="minorHAnsi"/>
        </w:rPr>
      </w:pPr>
    </w:p>
    <w:p w14:paraId="1031E77F" w14:textId="77777777" w:rsidR="00104EB9" w:rsidRPr="00104EB9" w:rsidRDefault="00104EB9" w:rsidP="00104EB9">
      <w:pPr>
        <w:spacing w:line="360" w:lineRule="auto"/>
        <w:rPr>
          <w:rFonts w:cstheme="minorHAnsi"/>
        </w:rPr>
      </w:pPr>
    </w:p>
    <w:p w14:paraId="658ABB4A" w14:textId="3A3ABB46" w:rsidR="00104EB9" w:rsidRPr="00104EB9" w:rsidRDefault="00104EB9" w:rsidP="00104EB9">
      <w:pPr>
        <w:spacing w:line="360" w:lineRule="auto"/>
        <w:rPr>
          <w:rFonts w:cstheme="minorHAnsi"/>
        </w:rPr>
      </w:pPr>
      <w:r w:rsidRPr="00104EB9">
        <w:rPr>
          <w:rFonts w:cstheme="minorHAnsi"/>
        </w:rPr>
        <w:t xml:space="preserve">Focusing on the UK, there are policies in place aiming to protect children and young people online, such as the online safety bill.  The online safety bill was established in 2022 to protect children and young people from illegal content available online (UK Government, 2022).  This Act causes social media platforms to be responsible for the content shared online and the safety of its users.  Forms of illegal content within this Act include child abuse, hate crime, sexual violence, and fraud (UK Government, 2022).  However, there are forms of violence that the safety bill does not consider illegal content; for example, the online safety bill does not regard cyberbullying as illegal or other age-inappropriate content, such as pornographic content and content that does not meet a criminal level but promotes eating disorders, suicide, and self-harm (UK Government, 2022).  There are many cases in which suicide and self-harm content has been detrimental to children and young people's mental health.    One case in which this type of content has caused significant harm is Molly Russell.    Molly Russell was fourteen years of age and had access to social media platforms.    The social media platform 'Instagram,' which Molly Russell engaged with, presented suicidal posts and self-harm images on the adolescent account through an algorithm, resulting in the 14-year-old girl committing suicide (BBC News, 2021).  Molly Russell viewed her Instagram account more than 120 times a day, linking to Kraut (1998) and Young and Rogers (1998); this outlines that excessive time spent on social media increases the risk of poor mental health.    The reason for Molly Russell's death was identified as the negative effects of online content rather than an act of personal self-harm (NSPCC, 2022), emphasising the negative impacts of social media platforms on children and young people.  This highlights that content that should not be advertised to children and young people and those vulnerable are being advertised through social media platforms, creating poor physical, psychological, and emotional health.  </w:t>
      </w:r>
    </w:p>
    <w:p w14:paraId="16400304" w14:textId="77777777" w:rsidR="00104EB9" w:rsidRPr="00104EB9" w:rsidRDefault="00104EB9" w:rsidP="00104EB9">
      <w:pPr>
        <w:spacing w:line="360" w:lineRule="auto"/>
        <w:rPr>
          <w:rFonts w:cstheme="minorHAnsi"/>
        </w:rPr>
      </w:pPr>
    </w:p>
    <w:p w14:paraId="30C070F8" w14:textId="77777777" w:rsidR="00104EB9" w:rsidRPr="00104EB9" w:rsidRDefault="00104EB9" w:rsidP="00104EB9">
      <w:pPr>
        <w:spacing w:line="360" w:lineRule="auto"/>
        <w:rPr>
          <w:rFonts w:cstheme="minorHAnsi"/>
        </w:rPr>
      </w:pPr>
      <w:r w:rsidRPr="00104EB9">
        <w:rPr>
          <w:rFonts w:cstheme="minorHAnsi"/>
        </w:rPr>
        <w:lastRenderedPageBreak/>
        <w:t>Although the online safety bill (2022) causes media platforms to become responsible for the content shared online, figures show from Snapchat's 2022 annual report that numerous factors that cause children and young people harm are not being removed (Snapchat, 2023).  The figures from this social media platform report show that in 2022 there were over one million reports of online bullying and harassment; however, this platform only removed 400,000 of this content (Snapchat, 2023).  Similarly, there were over seven million reports associated with sexual content; however, only four million pieces of this content were taken down (Snapchat, 2023).  These figures outline that media platforms fail to remove all harmful content, causing children and young people ongoing harm, whilst also questioning the effectiveness of the online safety bill.</w:t>
      </w:r>
    </w:p>
    <w:p w14:paraId="61BA9CA1" w14:textId="77777777" w:rsidR="00104EB9" w:rsidRPr="00104EB9" w:rsidRDefault="00104EB9" w:rsidP="00104EB9">
      <w:pPr>
        <w:spacing w:line="360" w:lineRule="auto"/>
        <w:rPr>
          <w:rFonts w:cstheme="minorHAnsi"/>
        </w:rPr>
      </w:pPr>
    </w:p>
    <w:p w14:paraId="4F17B1B7" w14:textId="03319089" w:rsidR="00104EB9" w:rsidRPr="00104EB9" w:rsidRDefault="00104EB9" w:rsidP="00104EB9">
      <w:pPr>
        <w:spacing w:line="360" w:lineRule="auto"/>
        <w:rPr>
          <w:rFonts w:cstheme="minorHAnsi"/>
        </w:rPr>
      </w:pPr>
      <w:r w:rsidRPr="00104EB9">
        <w:rPr>
          <w:rFonts w:cstheme="minorHAnsi"/>
        </w:rPr>
        <w:t>A second policy in place established by the UK Government aiming to protect children and young people is the Sexual Offences Act 2003 (Government Legalisation, 2003).  This Act protects children and young people from sexual harm (Government Legalisation, 2003).    Section 15A of this Act states that it is unlawful for an adult to intentionally communicate with a child under the age of 16 with sexual intent (Government Legalisation, 2003).  However, figures revealed in 2022 that there had been an 80% increase in child online grooming cases within the last four years (NSPCC, 2022).  Child online grooming, also known as online child abuse (Whittle et al., 2013), can cause increasing harm to adolescents.    Children and young people who are exploited by this behaviour online are at an increased risk of experiencing long-term mental health disorders, such as depression, anxiety, and post-traumatic disorder (</w:t>
      </w:r>
      <w:proofErr w:type="spellStart"/>
      <w:r w:rsidRPr="00104EB9">
        <w:rPr>
          <w:rFonts w:cstheme="minorHAnsi"/>
        </w:rPr>
        <w:t>Inhope</w:t>
      </w:r>
      <w:proofErr w:type="spellEnd"/>
      <w:r w:rsidRPr="00104EB9">
        <w:rPr>
          <w:rFonts w:cstheme="minorHAnsi"/>
        </w:rPr>
        <w:t xml:space="preserve">, 2022).  This emphasises the continuous risk factors children and young people can experience online, which can have long-term negative impacts on their overall health and well-being. </w:t>
      </w:r>
    </w:p>
    <w:p w14:paraId="5B09A287" w14:textId="77777777" w:rsidR="00104EB9" w:rsidRPr="00104EB9" w:rsidRDefault="00104EB9" w:rsidP="00104EB9">
      <w:pPr>
        <w:spacing w:line="360" w:lineRule="auto"/>
        <w:rPr>
          <w:rFonts w:cstheme="minorHAnsi"/>
        </w:rPr>
      </w:pPr>
    </w:p>
    <w:p w14:paraId="1BAD0836" w14:textId="77777777" w:rsidR="00104EB9" w:rsidRPr="00104EB9" w:rsidRDefault="00104EB9" w:rsidP="00104EB9">
      <w:pPr>
        <w:spacing w:line="360" w:lineRule="auto"/>
        <w:rPr>
          <w:rFonts w:cstheme="minorHAnsi"/>
        </w:rPr>
      </w:pPr>
      <w:r w:rsidRPr="00104EB9">
        <w:rPr>
          <w:rFonts w:cstheme="minorHAnsi"/>
        </w:rPr>
        <w:t>Author's standpoint on digital media for children and young people and conclusion</w:t>
      </w:r>
    </w:p>
    <w:p w14:paraId="5820BA0F" w14:textId="77777777" w:rsidR="00104EB9" w:rsidRPr="00104EB9" w:rsidRDefault="00104EB9" w:rsidP="00104EB9">
      <w:pPr>
        <w:spacing w:line="360" w:lineRule="auto"/>
        <w:rPr>
          <w:rFonts w:cstheme="minorHAnsi"/>
        </w:rPr>
      </w:pPr>
    </w:p>
    <w:p w14:paraId="7A8EC55C" w14:textId="77777777" w:rsidR="00104EB9" w:rsidRPr="00104EB9" w:rsidRDefault="00104EB9" w:rsidP="00104EB9">
      <w:pPr>
        <w:spacing w:line="360" w:lineRule="auto"/>
        <w:rPr>
          <w:rFonts w:cstheme="minorHAnsi"/>
        </w:rPr>
      </w:pPr>
      <w:r w:rsidRPr="00104EB9">
        <w:rPr>
          <w:rFonts w:cstheme="minorHAnsi"/>
        </w:rPr>
        <w:t xml:space="preserve">Media platforms are negative factors in children's and young people's lives- it is a detriment to their overall health and well-being.  Media platforms do not remove all harmful content online, and as a consequence of this, children are exposed to age-inappropriate content such as pornographic content and content that advertises self-harm.  Children and young people are also at an increased risk of experiencing cyberbullying and poor mental health as </w:t>
      </w:r>
      <w:r w:rsidRPr="00104EB9">
        <w:rPr>
          <w:rFonts w:cstheme="minorHAnsi"/>
        </w:rPr>
        <w:lastRenderedPageBreak/>
        <w:t>a result of the exploitation of social media.  Overall social media platforms do not meet the needs of children and young people; however, they cause harm.</w:t>
      </w:r>
    </w:p>
    <w:p w14:paraId="52365A8C" w14:textId="77777777" w:rsidR="00104EB9" w:rsidRPr="00104EB9" w:rsidRDefault="00104EB9" w:rsidP="00104EB9">
      <w:pPr>
        <w:spacing w:line="360" w:lineRule="auto"/>
        <w:rPr>
          <w:rFonts w:cstheme="minorHAnsi"/>
        </w:rPr>
      </w:pPr>
    </w:p>
    <w:p w14:paraId="522DCD23" w14:textId="6C840AB4" w:rsidR="0027665B" w:rsidRDefault="00104EB9" w:rsidP="00104EB9">
      <w:pPr>
        <w:spacing w:line="360" w:lineRule="auto"/>
        <w:rPr>
          <w:rFonts w:cstheme="minorHAnsi"/>
        </w:rPr>
      </w:pPr>
      <w:r w:rsidRPr="00104EB9">
        <w:rPr>
          <w:rFonts w:cstheme="minorHAnsi"/>
        </w:rPr>
        <w:t xml:space="preserve">This supporting paper has focused on digital media and the impacts of media platforms on children and young people.  This paper included information about digital media whilst also defining key terms.  </w:t>
      </w:r>
      <w:proofErr w:type="spellStart"/>
      <w:r w:rsidRPr="00104EB9">
        <w:rPr>
          <w:rFonts w:cstheme="minorHAnsi"/>
        </w:rPr>
        <w:t>Keles</w:t>
      </w:r>
      <w:proofErr w:type="spellEnd"/>
      <w:r w:rsidRPr="00104EB9">
        <w:rPr>
          <w:rFonts w:cstheme="minorHAnsi"/>
        </w:rPr>
        <w:t xml:space="preserve">, </w:t>
      </w:r>
      <w:proofErr w:type="spellStart"/>
      <w:r w:rsidRPr="00104EB9">
        <w:rPr>
          <w:rFonts w:cstheme="minorHAnsi"/>
        </w:rPr>
        <w:t>Mcrae</w:t>
      </w:r>
      <w:proofErr w:type="spellEnd"/>
      <w:r w:rsidRPr="00104EB9">
        <w:rPr>
          <w:rFonts w:cstheme="minorHAnsi"/>
        </w:rPr>
        <w:t xml:space="preserve">, and </w:t>
      </w:r>
      <w:proofErr w:type="spellStart"/>
      <w:r w:rsidRPr="00104EB9">
        <w:rPr>
          <w:rFonts w:cstheme="minorHAnsi"/>
        </w:rPr>
        <w:t>Grealish</w:t>
      </w:r>
      <w:proofErr w:type="spellEnd"/>
      <w:r w:rsidRPr="00104EB9">
        <w:rPr>
          <w:rFonts w:cstheme="minorHAnsi"/>
        </w:rPr>
        <w:t xml:space="preserve"> (2019</w:t>
      </w:r>
      <w:r w:rsidR="000617D8" w:rsidRPr="00104EB9">
        <w:rPr>
          <w:rFonts w:cstheme="minorHAnsi"/>
        </w:rPr>
        <w:t>) and</w:t>
      </w:r>
      <w:r w:rsidRPr="00104EB9">
        <w:rPr>
          <w:rFonts w:cstheme="minorHAnsi"/>
        </w:rPr>
        <w:t xml:space="preserve"> Woods and Scott (2016 investigations were included in this supporting paper, outlining that excessive use of social media platforms contributes to poor mental health disorders.  UK policies, such as the online safety bill (2022) and The Sexual Offences Act 2003, were discussed in this paper, providing information about these policies and the aims included within these laws.  This supporting paper included one case in which content has caused significant harm, this being the case of Molly Russell, outlining that content shared on social media is age-inappropriate to children and young people, which detriments their overall health and well-being.</w:t>
      </w:r>
    </w:p>
    <w:p w14:paraId="209B8950" w14:textId="09EF8786" w:rsidR="000617D8" w:rsidRDefault="000617D8" w:rsidP="00104EB9">
      <w:pPr>
        <w:spacing w:line="360" w:lineRule="auto"/>
        <w:rPr>
          <w:rFonts w:cstheme="minorHAnsi"/>
        </w:rPr>
      </w:pPr>
    </w:p>
    <w:p w14:paraId="452EE1C4" w14:textId="3297FDFC" w:rsidR="000617D8" w:rsidRDefault="000617D8" w:rsidP="00104EB9">
      <w:pPr>
        <w:spacing w:line="360" w:lineRule="auto"/>
        <w:rPr>
          <w:rFonts w:cstheme="minorHAnsi"/>
        </w:rPr>
      </w:pPr>
    </w:p>
    <w:p w14:paraId="0BF787F7" w14:textId="3227B2EC" w:rsidR="000617D8" w:rsidRDefault="000617D8" w:rsidP="00104EB9">
      <w:pPr>
        <w:spacing w:line="360" w:lineRule="auto"/>
        <w:rPr>
          <w:rFonts w:cstheme="minorHAnsi"/>
        </w:rPr>
      </w:pPr>
    </w:p>
    <w:p w14:paraId="3807D74F" w14:textId="1FDBC7CB" w:rsidR="000617D8" w:rsidRDefault="000617D8" w:rsidP="00104EB9">
      <w:pPr>
        <w:spacing w:line="360" w:lineRule="auto"/>
        <w:rPr>
          <w:rFonts w:cstheme="minorHAnsi"/>
        </w:rPr>
      </w:pPr>
    </w:p>
    <w:p w14:paraId="4D8C8545" w14:textId="22E18FB2" w:rsidR="000617D8" w:rsidRDefault="000617D8" w:rsidP="00104EB9">
      <w:pPr>
        <w:spacing w:line="360" w:lineRule="auto"/>
        <w:rPr>
          <w:rFonts w:cstheme="minorHAnsi"/>
        </w:rPr>
      </w:pPr>
    </w:p>
    <w:p w14:paraId="42525B28" w14:textId="6C7FEFE9" w:rsidR="000617D8" w:rsidRDefault="000617D8" w:rsidP="00104EB9">
      <w:pPr>
        <w:spacing w:line="360" w:lineRule="auto"/>
        <w:rPr>
          <w:rFonts w:cstheme="minorHAnsi"/>
        </w:rPr>
      </w:pPr>
    </w:p>
    <w:p w14:paraId="0323AA72" w14:textId="0A4E8101" w:rsidR="000617D8" w:rsidRDefault="000617D8" w:rsidP="00104EB9">
      <w:pPr>
        <w:spacing w:line="360" w:lineRule="auto"/>
        <w:rPr>
          <w:rFonts w:cstheme="minorHAnsi"/>
        </w:rPr>
      </w:pPr>
    </w:p>
    <w:p w14:paraId="00B7AF94" w14:textId="21D76B51" w:rsidR="000617D8" w:rsidRDefault="000617D8" w:rsidP="00104EB9">
      <w:pPr>
        <w:spacing w:line="360" w:lineRule="auto"/>
        <w:rPr>
          <w:rFonts w:cstheme="minorHAnsi"/>
        </w:rPr>
      </w:pPr>
    </w:p>
    <w:p w14:paraId="603CD39A" w14:textId="188E9CD8" w:rsidR="000617D8" w:rsidRDefault="000617D8" w:rsidP="00104EB9">
      <w:pPr>
        <w:spacing w:line="360" w:lineRule="auto"/>
        <w:rPr>
          <w:rFonts w:cstheme="minorHAnsi"/>
        </w:rPr>
      </w:pPr>
    </w:p>
    <w:p w14:paraId="3223B6D4" w14:textId="1F29AAE0" w:rsidR="000617D8" w:rsidRDefault="000617D8" w:rsidP="00104EB9">
      <w:pPr>
        <w:spacing w:line="360" w:lineRule="auto"/>
        <w:rPr>
          <w:rFonts w:cstheme="minorHAnsi"/>
        </w:rPr>
      </w:pPr>
    </w:p>
    <w:p w14:paraId="1C8D0E45" w14:textId="6A693E10" w:rsidR="000617D8" w:rsidRDefault="000617D8" w:rsidP="00104EB9">
      <w:pPr>
        <w:spacing w:line="360" w:lineRule="auto"/>
        <w:rPr>
          <w:rFonts w:cstheme="minorHAnsi"/>
        </w:rPr>
      </w:pPr>
    </w:p>
    <w:p w14:paraId="627ED336" w14:textId="3679B1EF" w:rsidR="000617D8" w:rsidRDefault="000617D8" w:rsidP="00104EB9">
      <w:pPr>
        <w:spacing w:line="360" w:lineRule="auto"/>
        <w:rPr>
          <w:rFonts w:cstheme="minorHAnsi"/>
        </w:rPr>
      </w:pPr>
    </w:p>
    <w:p w14:paraId="75ABE634" w14:textId="5EAB4490" w:rsidR="000617D8" w:rsidRDefault="000617D8" w:rsidP="00104EB9">
      <w:pPr>
        <w:spacing w:line="360" w:lineRule="auto"/>
        <w:rPr>
          <w:rFonts w:cstheme="minorHAnsi"/>
        </w:rPr>
      </w:pPr>
    </w:p>
    <w:p w14:paraId="6B7222E6" w14:textId="14B1C28D" w:rsidR="000617D8" w:rsidRDefault="000617D8" w:rsidP="00104EB9">
      <w:pPr>
        <w:spacing w:line="360" w:lineRule="auto"/>
        <w:rPr>
          <w:rFonts w:cstheme="minorHAnsi"/>
        </w:rPr>
      </w:pPr>
    </w:p>
    <w:p w14:paraId="02814B68" w14:textId="35368064" w:rsidR="000617D8" w:rsidRDefault="000617D8" w:rsidP="00104EB9">
      <w:pPr>
        <w:spacing w:line="360" w:lineRule="auto"/>
        <w:rPr>
          <w:rFonts w:cstheme="minorHAnsi"/>
        </w:rPr>
      </w:pPr>
    </w:p>
    <w:p w14:paraId="06E84B3C" w14:textId="189AEB2E" w:rsidR="000617D8" w:rsidRDefault="000617D8" w:rsidP="00104EB9">
      <w:pPr>
        <w:spacing w:line="360" w:lineRule="auto"/>
        <w:rPr>
          <w:rFonts w:cstheme="minorHAnsi"/>
        </w:rPr>
      </w:pPr>
    </w:p>
    <w:p w14:paraId="0A3D07E6" w14:textId="6264C145" w:rsidR="000617D8" w:rsidRDefault="000617D8" w:rsidP="00104EB9">
      <w:pPr>
        <w:spacing w:line="360" w:lineRule="auto"/>
        <w:rPr>
          <w:rFonts w:cstheme="minorHAnsi"/>
        </w:rPr>
      </w:pPr>
    </w:p>
    <w:p w14:paraId="4E574F2E" w14:textId="06856CC2" w:rsidR="000617D8" w:rsidRDefault="000617D8" w:rsidP="00104EB9">
      <w:pPr>
        <w:spacing w:line="360" w:lineRule="auto"/>
        <w:rPr>
          <w:rFonts w:cstheme="minorHAnsi"/>
        </w:rPr>
      </w:pPr>
    </w:p>
    <w:p w14:paraId="47AA082C" w14:textId="61085494" w:rsidR="000617D8" w:rsidRDefault="000617D8" w:rsidP="00104EB9">
      <w:pPr>
        <w:spacing w:line="360" w:lineRule="auto"/>
        <w:rPr>
          <w:rFonts w:cstheme="minorHAnsi"/>
        </w:rPr>
      </w:pPr>
    </w:p>
    <w:p w14:paraId="17A18E61" w14:textId="2A0FC597" w:rsidR="000617D8" w:rsidRDefault="000617D8" w:rsidP="00104EB9">
      <w:pPr>
        <w:spacing w:line="360" w:lineRule="auto"/>
        <w:rPr>
          <w:rFonts w:cstheme="minorHAnsi"/>
        </w:rPr>
      </w:pPr>
      <w:r>
        <w:rPr>
          <w:rFonts w:cstheme="minorHAnsi"/>
        </w:rPr>
        <w:lastRenderedPageBreak/>
        <w:t xml:space="preserve">References </w:t>
      </w:r>
    </w:p>
    <w:p w14:paraId="676BA6A3" w14:textId="0841DEA4" w:rsidR="000617D8" w:rsidRDefault="000617D8" w:rsidP="000617D8">
      <w:pPr>
        <w:spacing w:line="360" w:lineRule="auto"/>
        <w:ind w:left="720"/>
        <w:rPr>
          <w:rFonts w:cstheme="minorHAnsi"/>
        </w:rPr>
      </w:pPr>
      <w:r w:rsidRPr="000617D8">
        <w:rPr>
          <w:rFonts w:cstheme="minorHAnsi"/>
        </w:rPr>
        <w:t xml:space="preserve">BBC News (2021). ‘Molly </w:t>
      </w:r>
      <w:proofErr w:type="spellStart"/>
      <w:r w:rsidRPr="000617D8">
        <w:rPr>
          <w:rFonts w:cstheme="minorHAnsi"/>
        </w:rPr>
        <w:t>Rusell</w:t>
      </w:r>
      <w:proofErr w:type="spellEnd"/>
      <w:r w:rsidRPr="000617D8">
        <w:rPr>
          <w:rFonts w:cstheme="minorHAnsi"/>
        </w:rPr>
        <w:t>: social media users at risk over self-harm inquest delay’. Available at: www.bbc.co.uk/news/uk-england-london-55986728. (Accessed on 27 March 2023)</w:t>
      </w:r>
    </w:p>
    <w:p w14:paraId="6206FDB0" w14:textId="77777777" w:rsidR="000617D8" w:rsidRPr="000617D8" w:rsidRDefault="000617D8" w:rsidP="000617D8">
      <w:pPr>
        <w:spacing w:line="360" w:lineRule="auto"/>
        <w:ind w:left="720"/>
        <w:rPr>
          <w:rFonts w:cstheme="minorHAnsi"/>
        </w:rPr>
      </w:pPr>
    </w:p>
    <w:p w14:paraId="27E4BC78" w14:textId="413F270C" w:rsidR="000617D8" w:rsidRDefault="000617D8" w:rsidP="000617D8">
      <w:pPr>
        <w:spacing w:line="360" w:lineRule="auto"/>
        <w:ind w:left="720"/>
        <w:rPr>
          <w:rFonts w:cstheme="minorHAnsi"/>
        </w:rPr>
      </w:pPr>
      <w:proofErr w:type="spellStart"/>
      <w:r w:rsidRPr="000617D8">
        <w:rPr>
          <w:rFonts w:cstheme="minorHAnsi"/>
        </w:rPr>
        <w:t>Charmaraman</w:t>
      </w:r>
      <w:proofErr w:type="spellEnd"/>
      <w:r w:rsidRPr="000617D8">
        <w:rPr>
          <w:rFonts w:cstheme="minorHAnsi"/>
        </w:rPr>
        <w:t xml:space="preserve">, L., Lynch, A.D., Richer, A.M. and Grossman, J.M., 2022. Associations of early social media initiation on digital </w:t>
      </w:r>
      <w:proofErr w:type="spellStart"/>
      <w:r w:rsidRPr="000617D8">
        <w:rPr>
          <w:rFonts w:cstheme="minorHAnsi"/>
        </w:rPr>
        <w:t>behaviors</w:t>
      </w:r>
      <w:proofErr w:type="spellEnd"/>
      <w:r w:rsidRPr="000617D8">
        <w:rPr>
          <w:rFonts w:cstheme="minorHAnsi"/>
        </w:rPr>
        <w:t xml:space="preserve"> and the moderating role of limiting use. </w:t>
      </w:r>
      <w:r w:rsidRPr="000617D8">
        <w:rPr>
          <w:rFonts w:cstheme="minorHAnsi"/>
          <w:i/>
          <w:iCs/>
        </w:rPr>
        <w:t xml:space="preserve">Computers in Human </w:t>
      </w:r>
      <w:proofErr w:type="spellStart"/>
      <w:r w:rsidRPr="000617D8">
        <w:rPr>
          <w:rFonts w:cstheme="minorHAnsi"/>
          <w:i/>
          <w:iCs/>
        </w:rPr>
        <w:t>Behavior</w:t>
      </w:r>
      <w:proofErr w:type="spellEnd"/>
      <w:r w:rsidRPr="000617D8">
        <w:rPr>
          <w:rFonts w:cstheme="minorHAnsi"/>
        </w:rPr>
        <w:t>, </w:t>
      </w:r>
      <w:r w:rsidRPr="000617D8">
        <w:rPr>
          <w:rFonts w:cstheme="minorHAnsi"/>
          <w:i/>
          <w:iCs/>
        </w:rPr>
        <w:t>127</w:t>
      </w:r>
      <w:r w:rsidRPr="000617D8">
        <w:rPr>
          <w:rFonts w:cstheme="minorHAnsi"/>
        </w:rPr>
        <w:t>, p.107053</w:t>
      </w:r>
    </w:p>
    <w:p w14:paraId="2EC9D698" w14:textId="77777777" w:rsidR="000617D8" w:rsidRPr="000617D8" w:rsidRDefault="000617D8" w:rsidP="000617D8">
      <w:pPr>
        <w:spacing w:line="360" w:lineRule="auto"/>
        <w:ind w:left="720"/>
        <w:rPr>
          <w:rFonts w:cstheme="minorHAnsi"/>
        </w:rPr>
      </w:pPr>
    </w:p>
    <w:p w14:paraId="0D1F07BC" w14:textId="103A59E4" w:rsidR="000617D8" w:rsidRDefault="000617D8" w:rsidP="000617D8">
      <w:pPr>
        <w:spacing w:line="360" w:lineRule="auto"/>
        <w:ind w:left="720"/>
        <w:rPr>
          <w:rFonts w:cstheme="minorHAnsi"/>
        </w:rPr>
      </w:pPr>
      <w:r w:rsidRPr="000617D8">
        <w:rPr>
          <w:rFonts w:cstheme="minorHAnsi"/>
        </w:rPr>
        <w:t xml:space="preserve">Das. A (2020). ‘Impact of digital media on society </w:t>
      </w:r>
      <w:proofErr w:type="spellStart"/>
      <w:r w:rsidRPr="000617D8">
        <w:rPr>
          <w:rFonts w:cstheme="minorHAnsi"/>
        </w:rPr>
        <w:t>intorudction</w:t>
      </w:r>
      <w:proofErr w:type="spellEnd"/>
      <w:r w:rsidRPr="000617D8">
        <w:rPr>
          <w:rFonts w:cstheme="minorHAnsi"/>
        </w:rPr>
        <w:t xml:space="preserve">’. Available </w:t>
      </w:r>
      <w:proofErr w:type="gramStart"/>
      <w:r w:rsidRPr="000617D8">
        <w:rPr>
          <w:rFonts w:cstheme="minorHAnsi"/>
        </w:rPr>
        <w:t>at:www.researchgate.net/publication/347444440_IMPACT_OF_DIGITAL_MEDIA_ON_SOCIETY_Introduction</w:t>
      </w:r>
      <w:proofErr w:type="gramEnd"/>
      <w:r w:rsidRPr="000617D8">
        <w:rPr>
          <w:rFonts w:cstheme="minorHAnsi"/>
        </w:rPr>
        <w:t xml:space="preserve"> (Accessed on 2 April 2023)</w:t>
      </w:r>
    </w:p>
    <w:p w14:paraId="29973D0C" w14:textId="77777777" w:rsidR="000617D8" w:rsidRPr="000617D8" w:rsidRDefault="000617D8" w:rsidP="000617D8">
      <w:pPr>
        <w:spacing w:line="360" w:lineRule="auto"/>
        <w:ind w:left="720"/>
        <w:rPr>
          <w:rFonts w:cstheme="minorHAnsi"/>
        </w:rPr>
      </w:pPr>
    </w:p>
    <w:p w14:paraId="7A787D5A" w14:textId="2A0DB832" w:rsidR="000617D8" w:rsidRDefault="000617D8" w:rsidP="000617D8">
      <w:pPr>
        <w:spacing w:line="360" w:lineRule="auto"/>
        <w:ind w:left="720"/>
        <w:rPr>
          <w:rFonts w:cstheme="minorHAnsi"/>
        </w:rPr>
      </w:pPr>
      <w:r w:rsidRPr="000617D8">
        <w:rPr>
          <w:rFonts w:cstheme="minorHAnsi"/>
        </w:rPr>
        <w:t xml:space="preserve">De. R, Pandey N, Pal A. Impact of digital surge during Covid-19 pandemic: A viewpoint on research and practice. Int J Inf Manage. 2020 </w:t>
      </w:r>
      <w:proofErr w:type="gramStart"/>
      <w:r w:rsidRPr="000617D8">
        <w:rPr>
          <w:rFonts w:cstheme="minorHAnsi"/>
        </w:rPr>
        <w:t>Dec;55:102171</w:t>
      </w:r>
      <w:proofErr w:type="gramEnd"/>
      <w:r w:rsidRPr="000617D8">
        <w:rPr>
          <w:rFonts w:cstheme="minorHAnsi"/>
        </w:rPr>
        <w:t xml:space="preserve">. </w:t>
      </w:r>
      <w:proofErr w:type="spellStart"/>
      <w:r w:rsidRPr="000617D8">
        <w:rPr>
          <w:rFonts w:cstheme="minorHAnsi"/>
        </w:rPr>
        <w:t>doi</w:t>
      </w:r>
      <w:proofErr w:type="spellEnd"/>
      <w:r w:rsidRPr="000617D8">
        <w:rPr>
          <w:rFonts w:cstheme="minorHAnsi"/>
        </w:rPr>
        <w:t xml:space="preserve">: 10.1016/j.ijinfomgt.2020.102171. </w:t>
      </w:r>
      <w:proofErr w:type="spellStart"/>
      <w:r w:rsidRPr="000617D8">
        <w:rPr>
          <w:rFonts w:cstheme="minorHAnsi"/>
        </w:rPr>
        <w:t>Epub</w:t>
      </w:r>
      <w:proofErr w:type="spellEnd"/>
      <w:r w:rsidRPr="000617D8">
        <w:rPr>
          <w:rFonts w:cstheme="minorHAnsi"/>
        </w:rPr>
        <w:t xml:space="preserve"> 2020 Jun 9. PMID: 32836633; PMCID: PMC7280123.</w:t>
      </w:r>
    </w:p>
    <w:p w14:paraId="6B6030E6" w14:textId="77777777" w:rsidR="000617D8" w:rsidRPr="000617D8" w:rsidRDefault="000617D8" w:rsidP="000617D8">
      <w:pPr>
        <w:spacing w:line="360" w:lineRule="auto"/>
        <w:ind w:left="720"/>
        <w:rPr>
          <w:rFonts w:cstheme="minorHAnsi"/>
        </w:rPr>
      </w:pPr>
    </w:p>
    <w:p w14:paraId="7B6DDF87" w14:textId="6440E67B" w:rsidR="000617D8" w:rsidRDefault="000617D8" w:rsidP="000617D8">
      <w:pPr>
        <w:spacing w:line="360" w:lineRule="auto"/>
        <w:ind w:left="720"/>
        <w:rPr>
          <w:rFonts w:cstheme="minorHAnsi"/>
        </w:rPr>
      </w:pPr>
      <w:proofErr w:type="spellStart"/>
      <w:r w:rsidRPr="000617D8">
        <w:rPr>
          <w:rFonts w:cstheme="minorHAnsi"/>
        </w:rPr>
        <w:t>Faizi</w:t>
      </w:r>
      <w:proofErr w:type="spellEnd"/>
      <w:r w:rsidRPr="000617D8">
        <w:rPr>
          <w:rFonts w:cstheme="minorHAnsi"/>
        </w:rPr>
        <w:t xml:space="preserve">, R., El Afia, A. and </w:t>
      </w:r>
      <w:proofErr w:type="spellStart"/>
      <w:r w:rsidRPr="000617D8">
        <w:rPr>
          <w:rFonts w:cstheme="minorHAnsi"/>
        </w:rPr>
        <w:t>Chiheb</w:t>
      </w:r>
      <w:proofErr w:type="spellEnd"/>
      <w:r w:rsidRPr="000617D8">
        <w:rPr>
          <w:rFonts w:cstheme="minorHAnsi"/>
        </w:rPr>
        <w:t>, R., 2013. Exploring the potential benefits of using social media in education. </w:t>
      </w:r>
      <w:r w:rsidRPr="000617D8">
        <w:rPr>
          <w:rFonts w:cstheme="minorHAnsi"/>
          <w:i/>
          <w:iCs/>
        </w:rPr>
        <w:t>International Journal of Engineering Pedagogy (</w:t>
      </w:r>
      <w:proofErr w:type="spellStart"/>
      <w:r w:rsidRPr="000617D8">
        <w:rPr>
          <w:rFonts w:cstheme="minorHAnsi"/>
          <w:i/>
          <w:iCs/>
        </w:rPr>
        <w:t>iJEP</w:t>
      </w:r>
      <w:proofErr w:type="spellEnd"/>
      <w:r w:rsidRPr="000617D8">
        <w:rPr>
          <w:rFonts w:cstheme="minorHAnsi"/>
          <w:i/>
          <w:iCs/>
        </w:rPr>
        <w:t>)</w:t>
      </w:r>
      <w:r w:rsidRPr="000617D8">
        <w:rPr>
          <w:rFonts w:cstheme="minorHAnsi"/>
        </w:rPr>
        <w:t>, </w:t>
      </w:r>
      <w:r w:rsidRPr="000617D8">
        <w:rPr>
          <w:rFonts w:cstheme="minorHAnsi"/>
          <w:i/>
          <w:iCs/>
        </w:rPr>
        <w:t>3</w:t>
      </w:r>
      <w:r w:rsidRPr="000617D8">
        <w:rPr>
          <w:rFonts w:cstheme="minorHAnsi"/>
        </w:rPr>
        <w:t>(4), pp.50-53.</w:t>
      </w:r>
    </w:p>
    <w:p w14:paraId="28D6F180" w14:textId="77777777" w:rsidR="000617D8" w:rsidRPr="000617D8" w:rsidRDefault="000617D8" w:rsidP="000617D8">
      <w:pPr>
        <w:spacing w:line="360" w:lineRule="auto"/>
        <w:ind w:left="720"/>
        <w:rPr>
          <w:rFonts w:cstheme="minorHAnsi"/>
        </w:rPr>
      </w:pPr>
    </w:p>
    <w:p w14:paraId="4125255F" w14:textId="58FB75CB" w:rsidR="000617D8" w:rsidRDefault="000617D8" w:rsidP="000617D8">
      <w:pPr>
        <w:spacing w:line="360" w:lineRule="auto"/>
        <w:ind w:left="720"/>
        <w:rPr>
          <w:rFonts w:cstheme="minorHAnsi"/>
        </w:rPr>
      </w:pPr>
      <w:r w:rsidRPr="000617D8">
        <w:rPr>
          <w:rFonts w:cstheme="minorHAnsi"/>
        </w:rPr>
        <w:t>Government Legalisation (2023) ‘Sexual offences Act 2003’. Available at: www.legislation.gov.uk/ukpga/2003/42/part/1/crossheading/child-sex-offences (Accessed on 1 April 2023)</w:t>
      </w:r>
    </w:p>
    <w:p w14:paraId="41E2D2B9" w14:textId="77777777" w:rsidR="000617D8" w:rsidRPr="000617D8" w:rsidRDefault="000617D8" w:rsidP="000617D8">
      <w:pPr>
        <w:spacing w:line="360" w:lineRule="auto"/>
        <w:ind w:left="720"/>
        <w:rPr>
          <w:rFonts w:cstheme="minorHAnsi"/>
        </w:rPr>
      </w:pPr>
    </w:p>
    <w:p w14:paraId="49177392" w14:textId="77777777" w:rsidR="000617D8" w:rsidRPr="000617D8" w:rsidRDefault="000617D8" w:rsidP="000617D8">
      <w:pPr>
        <w:spacing w:line="360" w:lineRule="auto"/>
        <w:ind w:left="720"/>
        <w:rPr>
          <w:rFonts w:cstheme="minorHAnsi"/>
        </w:rPr>
      </w:pPr>
      <w:r w:rsidRPr="000617D8">
        <w:rPr>
          <w:rFonts w:cstheme="minorHAnsi"/>
        </w:rPr>
        <w:t xml:space="preserve">Guttman. A (2023). ‘Time spent consuming media per week among children in the </w:t>
      </w:r>
      <w:proofErr w:type="gramStart"/>
      <w:r w:rsidRPr="000617D8">
        <w:rPr>
          <w:rFonts w:cstheme="minorHAnsi"/>
        </w:rPr>
        <w:t>United kingdom</w:t>
      </w:r>
      <w:proofErr w:type="gramEnd"/>
      <w:r w:rsidRPr="000617D8">
        <w:rPr>
          <w:rFonts w:cstheme="minorHAnsi"/>
        </w:rPr>
        <w:t xml:space="preserve"> in 2018). Available at: https://www.statista.com/statistics/397851/hours-of-media-consumption-by-children-by-media-uk/#:~:text=Once%20children%20reach%20their%20early,20%20hours%20a%20week%20online.(Accessed on 25 April 2023)</w:t>
      </w:r>
    </w:p>
    <w:p w14:paraId="71212DC7" w14:textId="35BAE537" w:rsidR="000617D8" w:rsidRDefault="000617D8" w:rsidP="000617D8">
      <w:pPr>
        <w:spacing w:line="360" w:lineRule="auto"/>
        <w:ind w:left="720"/>
        <w:rPr>
          <w:rFonts w:cstheme="minorHAnsi"/>
        </w:rPr>
      </w:pPr>
      <w:proofErr w:type="spellStart"/>
      <w:r w:rsidRPr="000617D8">
        <w:rPr>
          <w:rFonts w:cstheme="minorHAnsi"/>
        </w:rPr>
        <w:lastRenderedPageBreak/>
        <w:t>Inhope</w:t>
      </w:r>
      <w:proofErr w:type="spellEnd"/>
      <w:r w:rsidRPr="000617D8">
        <w:rPr>
          <w:rFonts w:cstheme="minorHAnsi"/>
        </w:rPr>
        <w:t xml:space="preserve"> (2022). ‘The impact of child grooming’. Available at:  https://inhope.org/EN/articles/the-impact-of-online-grooming (Accessed on 25 April 2023)</w:t>
      </w:r>
    </w:p>
    <w:p w14:paraId="5DF838EF" w14:textId="77777777" w:rsidR="000617D8" w:rsidRPr="000617D8" w:rsidRDefault="000617D8" w:rsidP="000617D8">
      <w:pPr>
        <w:spacing w:line="360" w:lineRule="auto"/>
        <w:ind w:left="720"/>
        <w:rPr>
          <w:rFonts w:cstheme="minorHAnsi"/>
        </w:rPr>
      </w:pPr>
    </w:p>
    <w:p w14:paraId="20E62F9E" w14:textId="16AD0D61" w:rsidR="000617D8" w:rsidRDefault="000617D8" w:rsidP="000617D8">
      <w:pPr>
        <w:spacing w:line="360" w:lineRule="auto"/>
        <w:ind w:left="720"/>
        <w:rPr>
          <w:rFonts w:cstheme="minorHAnsi"/>
        </w:rPr>
      </w:pPr>
      <w:proofErr w:type="spellStart"/>
      <w:r w:rsidRPr="000617D8">
        <w:rPr>
          <w:rFonts w:cstheme="minorHAnsi"/>
        </w:rPr>
        <w:t>Keles</w:t>
      </w:r>
      <w:proofErr w:type="spellEnd"/>
      <w:r w:rsidRPr="000617D8">
        <w:rPr>
          <w:rFonts w:cstheme="minorHAnsi"/>
        </w:rPr>
        <w:t xml:space="preserve">, B., McCrae, N. and </w:t>
      </w:r>
      <w:proofErr w:type="spellStart"/>
      <w:r w:rsidRPr="000617D8">
        <w:rPr>
          <w:rFonts w:cstheme="minorHAnsi"/>
        </w:rPr>
        <w:t>Grealish</w:t>
      </w:r>
      <w:proofErr w:type="spellEnd"/>
      <w:r w:rsidRPr="000617D8">
        <w:rPr>
          <w:rFonts w:cstheme="minorHAnsi"/>
        </w:rPr>
        <w:t>, A., 2020. A systematic review: the influence of social media on depression, anxiety and psychological distress in adolescents. </w:t>
      </w:r>
      <w:r w:rsidRPr="000617D8">
        <w:rPr>
          <w:rFonts w:cstheme="minorHAnsi"/>
          <w:i/>
          <w:iCs/>
        </w:rPr>
        <w:t>International Journal of Adolescence and Youth</w:t>
      </w:r>
      <w:r w:rsidRPr="000617D8">
        <w:rPr>
          <w:rFonts w:cstheme="minorHAnsi"/>
        </w:rPr>
        <w:t>, </w:t>
      </w:r>
      <w:r w:rsidRPr="000617D8">
        <w:rPr>
          <w:rFonts w:cstheme="minorHAnsi"/>
          <w:i/>
          <w:iCs/>
        </w:rPr>
        <w:t>25</w:t>
      </w:r>
      <w:r w:rsidRPr="000617D8">
        <w:rPr>
          <w:rFonts w:cstheme="minorHAnsi"/>
        </w:rPr>
        <w:t>(1), pp.79-93.</w:t>
      </w:r>
    </w:p>
    <w:p w14:paraId="07E712F1" w14:textId="77777777" w:rsidR="000617D8" w:rsidRPr="000617D8" w:rsidRDefault="000617D8" w:rsidP="000617D8">
      <w:pPr>
        <w:spacing w:line="360" w:lineRule="auto"/>
        <w:ind w:left="720"/>
        <w:rPr>
          <w:rFonts w:cstheme="minorHAnsi"/>
        </w:rPr>
      </w:pPr>
    </w:p>
    <w:p w14:paraId="39BD91D9" w14:textId="46CE4CB7" w:rsidR="000617D8" w:rsidRDefault="000617D8" w:rsidP="000617D8">
      <w:pPr>
        <w:spacing w:line="360" w:lineRule="auto"/>
        <w:ind w:left="720"/>
        <w:rPr>
          <w:rFonts w:cstheme="minorHAnsi"/>
        </w:rPr>
      </w:pPr>
      <w:r w:rsidRPr="000617D8">
        <w:rPr>
          <w:rFonts w:cstheme="minorHAnsi"/>
        </w:rPr>
        <w:t xml:space="preserve">McCrae, N., </w:t>
      </w:r>
      <w:proofErr w:type="spellStart"/>
      <w:r w:rsidRPr="000617D8">
        <w:rPr>
          <w:rFonts w:cstheme="minorHAnsi"/>
        </w:rPr>
        <w:t>Gettings</w:t>
      </w:r>
      <w:proofErr w:type="spellEnd"/>
      <w:r w:rsidRPr="000617D8">
        <w:rPr>
          <w:rFonts w:cstheme="minorHAnsi"/>
        </w:rPr>
        <w:t xml:space="preserve">, S. and </w:t>
      </w:r>
      <w:proofErr w:type="spellStart"/>
      <w:r w:rsidRPr="000617D8">
        <w:rPr>
          <w:rFonts w:cstheme="minorHAnsi"/>
        </w:rPr>
        <w:t>Purssell</w:t>
      </w:r>
      <w:proofErr w:type="spellEnd"/>
      <w:r w:rsidRPr="000617D8">
        <w:rPr>
          <w:rFonts w:cstheme="minorHAnsi"/>
        </w:rPr>
        <w:t>, E., 2017. Social media and depressive symptoms in childhood and adolescence: A systematic review. </w:t>
      </w:r>
      <w:r w:rsidRPr="000617D8">
        <w:rPr>
          <w:rFonts w:cstheme="minorHAnsi"/>
          <w:i/>
          <w:iCs/>
        </w:rPr>
        <w:t>Adolescent Research Review</w:t>
      </w:r>
      <w:r w:rsidRPr="000617D8">
        <w:rPr>
          <w:rFonts w:cstheme="minorHAnsi"/>
        </w:rPr>
        <w:t>, </w:t>
      </w:r>
      <w:r w:rsidRPr="000617D8">
        <w:rPr>
          <w:rFonts w:cstheme="minorHAnsi"/>
          <w:i/>
          <w:iCs/>
        </w:rPr>
        <w:t>2</w:t>
      </w:r>
      <w:r w:rsidRPr="000617D8">
        <w:rPr>
          <w:rFonts w:cstheme="minorHAnsi"/>
        </w:rPr>
        <w:t>, pp.315-330.</w:t>
      </w:r>
    </w:p>
    <w:p w14:paraId="7361E5EA" w14:textId="77777777" w:rsidR="000617D8" w:rsidRPr="000617D8" w:rsidRDefault="000617D8" w:rsidP="000617D8">
      <w:pPr>
        <w:spacing w:line="360" w:lineRule="auto"/>
        <w:ind w:left="720"/>
        <w:rPr>
          <w:rFonts w:cstheme="minorHAnsi"/>
        </w:rPr>
      </w:pPr>
    </w:p>
    <w:p w14:paraId="3890F651" w14:textId="0DBE2F42" w:rsidR="000617D8" w:rsidRDefault="000617D8" w:rsidP="000617D8">
      <w:pPr>
        <w:spacing w:line="360" w:lineRule="auto"/>
        <w:ind w:left="720"/>
        <w:rPr>
          <w:rFonts w:cstheme="minorHAnsi"/>
        </w:rPr>
      </w:pPr>
      <w:r w:rsidRPr="000617D8">
        <w:rPr>
          <w:rFonts w:cstheme="minorHAnsi"/>
        </w:rPr>
        <w:t xml:space="preserve">Montgomery, K., 2000. Youth and digital media: A policy research agenda. </w:t>
      </w:r>
      <w:r w:rsidRPr="000617D8">
        <w:rPr>
          <w:rFonts w:cstheme="minorHAnsi"/>
          <w:i/>
          <w:iCs/>
        </w:rPr>
        <w:t>Journal of adolescent health</w:t>
      </w:r>
      <w:r w:rsidRPr="000617D8">
        <w:rPr>
          <w:rFonts w:cstheme="minorHAnsi"/>
        </w:rPr>
        <w:t xml:space="preserve">, </w:t>
      </w:r>
      <w:r w:rsidRPr="000617D8">
        <w:rPr>
          <w:rFonts w:cstheme="minorHAnsi"/>
          <w:i/>
          <w:iCs/>
        </w:rPr>
        <w:t>27</w:t>
      </w:r>
      <w:r w:rsidRPr="000617D8">
        <w:rPr>
          <w:rFonts w:cstheme="minorHAnsi"/>
        </w:rPr>
        <w:t>(2), pp.61-68.</w:t>
      </w:r>
    </w:p>
    <w:p w14:paraId="5427A428" w14:textId="77777777" w:rsidR="000617D8" w:rsidRPr="000617D8" w:rsidRDefault="000617D8" w:rsidP="000617D8">
      <w:pPr>
        <w:spacing w:line="360" w:lineRule="auto"/>
        <w:ind w:left="720"/>
        <w:rPr>
          <w:rFonts w:cstheme="minorHAnsi"/>
        </w:rPr>
      </w:pPr>
    </w:p>
    <w:p w14:paraId="2C465C04" w14:textId="0FD180AE" w:rsidR="000617D8" w:rsidRDefault="000617D8" w:rsidP="000617D8">
      <w:pPr>
        <w:spacing w:line="360" w:lineRule="auto"/>
        <w:ind w:left="720"/>
        <w:rPr>
          <w:rFonts w:cstheme="minorHAnsi"/>
        </w:rPr>
      </w:pPr>
      <w:r w:rsidRPr="000617D8">
        <w:rPr>
          <w:rFonts w:cstheme="minorHAnsi"/>
        </w:rPr>
        <w:t xml:space="preserve">Englander, E., </w:t>
      </w:r>
      <w:proofErr w:type="spellStart"/>
      <w:r w:rsidRPr="000617D8">
        <w:rPr>
          <w:rFonts w:cstheme="minorHAnsi"/>
        </w:rPr>
        <w:t>Donnerstein</w:t>
      </w:r>
      <w:proofErr w:type="spellEnd"/>
      <w:r w:rsidRPr="000617D8">
        <w:rPr>
          <w:rFonts w:cstheme="minorHAnsi"/>
        </w:rPr>
        <w:t xml:space="preserve">, E., Kowalski, R., Lin, C.A. and </w:t>
      </w:r>
      <w:proofErr w:type="spellStart"/>
      <w:r w:rsidRPr="000617D8">
        <w:rPr>
          <w:rFonts w:cstheme="minorHAnsi"/>
        </w:rPr>
        <w:t>Parti</w:t>
      </w:r>
      <w:proofErr w:type="spellEnd"/>
      <w:r w:rsidRPr="000617D8">
        <w:rPr>
          <w:rFonts w:cstheme="minorHAnsi"/>
        </w:rPr>
        <w:t xml:space="preserve">, K., 2017. Defining cyberbullying. </w:t>
      </w:r>
      <w:proofErr w:type="spellStart"/>
      <w:r w:rsidRPr="000617D8">
        <w:rPr>
          <w:rFonts w:cstheme="minorHAnsi"/>
          <w:i/>
          <w:iCs/>
        </w:rPr>
        <w:t>Pediatrics</w:t>
      </w:r>
      <w:proofErr w:type="spellEnd"/>
      <w:r w:rsidRPr="000617D8">
        <w:rPr>
          <w:rFonts w:cstheme="minorHAnsi"/>
        </w:rPr>
        <w:t xml:space="preserve">, </w:t>
      </w:r>
      <w:r w:rsidRPr="000617D8">
        <w:rPr>
          <w:rFonts w:cstheme="minorHAnsi"/>
          <w:i/>
          <w:iCs/>
        </w:rPr>
        <w:t>140</w:t>
      </w:r>
      <w:r w:rsidRPr="000617D8">
        <w:rPr>
          <w:rFonts w:cstheme="minorHAnsi"/>
        </w:rPr>
        <w:t xml:space="preserve">(Supplement_2), </w:t>
      </w:r>
      <w:proofErr w:type="gramStart"/>
      <w:r w:rsidRPr="000617D8">
        <w:rPr>
          <w:rFonts w:cstheme="minorHAnsi"/>
        </w:rPr>
        <w:t>pp.S</w:t>
      </w:r>
      <w:proofErr w:type="gramEnd"/>
      <w:r w:rsidRPr="000617D8">
        <w:rPr>
          <w:rFonts w:cstheme="minorHAnsi"/>
        </w:rPr>
        <w:t>148-S151.</w:t>
      </w:r>
    </w:p>
    <w:p w14:paraId="73424722" w14:textId="77777777" w:rsidR="000617D8" w:rsidRPr="000617D8" w:rsidRDefault="000617D8" w:rsidP="000617D8">
      <w:pPr>
        <w:spacing w:line="360" w:lineRule="auto"/>
        <w:ind w:left="720"/>
        <w:rPr>
          <w:rFonts w:cstheme="minorHAnsi"/>
        </w:rPr>
      </w:pPr>
    </w:p>
    <w:p w14:paraId="2244D015" w14:textId="50AFDED5" w:rsidR="000617D8" w:rsidRDefault="000617D8" w:rsidP="000617D8">
      <w:pPr>
        <w:spacing w:line="360" w:lineRule="auto"/>
        <w:rPr>
          <w:rFonts w:cstheme="minorHAnsi"/>
        </w:rPr>
      </w:pPr>
      <w:r w:rsidRPr="000617D8">
        <w:rPr>
          <w:rFonts w:cstheme="minorHAnsi"/>
        </w:rPr>
        <w:t xml:space="preserve">       NSPCC (2022). ‘Molly Russell Inquest </w:t>
      </w:r>
      <w:proofErr w:type="gramStart"/>
      <w:r w:rsidRPr="000617D8">
        <w:rPr>
          <w:rFonts w:cstheme="minorHAnsi"/>
        </w:rPr>
        <w:t>findings’</w:t>
      </w:r>
      <w:proofErr w:type="gramEnd"/>
      <w:r w:rsidRPr="000617D8">
        <w:rPr>
          <w:rFonts w:cstheme="minorHAnsi"/>
        </w:rPr>
        <w:t xml:space="preserve">. Available at: </w:t>
      </w:r>
      <w:hyperlink r:id="rId5" w:history="1">
        <w:r w:rsidRPr="000617D8">
          <w:rPr>
            <w:rStyle w:val="Hyperlink"/>
            <w:rFonts w:cstheme="minorHAnsi"/>
          </w:rPr>
          <w:t>www.nspcc.org.uk/about-</w:t>
        </w:r>
      </w:hyperlink>
      <w:r>
        <w:rPr>
          <w:rFonts w:cstheme="minorHAnsi"/>
        </w:rPr>
        <w:t xml:space="preserve">          </w:t>
      </w:r>
      <w:r w:rsidRPr="000617D8">
        <w:rPr>
          <w:rFonts w:cstheme="minorHAnsi"/>
        </w:rPr>
        <w:t>us/news-opinion/2022/response-molly-</w:t>
      </w:r>
      <w:proofErr w:type="spellStart"/>
      <w:r w:rsidRPr="000617D8">
        <w:rPr>
          <w:rFonts w:cstheme="minorHAnsi"/>
        </w:rPr>
        <w:t>russell</w:t>
      </w:r>
      <w:proofErr w:type="spellEnd"/>
      <w:r w:rsidRPr="000617D8">
        <w:rPr>
          <w:rFonts w:cstheme="minorHAnsi"/>
        </w:rPr>
        <w:t>/ (Accessed on 27 March 2023)</w:t>
      </w:r>
    </w:p>
    <w:p w14:paraId="06047869" w14:textId="77777777" w:rsidR="000617D8" w:rsidRPr="000617D8" w:rsidRDefault="000617D8" w:rsidP="000617D8">
      <w:pPr>
        <w:spacing w:line="360" w:lineRule="auto"/>
        <w:rPr>
          <w:rFonts w:cstheme="minorHAnsi"/>
        </w:rPr>
      </w:pPr>
    </w:p>
    <w:p w14:paraId="44EF8C2C" w14:textId="748BFE40" w:rsidR="000617D8" w:rsidRDefault="000617D8" w:rsidP="000617D8">
      <w:pPr>
        <w:spacing w:line="360" w:lineRule="auto"/>
        <w:ind w:left="720"/>
        <w:rPr>
          <w:rFonts w:cstheme="minorHAnsi"/>
        </w:rPr>
      </w:pPr>
      <w:r w:rsidRPr="000617D8">
        <w:rPr>
          <w:rFonts w:cstheme="minorHAnsi"/>
        </w:rPr>
        <w:t xml:space="preserve">NSPCC (2022) ‘Online grooming cases have risen more than 80% in the last four </w:t>
      </w:r>
      <w:proofErr w:type="gramStart"/>
      <w:r w:rsidRPr="000617D8">
        <w:rPr>
          <w:rFonts w:cstheme="minorHAnsi"/>
        </w:rPr>
        <w:t>years’</w:t>
      </w:r>
      <w:proofErr w:type="gramEnd"/>
      <w:r w:rsidRPr="000617D8">
        <w:rPr>
          <w:rFonts w:cstheme="minorHAnsi"/>
        </w:rPr>
        <w:t xml:space="preserve">. Available </w:t>
      </w:r>
      <w:proofErr w:type="gramStart"/>
      <w:r w:rsidRPr="000617D8">
        <w:rPr>
          <w:rFonts w:cstheme="minorHAnsi"/>
        </w:rPr>
        <w:t>at:www.nspcc.org.uk/about-us/news-opinion/2022/online-grooming-crimes-rise/</w:t>
      </w:r>
      <w:proofErr w:type="gramEnd"/>
      <w:r w:rsidRPr="000617D8">
        <w:rPr>
          <w:rFonts w:cstheme="minorHAnsi"/>
        </w:rPr>
        <w:t xml:space="preserve"> (Accessed on 1 April 2023)</w:t>
      </w:r>
    </w:p>
    <w:p w14:paraId="39A5E09A" w14:textId="77777777" w:rsidR="000617D8" w:rsidRPr="000617D8" w:rsidRDefault="000617D8" w:rsidP="000617D8">
      <w:pPr>
        <w:spacing w:line="360" w:lineRule="auto"/>
        <w:ind w:left="720"/>
        <w:rPr>
          <w:rFonts w:cstheme="minorHAnsi"/>
        </w:rPr>
      </w:pPr>
    </w:p>
    <w:p w14:paraId="34E145F5" w14:textId="77777777" w:rsidR="000617D8" w:rsidRPr="000617D8" w:rsidRDefault="000617D8" w:rsidP="000617D8">
      <w:pPr>
        <w:spacing w:line="360" w:lineRule="auto"/>
        <w:ind w:left="720"/>
        <w:rPr>
          <w:rFonts w:cstheme="minorHAnsi"/>
        </w:rPr>
      </w:pPr>
      <w:r w:rsidRPr="000617D8">
        <w:rPr>
          <w:rFonts w:cstheme="minorHAnsi"/>
        </w:rPr>
        <w:t>Office for National Statistics (2023). ‘Online bullying in England and Wales: year ending March 2020’. Available at: www.ons.gov.uk/peoplepopulationandcommunity/crimeandjustice/bulletins/onlinebullyinginenglandandwales/yearendingmarch2020 (Accessed on 28 March 2023)</w:t>
      </w:r>
    </w:p>
    <w:p w14:paraId="414596E7" w14:textId="77777777" w:rsidR="000617D8" w:rsidRPr="000617D8" w:rsidRDefault="000617D8" w:rsidP="000617D8">
      <w:pPr>
        <w:spacing w:line="360" w:lineRule="auto"/>
        <w:ind w:left="720"/>
        <w:rPr>
          <w:rFonts w:cstheme="minorHAnsi"/>
        </w:rPr>
      </w:pPr>
      <w:r w:rsidRPr="000617D8">
        <w:rPr>
          <w:rFonts w:cstheme="minorHAnsi"/>
        </w:rPr>
        <w:t xml:space="preserve">Ospina. E (2019). ‘The rise of social media’. Available </w:t>
      </w:r>
      <w:proofErr w:type="spellStart"/>
      <w:proofErr w:type="gramStart"/>
      <w:r w:rsidRPr="000617D8">
        <w:rPr>
          <w:rFonts w:cstheme="minorHAnsi"/>
        </w:rPr>
        <w:t>at:The</w:t>
      </w:r>
      <w:proofErr w:type="spellEnd"/>
      <w:proofErr w:type="gramEnd"/>
      <w:r w:rsidRPr="000617D8">
        <w:rPr>
          <w:rFonts w:cstheme="minorHAnsi"/>
        </w:rPr>
        <w:t xml:space="preserve"> rise of social media - Our World in Data (Accessed on 26 March 2023)</w:t>
      </w:r>
    </w:p>
    <w:p w14:paraId="25BB0006" w14:textId="77777777" w:rsidR="000617D8" w:rsidRPr="000617D8" w:rsidRDefault="000617D8" w:rsidP="000617D8">
      <w:pPr>
        <w:spacing w:line="360" w:lineRule="auto"/>
        <w:ind w:left="720"/>
        <w:rPr>
          <w:rFonts w:cstheme="minorHAnsi"/>
        </w:rPr>
      </w:pPr>
      <w:r w:rsidRPr="000617D8">
        <w:rPr>
          <w:rFonts w:cstheme="minorHAnsi"/>
        </w:rPr>
        <w:lastRenderedPageBreak/>
        <w:t xml:space="preserve">Ofcom. (2017). Children and parents: Media use and attitudes </w:t>
      </w:r>
      <w:proofErr w:type="spellStart"/>
      <w:proofErr w:type="gramStart"/>
      <w:r w:rsidRPr="000617D8">
        <w:rPr>
          <w:rFonts w:cstheme="minorHAnsi"/>
        </w:rPr>
        <w:t>report.Retrieved</w:t>
      </w:r>
      <w:proofErr w:type="spellEnd"/>
      <w:proofErr w:type="gramEnd"/>
      <w:r w:rsidRPr="000617D8">
        <w:rPr>
          <w:rFonts w:cstheme="minorHAnsi"/>
        </w:rPr>
        <w:t xml:space="preserve"> March 11, 2017, fromhttps://www.ofcom.org.uk/data/assets/pdf_file/0020/108182/children-parents-media-use-attitudes-2017.pdf (Accessed 26 April 2023)</w:t>
      </w:r>
    </w:p>
    <w:p w14:paraId="11FCB36F" w14:textId="77777777" w:rsidR="000617D8" w:rsidRPr="000617D8" w:rsidRDefault="000617D8" w:rsidP="000617D8">
      <w:pPr>
        <w:spacing w:line="360" w:lineRule="auto"/>
        <w:ind w:left="720"/>
        <w:rPr>
          <w:rFonts w:cstheme="minorHAnsi"/>
        </w:rPr>
      </w:pPr>
      <w:r w:rsidRPr="000617D8">
        <w:rPr>
          <w:rFonts w:cstheme="minorHAnsi"/>
        </w:rPr>
        <w:t> </w:t>
      </w:r>
    </w:p>
    <w:p w14:paraId="3A14FBEB" w14:textId="77777777" w:rsidR="000617D8" w:rsidRDefault="000617D8" w:rsidP="000617D8">
      <w:pPr>
        <w:spacing w:line="360" w:lineRule="auto"/>
        <w:ind w:left="720"/>
        <w:rPr>
          <w:rFonts w:cstheme="minorHAnsi"/>
        </w:rPr>
      </w:pPr>
      <w:r w:rsidRPr="000617D8">
        <w:rPr>
          <w:rFonts w:cstheme="minorHAnsi"/>
        </w:rPr>
        <w:t xml:space="preserve">Rajendran, L. and Thesinghraja, P., 2014. The impact of new media on traditional media. </w:t>
      </w:r>
      <w:proofErr w:type="gramStart"/>
      <w:r w:rsidRPr="000617D8">
        <w:rPr>
          <w:rFonts w:cstheme="minorHAnsi"/>
          <w:i/>
          <w:iCs/>
        </w:rPr>
        <w:t>Middle-East</w:t>
      </w:r>
      <w:proofErr w:type="gramEnd"/>
      <w:r w:rsidRPr="000617D8">
        <w:rPr>
          <w:rFonts w:cstheme="minorHAnsi"/>
          <w:i/>
          <w:iCs/>
        </w:rPr>
        <w:t xml:space="preserve"> Journal of Scientific Research</w:t>
      </w:r>
      <w:r w:rsidRPr="000617D8">
        <w:rPr>
          <w:rFonts w:cstheme="minorHAnsi"/>
        </w:rPr>
        <w:t xml:space="preserve">, </w:t>
      </w:r>
      <w:r w:rsidRPr="000617D8">
        <w:rPr>
          <w:rFonts w:cstheme="minorHAnsi"/>
          <w:i/>
          <w:iCs/>
        </w:rPr>
        <w:t>22</w:t>
      </w:r>
      <w:r w:rsidRPr="000617D8">
        <w:rPr>
          <w:rFonts w:cstheme="minorHAnsi"/>
        </w:rPr>
        <w:t>(4), pp.609-616.</w:t>
      </w:r>
    </w:p>
    <w:p w14:paraId="783E474A" w14:textId="77777777" w:rsidR="000617D8" w:rsidRDefault="000617D8" w:rsidP="000617D8">
      <w:pPr>
        <w:spacing w:line="360" w:lineRule="auto"/>
        <w:ind w:left="720"/>
        <w:rPr>
          <w:rFonts w:cstheme="minorHAnsi"/>
        </w:rPr>
      </w:pPr>
    </w:p>
    <w:p w14:paraId="7B7C8004" w14:textId="22AA503C" w:rsidR="000617D8" w:rsidRDefault="000617D8" w:rsidP="000617D8">
      <w:pPr>
        <w:spacing w:line="360" w:lineRule="auto"/>
        <w:ind w:left="720"/>
        <w:rPr>
          <w:rFonts w:cstheme="minorHAnsi"/>
        </w:rPr>
      </w:pPr>
      <w:r w:rsidRPr="000617D8">
        <w:rPr>
          <w:rFonts w:cstheme="minorHAnsi"/>
        </w:rPr>
        <w:t>Snapchat (2022). ‘Transparency report’. Available at: Snapchat Transparency Report | Snapchat Transparency (Accessed on 26 April 2023</w:t>
      </w:r>
      <w:r>
        <w:rPr>
          <w:rFonts w:cstheme="minorHAnsi"/>
        </w:rPr>
        <w:t>)</w:t>
      </w:r>
    </w:p>
    <w:p w14:paraId="7AD4C145" w14:textId="77777777" w:rsidR="000617D8" w:rsidRDefault="000617D8" w:rsidP="000617D8">
      <w:pPr>
        <w:spacing w:line="360" w:lineRule="auto"/>
        <w:ind w:left="720"/>
        <w:rPr>
          <w:rFonts w:cstheme="minorHAnsi"/>
        </w:rPr>
      </w:pPr>
    </w:p>
    <w:p w14:paraId="42839EA8" w14:textId="4F076C1A" w:rsidR="000617D8" w:rsidRDefault="000617D8" w:rsidP="000617D8">
      <w:pPr>
        <w:spacing w:line="360" w:lineRule="auto"/>
        <w:ind w:left="720"/>
        <w:rPr>
          <w:rFonts w:cstheme="minorHAnsi"/>
        </w:rPr>
      </w:pPr>
      <w:r w:rsidRPr="000617D8">
        <w:rPr>
          <w:rFonts w:cstheme="minorHAnsi"/>
        </w:rPr>
        <w:t xml:space="preserve"> The Health Foundation (2022). ‘Children and young people’s mental health’. Available at: www.health.org.uk/news-and-comment/charts-and-infographics/children-and-young-people-s-mental-health#:~:text=Identifying%20poor%20mental%20health%20and%20providing%20appropriate%20support,is%20a%20risk%20that%20conditions%20continue%20into%20adulthood. (Accessed on 20 April 2023)</w:t>
      </w:r>
    </w:p>
    <w:p w14:paraId="6ACAFAFB" w14:textId="77777777" w:rsidR="000617D8" w:rsidRPr="000617D8" w:rsidRDefault="000617D8" w:rsidP="000617D8">
      <w:pPr>
        <w:spacing w:line="360" w:lineRule="auto"/>
        <w:ind w:left="720"/>
        <w:rPr>
          <w:rFonts w:cstheme="minorHAnsi"/>
        </w:rPr>
      </w:pPr>
    </w:p>
    <w:p w14:paraId="45C44D71" w14:textId="080B71B6" w:rsidR="000617D8" w:rsidRDefault="000617D8" w:rsidP="000617D8">
      <w:pPr>
        <w:spacing w:line="360" w:lineRule="auto"/>
        <w:ind w:left="720"/>
        <w:rPr>
          <w:rFonts w:cstheme="minorHAnsi"/>
        </w:rPr>
      </w:pPr>
      <w:r w:rsidRPr="000617D8">
        <w:rPr>
          <w:rFonts w:cstheme="minorHAnsi"/>
        </w:rPr>
        <w:t xml:space="preserve">UK Safer Internet Centre (2023). ‘Age restrictions on social media </w:t>
      </w:r>
      <w:proofErr w:type="gramStart"/>
      <w:r w:rsidRPr="000617D8">
        <w:rPr>
          <w:rFonts w:cstheme="minorHAnsi"/>
        </w:rPr>
        <w:t>services’</w:t>
      </w:r>
      <w:proofErr w:type="gramEnd"/>
      <w:r w:rsidRPr="000617D8">
        <w:rPr>
          <w:rFonts w:cstheme="minorHAnsi"/>
        </w:rPr>
        <w:t>. Available at: Age Restrictions on Social Media Services - UK Safer Internet Centre. (Accessed on 28 March 2023)</w:t>
      </w:r>
    </w:p>
    <w:p w14:paraId="3A1616C7" w14:textId="77777777" w:rsidR="000617D8" w:rsidRPr="000617D8" w:rsidRDefault="000617D8" w:rsidP="000617D8">
      <w:pPr>
        <w:spacing w:line="360" w:lineRule="auto"/>
        <w:ind w:left="720"/>
        <w:rPr>
          <w:rFonts w:cstheme="minorHAnsi"/>
        </w:rPr>
      </w:pPr>
    </w:p>
    <w:p w14:paraId="16DBB1B5" w14:textId="7C74AAF4" w:rsidR="000617D8" w:rsidRDefault="000617D8" w:rsidP="000617D8">
      <w:pPr>
        <w:spacing w:line="360" w:lineRule="auto"/>
        <w:ind w:left="720"/>
        <w:rPr>
          <w:rFonts w:cstheme="minorHAnsi"/>
        </w:rPr>
      </w:pPr>
      <w:r w:rsidRPr="000617D8">
        <w:rPr>
          <w:rFonts w:cstheme="minorHAnsi"/>
        </w:rPr>
        <w:t>UK Government (2022). ‘A guide to the Online Safety Bill’. Available at: www.gov.uk/guidance/a-guide-to-the-online-safety-bill#how-the-online-safety-bill-will-protect-children (Accessed on 2 April 2023)</w:t>
      </w:r>
    </w:p>
    <w:p w14:paraId="22CF4A9A" w14:textId="77777777" w:rsidR="000617D8" w:rsidRPr="000617D8" w:rsidRDefault="000617D8" w:rsidP="000617D8">
      <w:pPr>
        <w:spacing w:line="360" w:lineRule="auto"/>
        <w:ind w:left="720"/>
        <w:rPr>
          <w:rFonts w:cstheme="minorHAnsi"/>
        </w:rPr>
      </w:pPr>
    </w:p>
    <w:p w14:paraId="053D3570" w14:textId="056DC872" w:rsidR="000617D8" w:rsidRDefault="000617D8" w:rsidP="000617D8">
      <w:pPr>
        <w:spacing w:line="360" w:lineRule="auto"/>
        <w:ind w:left="720"/>
        <w:rPr>
          <w:rFonts w:cstheme="minorHAnsi"/>
        </w:rPr>
      </w:pPr>
      <w:r w:rsidRPr="000617D8">
        <w:rPr>
          <w:rFonts w:cstheme="minorHAnsi"/>
        </w:rPr>
        <w:t>UK Government (2022). ‘Wellbeing and mental health: Applying all out health’. Available at: www.gov.uk/government/publications/wellbeing-in-mental-health-applying-all-our-health/wellbeing-in-mental-health-applying-all-our-health (Accessed on 27 March 2023)</w:t>
      </w:r>
    </w:p>
    <w:p w14:paraId="5FAF705D" w14:textId="77777777" w:rsidR="000617D8" w:rsidRPr="000617D8" w:rsidRDefault="000617D8" w:rsidP="000617D8">
      <w:pPr>
        <w:spacing w:line="360" w:lineRule="auto"/>
        <w:ind w:left="720"/>
        <w:rPr>
          <w:rFonts w:cstheme="minorHAnsi"/>
        </w:rPr>
      </w:pPr>
    </w:p>
    <w:p w14:paraId="1837C482" w14:textId="68768D67" w:rsidR="000617D8" w:rsidRDefault="000617D8" w:rsidP="000617D8">
      <w:pPr>
        <w:spacing w:line="360" w:lineRule="auto"/>
        <w:ind w:left="720"/>
        <w:rPr>
          <w:rFonts w:cstheme="minorHAnsi"/>
        </w:rPr>
      </w:pPr>
      <w:r w:rsidRPr="000617D8">
        <w:rPr>
          <w:rFonts w:cstheme="minorHAnsi"/>
        </w:rPr>
        <w:lastRenderedPageBreak/>
        <w:t>Welsh Government (2023) ‘Curriculum for Wales’. Available at: Curriculum for Wales - Hwb (</w:t>
      </w:r>
      <w:proofErr w:type="spellStart"/>
      <w:proofErr w:type="gramStart"/>
      <w:r w:rsidRPr="000617D8">
        <w:rPr>
          <w:rFonts w:cstheme="minorHAnsi"/>
        </w:rPr>
        <w:t>gov.wales</w:t>
      </w:r>
      <w:proofErr w:type="spellEnd"/>
      <w:proofErr w:type="gramEnd"/>
      <w:r w:rsidRPr="000617D8">
        <w:rPr>
          <w:rFonts w:cstheme="minorHAnsi"/>
        </w:rPr>
        <w:t>). (Accessed on 26 April 2023)</w:t>
      </w:r>
    </w:p>
    <w:p w14:paraId="271B9EA8" w14:textId="77777777" w:rsidR="000617D8" w:rsidRPr="000617D8" w:rsidRDefault="000617D8" w:rsidP="000617D8">
      <w:pPr>
        <w:spacing w:line="360" w:lineRule="auto"/>
        <w:ind w:left="720"/>
        <w:rPr>
          <w:rFonts w:cstheme="minorHAnsi"/>
        </w:rPr>
      </w:pPr>
    </w:p>
    <w:p w14:paraId="2E7A7942" w14:textId="69A25EA2" w:rsidR="000617D8" w:rsidRDefault="000617D8" w:rsidP="000617D8">
      <w:pPr>
        <w:spacing w:line="360" w:lineRule="auto"/>
        <w:ind w:left="720"/>
        <w:rPr>
          <w:rFonts w:cstheme="minorHAnsi"/>
        </w:rPr>
      </w:pPr>
      <w:r w:rsidRPr="000617D8">
        <w:rPr>
          <w:rFonts w:cstheme="minorHAnsi"/>
        </w:rPr>
        <w:t>Whittle, H., Hamilton-</w:t>
      </w:r>
      <w:proofErr w:type="spellStart"/>
      <w:r w:rsidRPr="000617D8">
        <w:rPr>
          <w:rFonts w:cstheme="minorHAnsi"/>
        </w:rPr>
        <w:t>Giachritsis</w:t>
      </w:r>
      <w:proofErr w:type="spellEnd"/>
      <w:r w:rsidRPr="000617D8">
        <w:rPr>
          <w:rFonts w:cstheme="minorHAnsi"/>
        </w:rPr>
        <w:t xml:space="preserve">, C., Beech, A. and Collings, G., 2013. A review of online grooming: Characteristics and concerns. </w:t>
      </w:r>
      <w:r w:rsidRPr="000617D8">
        <w:rPr>
          <w:rFonts w:cstheme="minorHAnsi"/>
          <w:i/>
          <w:iCs/>
        </w:rPr>
        <w:t xml:space="preserve">Aggression and violent </w:t>
      </w:r>
      <w:proofErr w:type="spellStart"/>
      <w:r w:rsidRPr="000617D8">
        <w:rPr>
          <w:rFonts w:cstheme="minorHAnsi"/>
          <w:i/>
          <w:iCs/>
        </w:rPr>
        <w:t>behavior</w:t>
      </w:r>
      <w:proofErr w:type="spellEnd"/>
      <w:r w:rsidRPr="000617D8">
        <w:rPr>
          <w:rFonts w:cstheme="minorHAnsi"/>
        </w:rPr>
        <w:t xml:space="preserve">, </w:t>
      </w:r>
      <w:r w:rsidRPr="000617D8">
        <w:rPr>
          <w:rFonts w:cstheme="minorHAnsi"/>
          <w:i/>
          <w:iCs/>
        </w:rPr>
        <w:t>18</w:t>
      </w:r>
      <w:r w:rsidRPr="000617D8">
        <w:rPr>
          <w:rFonts w:cstheme="minorHAnsi"/>
        </w:rPr>
        <w:t>(1), pp.62-70.</w:t>
      </w:r>
    </w:p>
    <w:p w14:paraId="15155142" w14:textId="77777777" w:rsidR="000617D8" w:rsidRPr="000617D8" w:rsidRDefault="000617D8" w:rsidP="000617D8">
      <w:pPr>
        <w:spacing w:line="360" w:lineRule="auto"/>
        <w:ind w:left="720"/>
        <w:rPr>
          <w:rFonts w:cstheme="minorHAnsi"/>
        </w:rPr>
      </w:pPr>
    </w:p>
    <w:p w14:paraId="2B8A9E23" w14:textId="6DDB13BC" w:rsidR="000617D8" w:rsidRDefault="000617D8" w:rsidP="000617D8">
      <w:pPr>
        <w:spacing w:line="360" w:lineRule="auto"/>
        <w:ind w:left="720"/>
        <w:rPr>
          <w:rFonts w:cstheme="minorHAnsi"/>
        </w:rPr>
      </w:pPr>
      <w:r w:rsidRPr="000617D8">
        <w:rPr>
          <w:rFonts w:cstheme="minorHAnsi"/>
        </w:rPr>
        <w:t xml:space="preserve">Woods, H.C. and Scott, H., 2016. # </w:t>
      </w:r>
      <w:proofErr w:type="spellStart"/>
      <w:r w:rsidRPr="000617D8">
        <w:rPr>
          <w:rFonts w:cstheme="minorHAnsi"/>
        </w:rPr>
        <w:t>Sleepyteens</w:t>
      </w:r>
      <w:proofErr w:type="spellEnd"/>
      <w:r w:rsidRPr="000617D8">
        <w:rPr>
          <w:rFonts w:cstheme="minorHAnsi"/>
        </w:rPr>
        <w:t>: Social media use in adolescence is associated with poor sleep quality, anxiety, depression and low self-esteem. </w:t>
      </w:r>
      <w:r w:rsidRPr="000617D8">
        <w:rPr>
          <w:rFonts w:cstheme="minorHAnsi"/>
          <w:i/>
          <w:iCs/>
        </w:rPr>
        <w:t>Journal of adolescence</w:t>
      </w:r>
      <w:r w:rsidRPr="000617D8">
        <w:rPr>
          <w:rFonts w:cstheme="minorHAnsi"/>
        </w:rPr>
        <w:t>, </w:t>
      </w:r>
      <w:r w:rsidRPr="000617D8">
        <w:rPr>
          <w:rFonts w:cstheme="minorHAnsi"/>
          <w:i/>
          <w:iCs/>
        </w:rPr>
        <w:t>51</w:t>
      </w:r>
      <w:r w:rsidRPr="000617D8">
        <w:rPr>
          <w:rFonts w:cstheme="minorHAnsi"/>
        </w:rPr>
        <w:t>, pp.41-49.</w:t>
      </w:r>
    </w:p>
    <w:p w14:paraId="08910D6F" w14:textId="77777777" w:rsidR="000617D8" w:rsidRPr="000617D8" w:rsidRDefault="000617D8" w:rsidP="000617D8">
      <w:pPr>
        <w:spacing w:line="360" w:lineRule="auto"/>
        <w:ind w:left="720"/>
        <w:rPr>
          <w:rFonts w:cstheme="minorHAnsi"/>
        </w:rPr>
      </w:pPr>
    </w:p>
    <w:p w14:paraId="7FE1714A" w14:textId="53609AF8" w:rsidR="000617D8" w:rsidRPr="000617D8" w:rsidRDefault="000617D8" w:rsidP="000617D8">
      <w:pPr>
        <w:spacing w:line="360" w:lineRule="auto"/>
        <w:ind w:left="720"/>
        <w:rPr>
          <w:rFonts w:cstheme="minorHAnsi"/>
        </w:rPr>
      </w:pPr>
      <w:r w:rsidRPr="000617D8">
        <w:rPr>
          <w:rFonts w:cstheme="minorHAnsi"/>
        </w:rPr>
        <w:t>YU. Z (2022). ‘</w:t>
      </w:r>
      <w:r w:rsidRPr="000617D8">
        <w:rPr>
          <w:rFonts w:cstheme="minorHAnsi"/>
        </w:rPr>
        <w:t>Sustaining</w:t>
      </w:r>
      <w:r w:rsidRPr="000617D8">
        <w:rPr>
          <w:rFonts w:cstheme="minorHAnsi"/>
        </w:rPr>
        <w:t xml:space="preserve"> student roles, digital learning, learning achievements, and motivation in online learning environments during the covid-19 pandemic’. Available at: www.mdpi.com/2071-1050/14/8/4388 (Accessed on 1 April 2023)</w:t>
      </w:r>
    </w:p>
    <w:p w14:paraId="3A1BF238" w14:textId="77777777" w:rsidR="000617D8" w:rsidRPr="00104EB9" w:rsidRDefault="000617D8" w:rsidP="00104EB9">
      <w:pPr>
        <w:spacing w:line="360" w:lineRule="auto"/>
        <w:rPr>
          <w:rFonts w:cstheme="minorHAnsi"/>
        </w:rPr>
      </w:pPr>
    </w:p>
    <w:sectPr w:rsidR="000617D8" w:rsidRPr="00104E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4229D0"/>
    <w:multiLevelType w:val="hybridMultilevel"/>
    <w:tmpl w:val="895E696C"/>
    <w:lvl w:ilvl="0" w:tplc="DC24E26C">
      <w:start w:val="1"/>
      <w:numFmt w:val="bullet"/>
      <w:lvlText w:val="•"/>
      <w:lvlJc w:val="left"/>
      <w:pPr>
        <w:tabs>
          <w:tab w:val="num" w:pos="720"/>
        </w:tabs>
        <w:ind w:left="720" w:hanging="360"/>
      </w:pPr>
      <w:rPr>
        <w:rFonts w:ascii="Arial" w:hAnsi="Arial" w:hint="default"/>
      </w:rPr>
    </w:lvl>
    <w:lvl w:ilvl="1" w:tplc="E22AFA86" w:tentative="1">
      <w:start w:val="1"/>
      <w:numFmt w:val="bullet"/>
      <w:lvlText w:val="•"/>
      <w:lvlJc w:val="left"/>
      <w:pPr>
        <w:tabs>
          <w:tab w:val="num" w:pos="1440"/>
        </w:tabs>
        <w:ind w:left="1440" w:hanging="360"/>
      </w:pPr>
      <w:rPr>
        <w:rFonts w:ascii="Arial" w:hAnsi="Arial" w:hint="default"/>
      </w:rPr>
    </w:lvl>
    <w:lvl w:ilvl="2" w:tplc="AD201592" w:tentative="1">
      <w:start w:val="1"/>
      <w:numFmt w:val="bullet"/>
      <w:lvlText w:val="•"/>
      <w:lvlJc w:val="left"/>
      <w:pPr>
        <w:tabs>
          <w:tab w:val="num" w:pos="2160"/>
        </w:tabs>
        <w:ind w:left="2160" w:hanging="360"/>
      </w:pPr>
      <w:rPr>
        <w:rFonts w:ascii="Arial" w:hAnsi="Arial" w:hint="default"/>
      </w:rPr>
    </w:lvl>
    <w:lvl w:ilvl="3" w:tplc="08B09934" w:tentative="1">
      <w:start w:val="1"/>
      <w:numFmt w:val="bullet"/>
      <w:lvlText w:val="•"/>
      <w:lvlJc w:val="left"/>
      <w:pPr>
        <w:tabs>
          <w:tab w:val="num" w:pos="2880"/>
        </w:tabs>
        <w:ind w:left="2880" w:hanging="360"/>
      </w:pPr>
      <w:rPr>
        <w:rFonts w:ascii="Arial" w:hAnsi="Arial" w:hint="default"/>
      </w:rPr>
    </w:lvl>
    <w:lvl w:ilvl="4" w:tplc="FEB4E660" w:tentative="1">
      <w:start w:val="1"/>
      <w:numFmt w:val="bullet"/>
      <w:lvlText w:val="•"/>
      <w:lvlJc w:val="left"/>
      <w:pPr>
        <w:tabs>
          <w:tab w:val="num" w:pos="3600"/>
        </w:tabs>
        <w:ind w:left="3600" w:hanging="360"/>
      </w:pPr>
      <w:rPr>
        <w:rFonts w:ascii="Arial" w:hAnsi="Arial" w:hint="default"/>
      </w:rPr>
    </w:lvl>
    <w:lvl w:ilvl="5" w:tplc="A81A7440" w:tentative="1">
      <w:start w:val="1"/>
      <w:numFmt w:val="bullet"/>
      <w:lvlText w:val="•"/>
      <w:lvlJc w:val="left"/>
      <w:pPr>
        <w:tabs>
          <w:tab w:val="num" w:pos="4320"/>
        </w:tabs>
        <w:ind w:left="4320" w:hanging="360"/>
      </w:pPr>
      <w:rPr>
        <w:rFonts w:ascii="Arial" w:hAnsi="Arial" w:hint="default"/>
      </w:rPr>
    </w:lvl>
    <w:lvl w:ilvl="6" w:tplc="54DAB922" w:tentative="1">
      <w:start w:val="1"/>
      <w:numFmt w:val="bullet"/>
      <w:lvlText w:val="•"/>
      <w:lvlJc w:val="left"/>
      <w:pPr>
        <w:tabs>
          <w:tab w:val="num" w:pos="5040"/>
        </w:tabs>
        <w:ind w:left="5040" w:hanging="360"/>
      </w:pPr>
      <w:rPr>
        <w:rFonts w:ascii="Arial" w:hAnsi="Arial" w:hint="default"/>
      </w:rPr>
    </w:lvl>
    <w:lvl w:ilvl="7" w:tplc="E922738C" w:tentative="1">
      <w:start w:val="1"/>
      <w:numFmt w:val="bullet"/>
      <w:lvlText w:val="•"/>
      <w:lvlJc w:val="left"/>
      <w:pPr>
        <w:tabs>
          <w:tab w:val="num" w:pos="5760"/>
        </w:tabs>
        <w:ind w:left="5760" w:hanging="360"/>
      </w:pPr>
      <w:rPr>
        <w:rFonts w:ascii="Arial" w:hAnsi="Arial" w:hint="default"/>
      </w:rPr>
    </w:lvl>
    <w:lvl w:ilvl="8" w:tplc="2068BB3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DE32C9"/>
    <w:multiLevelType w:val="hybridMultilevel"/>
    <w:tmpl w:val="30FEE532"/>
    <w:lvl w:ilvl="0" w:tplc="5686EC82">
      <w:start w:val="1"/>
      <w:numFmt w:val="bullet"/>
      <w:lvlText w:val="•"/>
      <w:lvlJc w:val="left"/>
      <w:pPr>
        <w:tabs>
          <w:tab w:val="num" w:pos="720"/>
        </w:tabs>
        <w:ind w:left="720" w:hanging="360"/>
      </w:pPr>
      <w:rPr>
        <w:rFonts w:ascii="Arial" w:hAnsi="Arial" w:hint="default"/>
      </w:rPr>
    </w:lvl>
    <w:lvl w:ilvl="1" w:tplc="FC7015E4" w:tentative="1">
      <w:start w:val="1"/>
      <w:numFmt w:val="bullet"/>
      <w:lvlText w:val="•"/>
      <w:lvlJc w:val="left"/>
      <w:pPr>
        <w:tabs>
          <w:tab w:val="num" w:pos="1440"/>
        </w:tabs>
        <w:ind w:left="1440" w:hanging="360"/>
      </w:pPr>
      <w:rPr>
        <w:rFonts w:ascii="Arial" w:hAnsi="Arial" w:hint="default"/>
      </w:rPr>
    </w:lvl>
    <w:lvl w:ilvl="2" w:tplc="54827B0C" w:tentative="1">
      <w:start w:val="1"/>
      <w:numFmt w:val="bullet"/>
      <w:lvlText w:val="•"/>
      <w:lvlJc w:val="left"/>
      <w:pPr>
        <w:tabs>
          <w:tab w:val="num" w:pos="2160"/>
        </w:tabs>
        <w:ind w:left="2160" w:hanging="360"/>
      </w:pPr>
      <w:rPr>
        <w:rFonts w:ascii="Arial" w:hAnsi="Arial" w:hint="default"/>
      </w:rPr>
    </w:lvl>
    <w:lvl w:ilvl="3" w:tplc="1332AEFC" w:tentative="1">
      <w:start w:val="1"/>
      <w:numFmt w:val="bullet"/>
      <w:lvlText w:val="•"/>
      <w:lvlJc w:val="left"/>
      <w:pPr>
        <w:tabs>
          <w:tab w:val="num" w:pos="2880"/>
        </w:tabs>
        <w:ind w:left="2880" w:hanging="360"/>
      </w:pPr>
      <w:rPr>
        <w:rFonts w:ascii="Arial" w:hAnsi="Arial" w:hint="default"/>
      </w:rPr>
    </w:lvl>
    <w:lvl w:ilvl="4" w:tplc="66B6F0C8" w:tentative="1">
      <w:start w:val="1"/>
      <w:numFmt w:val="bullet"/>
      <w:lvlText w:val="•"/>
      <w:lvlJc w:val="left"/>
      <w:pPr>
        <w:tabs>
          <w:tab w:val="num" w:pos="3600"/>
        </w:tabs>
        <w:ind w:left="3600" w:hanging="360"/>
      </w:pPr>
      <w:rPr>
        <w:rFonts w:ascii="Arial" w:hAnsi="Arial" w:hint="default"/>
      </w:rPr>
    </w:lvl>
    <w:lvl w:ilvl="5" w:tplc="AAC016FC" w:tentative="1">
      <w:start w:val="1"/>
      <w:numFmt w:val="bullet"/>
      <w:lvlText w:val="•"/>
      <w:lvlJc w:val="left"/>
      <w:pPr>
        <w:tabs>
          <w:tab w:val="num" w:pos="4320"/>
        </w:tabs>
        <w:ind w:left="4320" w:hanging="360"/>
      </w:pPr>
      <w:rPr>
        <w:rFonts w:ascii="Arial" w:hAnsi="Arial" w:hint="default"/>
      </w:rPr>
    </w:lvl>
    <w:lvl w:ilvl="6" w:tplc="FF70060E" w:tentative="1">
      <w:start w:val="1"/>
      <w:numFmt w:val="bullet"/>
      <w:lvlText w:val="•"/>
      <w:lvlJc w:val="left"/>
      <w:pPr>
        <w:tabs>
          <w:tab w:val="num" w:pos="5040"/>
        </w:tabs>
        <w:ind w:left="5040" w:hanging="360"/>
      </w:pPr>
      <w:rPr>
        <w:rFonts w:ascii="Arial" w:hAnsi="Arial" w:hint="default"/>
      </w:rPr>
    </w:lvl>
    <w:lvl w:ilvl="7" w:tplc="C360C526" w:tentative="1">
      <w:start w:val="1"/>
      <w:numFmt w:val="bullet"/>
      <w:lvlText w:val="•"/>
      <w:lvlJc w:val="left"/>
      <w:pPr>
        <w:tabs>
          <w:tab w:val="num" w:pos="5760"/>
        </w:tabs>
        <w:ind w:left="5760" w:hanging="360"/>
      </w:pPr>
      <w:rPr>
        <w:rFonts w:ascii="Arial" w:hAnsi="Arial" w:hint="default"/>
      </w:rPr>
    </w:lvl>
    <w:lvl w:ilvl="8" w:tplc="E0D84FC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47D7430"/>
    <w:multiLevelType w:val="hybridMultilevel"/>
    <w:tmpl w:val="624C5DCA"/>
    <w:lvl w:ilvl="0" w:tplc="9BFE0358">
      <w:start w:val="1"/>
      <w:numFmt w:val="bullet"/>
      <w:lvlText w:val="•"/>
      <w:lvlJc w:val="left"/>
      <w:pPr>
        <w:tabs>
          <w:tab w:val="num" w:pos="720"/>
        </w:tabs>
        <w:ind w:left="720" w:hanging="360"/>
      </w:pPr>
      <w:rPr>
        <w:rFonts w:ascii="Arial" w:hAnsi="Arial" w:hint="default"/>
      </w:rPr>
    </w:lvl>
    <w:lvl w:ilvl="1" w:tplc="C16039A2" w:tentative="1">
      <w:start w:val="1"/>
      <w:numFmt w:val="bullet"/>
      <w:lvlText w:val="•"/>
      <w:lvlJc w:val="left"/>
      <w:pPr>
        <w:tabs>
          <w:tab w:val="num" w:pos="1440"/>
        </w:tabs>
        <w:ind w:left="1440" w:hanging="360"/>
      </w:pPr>
      <w:rPr>
        <w:rFonts w:ascii="Arial" w:hAnsi="Arial" w:hint="default"/>
      </w:rPr>
    </w:lvl>
    <w:lvl w:ilvl="2" w:tplc="63C0219A" w:tentative="1">
      <w:start w:val="1"/>
      <w:numFmt w:val="bullet"/>
      <w:lvlText w:val="•"/>
      <w:lvlJc w:val="left"/>
      <w:pPr>
        <w:tabs>
          <w:tab w:val="num" w:pos="2160"/>
        </w:tabs>
        <w:ind w:left="2160" w:hanging="360"/>
      </w:pPr>
      <w:rPr>
        <w:rFonts w:ascii="Arial" w:hAnsi="Arial" w:hint="default"/>
      </w:rPr>
    </w:lvl>
    <w:lvl w:ilvl="3" w:tplc="85B877B0" w:tentative="1">
      <w:start w:val="1"/>
      <w:numFmt w:val="bullet"/>
      <w:lvlText w:val="•"/>
      <w:lvlJc w:val="left"/>
      <w:pPr>
        <w:tabs>
          <w:tab w:val="num" w:pos="2880"/>
        </w:tabs>
        <w:ind w:left="2880" w:hanging="360"/>
      </w:pPr>
      <w:rPr>
        <w:rFonts w:ascii="Arial" w:hAnsi="Arial" w:hint="default"/>
      </w:rPr>
    </w:lvl>
    <w:lvl w:ilvl="4" w:tplc="2318B988" w:tentative="1">
      <w:start w:val="1"/>
      <w:numFmt w:val="bullet"/>
      <w:lvlText w:val="•"/>
      <w:lvlJc w:val="left"/>
      <w:pPr>
        <w:tabs>
          <w:tab w:val="num" w:pos="3600"/>
        </w:tabs>
        <w:ind w:left="3600" w:hanging="360"/>
      </w:pPr>
      <w:rPr>
        <w:rFonts w:ascii="Arial" w:hAnsi="Arial" w:hint="default"/>
      </w:rPr>
    </w:lvl>
    <w:lvl w:ilvl="5" w:tplc="4502B398" w:tentative="1">
      <w:start w:val="1"/>
      <w:numFmt w:val="bullet"/>
      <w:lvlText w:val="•"/>
      <w:lvlJc w:val="left"/>
      <w:pPr>
        <w:tabs>
          <w:tab w:val="num" w:pos="4320"/>
        </w:tabs>
        <w:ind w:left="4320" w:hanging="360"/>
      </w:pPr>
      <w:rPr>
        <w:rFonts w:ascii="Arial" w:hAnsi="Arial" w:hint="default"/>
      </w:rPr>
    </w:lvl>
    <w:lvl w:ilvl="6" w:tplc="5C463B54" w:tentative="1">
      <w:start w:val="1"/>
      <w:numFmt w:val="bullet"/>
      <w:lvlText w:val="•"/>
      <w:lvlJc w:val="left"/>
      <w:pPr>
        <w:tabs>
          <w:tab w:val="num" w:pos="5040"/>
        </w:tabs>
        <w:ind w:left="5040" w:hanging="360"/>
      </w:pPr>
      <w:rPr>
        <w:rFonts w:ascii="Arial" w:hAnsi="Arial" w:hint="default"/>
      </w:rPr>
    </w:lvl>
    <w:lvl w:ilvl="7" w:tplc="609CC86A" w:tentative="1">
      <w:start w:val="1"/>
      <w:numFmt w:val="bullet"/>
      <w:lvlText w:val="•"/>
      <w:lvlJc w:val="left"/>
      <w:pPr>
        <w:tabs>
          <w:tab w:val="num" w:pos="5760"/>
        </w:tabs>
        <w:ind w:left="5760" w:hanging="360"/>
      </w:pPr>
      <w:rPr>
        <w:rFonts w:ascii="Arial" w:hAnsi="Arial" w:hint="default"/>
      </w:rPr>
    </w:lvl>
    <w:lvl w:ilvl="8" w:tplc="4222A27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C370B90"/>
    <w:multiLevelType w:val="hybridMultilevel"/>
    <w:tmpl w:val="7E282BFC"/>
    <w:lvl w:ilvl="0" w:tplc="BC9AD4B0">
      <w:start w:val="1"/>
      <w:numFmt w:val="bullet"/>
      <w:lvlText w:val="•"/>
      <w:lvlJc w:val="left"/>
      <w:pPr>
        <w:tabs>
          <w:tab w:val="num" w:pos="720"/>
        </w:tabs>
        <w:ind w:left="720" w:hanging="360"/>
      </w:pPr>
      <w:rPr>
        <w:rFonts w:ascii="Arial" w:hAnsi="Arial" w:hint="default"/>
      </w:rPr>
    </w:lvl>
    <w:lvl w:ilvl="1" w:tplc="07387242" w:tentative="1">
      <w:start w:val="1"/>
      <w:numFmt w:val="bullet"/>
      <w:lvlText w:val="•"/>
      <w:lvlJc w:val="left"/>
      <w:pPr>
        <w:tabs>
          <w:tab w:val="num" w:pos="1440"/>
        </w:tabs>
        <w:ind w:left="1440" w:hanging="360"/>
      </w:pPr>
      <w:rPr>
        <w:rFonts w:ascii="Arial" w:hAnsi="Arial" w:hint="default"/>
      </w:rPr>
    </w:lvl>
    <w:lvl w:ilvl="2" w:tplc="D87CAAF2" w:tentative="1">
      <w:start w:val="1"/>
      <w:numFmt w:val="bullet"/>
      <w:lvlText w:val="•"/>
      <w:lvlJc w:val="left"/>
      <w:pPr>
        <w:tabs>
          <w:tab w:val="num" w:pos="2160"/>
        </w:tabs>
        <w:ind w:left="2160" w:hanging="360"/>
      </w:pPr>
      <w:rPr>
        <w:rFonts w:ascii="Arial" w:hAnsi="Arial" w:hint="default"/>
      </w:rPr>
    </w:lvl>
    <w:lvl w:ilvl="3" w:tplc="A574D930" w:tentative="1">
      <w:start w:val="1"/>
      <w:numFmt w:val="bullet"/>
      <w:lvlText w:val="•"/>
      <w:lvlJc w:val="left"/>
      <w:pPr>
        <w:tabs>
          <w:tab w:val="num" w:pos="2880"/>
        </w:tabs>
        <w:ind w:left="2880" w:hanging="360"/>
      </w:pPr>
      <w:rPr>
        <w:rFonts w:ascii="Arial" w:hAnsi="Arial" w:hint="default"/>
      </w:rPr>
    </w:lvl>
    <w:lvl w:ilvl="4" w:tplc="9EDAB3EE" w:tentative="1">
      <w:start w:val="1"/>
      <w:numFmt w:val="bullet"/>
      <w:lvlText w:val="•"/>
      <w:lvlJc w:val="left"/>
      <w:pPr>
        <w:tabs>
          <w:tab w:val="num" w:pos="3600"/>
        </w:tabs>
        <w:ind w:left="3600" w:hanging="360"/>
      </w:pPr>
      <w:rPr>
        <w:rFonts w:ascii="Arial" w:hAnsi="Arial" w:hint="default"/>
      </w:rPr>
    </w:lvl>
    <w:lvl w:ilvl="5" w:tplc="5A32A51C" w:tentative="1">
      <w:start w:val="1"/>
      <w:numFmt w:val="bullet"/>
      <w:lvlText w:val="•"/>
      <w:lvlJc w:val="left"/>
      <w:pPr>
        <w:tabs>
          <w:tab w:val="num" w:pos="4320"/>
        </w:tabs>
        <w:ind w:left="4320" w:hanging="360"/>
      </w:pPr>
      <w:rPr>
        <w:rFonts w:ascii="Arial" w:hAnsi="Arial" w:hint="default"/>
      </w:rPr>
    </w:lvl>
    <w:lvl w:ilvl="6" w:tplc="A96C3602" w:tentative="1">
      <w:start w:val="1"/>
      <w:numFmt w:val="bullet"/>
      <w:lvlText w:val="•"/>
      <w:lvlJc w:val="left"/>
      <w:pPr>
        <w:tabs>
          <w:tab w:val="num" w:pos="5040"/>
        </w:tabs>
        <w:ind w:left="5040" w:hanging="360"/>
      </w:pPr>
      <w:rPr>
        <w:rFonts w:ascii="Arial" w:hAnsi="Arial" w:hint="default"/>
      </w:rPr>
    </w:lvl>
    <w:lvl w:ilvl="7" w:tplc="3A2043C6" w:tentative="1">
      <w:start w:val="1"/>
      <w:numFmt w:val="bullet"/>
      <w:lvlText w:val="•"/>
      <w:lvlJc w:val="left"/>
      <w:pPr>
        <w:tabs>
          <w:tab w:val="num" w:pos="5760"/>
        </w:tabs>
        <w:ind w:left="5760" w:hanging="360"/>
      </w:pPr>
      <w:rPr>
        <w:rFonts w:ascii="Arial" w:hAnsi="Arial" w:hint="default"/>
      </w:rPr>
    </w:lvl>
    <w:lvl w:ilvl="8" w:tplc="69AE9FF6" w:tentative="1">
      <w:start w:val="1"/>
      <w:numFmt w:val="bullet"/>
      <w:lvlText w:val="•"/>
      <w:lvlJc w:val="left"/>
      <w:pPr>
        <w:tabs>
          <w:tab w:val="num" w:pos="6480"/>
        </w:tabs>
        <w:ind w:left="6480" w:hanging="360"/>
      </w:pPr>
      <w:rPr>
        <w:rFonts w:ascii="Arial" w:hAnsi="Arial" w:hint="default"/>
      </w:rPr>
    </w:lvl>
  </w:abstractNum>
  <w:num w:numId="1" w16cid:durableId="599334339">
    <w:abstractNumId w:val="3"/>
  </w:num>
  <w:num w:numId="2" w16cid:durableId="1006060730">
    <w:abstractNumId w:val="2"/>
  </w:num>
  <w:num w:numId="3" w16cid:durableId="1682588475">
    <w:abstractNumId w:val="1"/>
  </w:num>
  <w:num w:numId="4" w16cid:durableId="1603604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B9"/>
    <w:rsid w:val="000617D8"/>
    <w:rsid w:val="00104EB9"/>
    <w:rsid w:val="0027665B"/>
    <w:rsid w:val="003D062C"/>
    <w:rsid w:val="00AE4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3DB5A5"/>
  <w15:chartTrackingRefBased/>
  <w15:docId w15:val="{76CDF71D-96A8-1649-97BF-1ADF64315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17D8"/>
    <w:rPr>
      <w:color w:val="0563C1" w:themeColor="hyperlink"/>
      <w:u w:val="single"/>
    </w:rPr>
  </w:style>
  <w:style w:type="character" w:styleId="UnresolvedMention">
    <w:name w:val="Unresolved Mention"/>
    <w:basedOn w:val="DefaultParagraphFont"/>
    <w:uiPriority w:val="99"/>
    <w:semiHidden/>
    <w:unhideWhenUsed/>
    <w:rsid w:val="000617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16773">
      <w:bodyDiv w:val="1"/>
      <w:marLeft w:val="0"/>
      <w:marRight w:val="0"/>
      <w:marTop w:val="0"/>
      <w:marBottom w:val="0"/>
      <w:divBdr>
        <w:top w:val="none" w:sz="0" w:space="0" w:color="auto"/>
        <w:left w:val="none" w:sz="0" w:space="0" w:color="auto"/>
        <w:bottom w:val="none" w:sz="0" w:space="0" w:color="auto"/>
        <w:right w:val="none" w:sz="0" w:space="0" w:color="auto"/>
      </w:divBdr>
      <w:divsChild>
        <w:div w:id="1635719267">
          <w:marLeft w:val="360"/>
          <w:marRight w:val="0"/>
          <w:marTop w:val="200"/>
          <w:marBottom w:val="0"/>
          <w:divBdr>
            <w:top w:val="none" w:sz="0" w:space="0" w:color="auto"/>
            <w:left w:val="none" w:sz="0" w:space="0" w:color="auto"/>
            <w:bottom w:val="none" w:sz="0" w:space="0" w:color="auto"/>
            <w:right w:val="none" w:sz="0" w:space="0" w:color="auto"/>
          </w:divBdr>
        </w:div>
        <w:div w:id="223218270">
          <w:marLeft w:val="360"/>
          <w:marRight w:val="0"/>
          <w:marTop w:val="200"/>
          <w:marBottom w:val="0"/>
          <w:divBdr>
            <w:top w:val="none" w:sz="0" w:space="0" w:color="auto"/>
            <w:left w:val="none" w:sz="0" w:space="0" w:color="auto"/>
            <w:bottom w:val="none" w:sz="0" w:space="0" w:color="auto"/>
            <w:right w:val="none" w:sz="0" w:space="0" w:color="auto"/>
          </w:divBdr>
        </w:div>
        <w:div w:id="1446120142">
          <w:marLeft w:val="360"/>
          <w:marRight w:val="0"/>
          <w:marTop w:val="200"/>
          <w:marBottom w:val="0"/>
          <w:divBdr>
            <w:top w:val="none" w:sz="0" w:space="0" w:color="auto"/>
            <w:left w:val="none" w:sz="0" w:space="0" w:color="auto"/>
            <w:bottom w:val="none" w:sz="0" w:space="0" w:color="auto"/>
            <w:right w:val="none" w:sz="0" w:space="0" w:color="auto"/>
          </w:divBdr>
        </w:div>
        <w:div w:id="2111242532">
          <w:marLeft w:val="360"/>
          <w:marRight w:val="0"/>
          <w:marTop w:val="0"/>
          <w:marBottom w:val="0"/>
          <w:divBdr>
            <w:top w:val="none" w:sz="0" w:space="0" w:color="auto"/>
            <w:left w:val="none" w:sz="0" w:space="0" w:color="auto"/>
            <w:bottom w:val="none" w:sz="0" w:space="0" w:color="auto"/>
            <w:right w:val="none" w:sz="0" w:space="0" w:color="auto"/>
          </w:divBdr>
        </w:div>
        <w:div w:id="877352574">
          <w:marLeft w:val="360"/>
          <w:marRight w:val="0"/>
          <w:marTop w:val="200"/>
          <w:marBottom w:val="0"/>
          <w:divBdr>
            <w:top w:val="none" w:sz="0" w:space="0" w:color="auto"/>
            <w:left w:val="none" w:sz="0" w:space="0" w:color="auto"/>
            <w:bottom w:val="none" w:sz="0" w:space="0" w:color="auto"/>
            <w:right w:val="none" w:sz="0" w:space="0" w:color="auto"/>
          </w:divBdr>
        </w:div>
        <w:div w:id="203298145">
          <w:marLeft w:val="360"/>
          <w:marRight w:val="0"/>
          <w:marTop w:val="200"/>
          <w:marBottom w:val="0"/>
          <w:divBdr>
            <w:top w:val="none" w:sz="0" w:space="0" w:color="auto"/>
            <w:left w:val="none" w:sz="0" w:space="0" w:color="auto"/>
            <w:bottom w:val="none" w:sz="0" w:space="0" w:color="auto"/>
            <w:right w:val="none" w:sz="0" w:space="0" w:color="auto"/>
          </w:divBdr>
        </w:div>
        <w:div w:id="1439790481">
          <w:marLeft w:val="360"/>
          <w:marRight w:val="0"/>
          <w:marTop w:val="200"/>
          <w:marBottom w:val="0"/>
          <w:divBdr>
            <w:top w:val="none" w:sz="0" w:space="0" w:color="auto"/>
            <w:left w:val="none" w:sz="0" w:space="0" w:color="auto"/>
            <w:bottom w:val="none" w:sz="0" w:space="0" w:color="auto"/>
            <w:right w:val="none" w:sz="0" w:space="0" w:color="auto"/>
          </w:divBdr>
        </w:div>
        <w:div w:id="849293703">
          <w:marLeft w:val="360"/>
          <w:marRight w:val="0"/>
          <w:marTop w:val="200"/>
          <w:marBottom w:val="0"/>
          <w:divBdr>
            <w:top w:val="none" w:sz="0" w:space="0" w:color="auto"/>
            <w:left w:val="none" w:sz="0" w:space="0" w:color="auto"/>
            <w:bottom w:val="none" w:sz="0" w:space="0" w:color="auto"/>
            <w:right w:val="none" w:sz="0" w:space="0" w:color="auto"/>
          </w:divBdr>
        </w:div>
        <w:div w:id="782041866">
          <w:marLeft w:val="360"/>
          <w:marRight w:val="0"/>
          <w:marTop w:val="200"/>
          <w:marBottom w:val="0"/>
          <w:divBdr>
            <w:top w:val="none" w:sz="0" w:space="0" w:color="auto"/>
            <w:left w:val="none" w:sz="0" w:space="0" w:color="auto"/>
            <w:bottom w:val="none" w:sz="0" w:space="0" w:color="auto"/>
            <w:right w:val="none" w:sz="0" w:space="0" w:color="auto"/>
          </w:divBdr>
        </w:div>
        <w:div w:id="226766897">
          <w:marLeft w:val="360"/>
          <w:marRight w:val="0"/>
          <w:marTop w:val="0"/>
          <w:marBottom w:val="0"/>
          <w:divBdr>
            <w:top w:val="none" w:sz="0" w:space="0" w:color="auto"/>
            <w:left w:val="none" w:sz="0" w:space="0" w:color="auto"/>
            <w:bottom w:val="none" w:sz="0" w:space="0" w:color="auto"/>
            <w:right w:val="none" w:sz="0" w:space="0" w:color="auto"/>
          </w:divBdr>
        </w:div>
        <w:div w:id="1527058556">
          <w:marLeft w:val="360"/>
          <w:marRight w:val="0"/>
          <w:marTop w:val="0"/>
          <w:marBottom w:val="0"/>
          <w:divBdr>
            <w:top w:val="none" w:sz="0" w:space="0" w:color="auto"/>
            <w:left w:val="none" w:sz="0" w:space="0" w:color="auto"/>
            <w:bottom w:val="none" w:sz="0" w:space="0" w:color="auto"/>
            <w:right w:val="none" w:sz="0" w:space="0" w:color="auto"/>
          </w:divBdr>
        </w:div>
        <w:div w:id="1178302803">
          <w:marLeft w:val="360"/>
          <w:marRight w:val="0"/>
          <w:marTop w:val="0"/>
          <w:marBottom w:val="0"/>
          <w:divBdr>
            <w:top w:val="none" w:sz="0" w:space="0" w:color="auto"/>
            <w:left w:val="none" w:sz="0" w:space="0" w:color="auto"/>
            <w:bottom w:val="none" w:sz="0" w:space="0" w:color="auto"/>
            <w:right w:val="none" w:sz="0" w:space="0" w:color="auto"/>
          </w:divBdr>
        </w:div>
        <w:div w:id="1508255930">
          <w:marLeft w:val="360"/>
          <w:marRight w:val="0"/>
          <w:marTop w:val="0"/>
          <w:marBottom w:val="0"/>
          <w:divBdr>
            <w:top w:val="none" w:sz="0" w:space="0" w:color="auto"/>
            <w:left w:val="none" w:sz="0" w:space="0" w:color="auto"/>
            <w:bottom w:val="none" w:sz="0" w:space="0" w:color="auto"/>
            <w:right w:val="none" w:sz="0" w:space="0" w:color="auto"/>
          </w:divBdr>
        </w:div>
        <w:div w:id="1081219561">
          <w:marLeft w:val="360"/>
          <w:marRight w:val="0"/>
          <w:marTop w:val="200"/>
          <w:marBottom w:val="0"/>
          <w:divBdr>
            <w:top w:val="none" w:sz="0" w:space="0" w:color="auto"/>
            <w:left w:val="none" w:sz="0" w:space="0" w:color="auto"/>
            <w:bottom w:val="none" w:sz="0" w:space="0" w:color="auto"/>
            <w:right w:val="none" w:sz="0" w:space="0" w:color="auto"/>
          </w:divBdr>
        </w:div>
        <w:div w:id="16584035">
          <w:marLeft w:val="360"/>
          <w:marRight w:val="0"/>
          <w:marTop w:val="200"/>
          <w:marBottom w:val="0"/>
          <w:divBdr>
            <w:top w:val="none" w:sz="0" w:space="0" w:color="auto"/>
            <w:left w:val="none" w:sz="0" w:space="0" w:color="auto"/>
            <w:bottom w:val="none" w:sz="0" w:space="0" w:color="auto"/>
            <w:right w:val="none" w:sz="0" w:space="0" w:color="auto"/>
          </w:divBdr>
        </w:div>
      </w:divsChild>
    </w:div>
    <w:div w:id="1847597437">
      <w:bodyDiv w:val="1"/>
      <w:marLeft w:val="0"/>
      <w:marRight w:val="0"/>
      <w:marTop w:val="0"/>
      <w:marBottom w:val="0"/>
      <w:divBdr>
        <w:top w:val="none" w:sz="0" w:space="0" w:color="auto"/>
        <w:left w:val="none" w:sz="0" w:space="0" w:color="auto"/>
        <w:bottom w:val="none" w:sz="0" w:space="0" w:color="auto"/>
        <w:right w:val="none" w:sz="0" w:space="0" w:color="auto"/>
      </w:divBdr>
      <w:divsChild>
        <w:div w:id="949163679">
          <w:marLeft w:val="360"/>
          <w:marRight w:val="0"/>
          <w:marTop w:val="200"/>
          <w:marBottom w:val="0"/>
          <w:divBdr>
            <w:top w:val="none" w:sz="0" w:space="0" w:color="auto"/>
            <w:left w:val="none" w:sz="0" w:space="0" w:color="auto"/>
            <w:bottom w:val="none" w:sz="0" w:space="0" w:color="auto"/>
            <w:right w:val="none" w:sz="0" w:space="0" w:color="auto"/>
          </w:divBdr>
        </w:div>
        <w:div w:id="1683193710">
          <w:marLeft w:val="360"/>
          <w:marRight w:val="0"/>
          <w:marTop w:val="200"/>
          <w:marBottom w:val="0"/>
          <w:divBdr>
            <w:top w:val="none" w:sz="0" w:space="0" w:color="auto"/>
            <w:left w:val="none" w:sz="0" w:space="0" w:color="auto"/>
            <w:bottom w:val="none" w:sz="0" w:space="0" w:color="auto"/>
            <w:right w:val="none" w:sz="0" w:space="0" w:color="auto"/>
          </w:divBdr>
        </w:div>
        <w:div w:id="965353945">
          <w:marLeft w:val="360"/>
          <w:marRight w:val="0"/>
          <w:marTop w:val="200"/>
          <w:marBottom w:val="0"/>
          <w:divBdr>
            <w:top w:val="none" w:sz="0" w:space="0" w:color="auto"/>
            <w:left w:val="none" w:sz="0" w:space="0" w:color="auto"/>
            <w:bottom w:val="none" w:sz="0" w:space="0" w:color="auto"/>
            <w:right w:val="none" w:sz="0" w:space="0" w:color="auto"/>
          </w:divBdr>
        </w:div>
        <w:div w:id="1977756892">
          <w:marLeft w:val="360"/>
          <w:marRight w:val="0"/>
          <w:marTop w:val="200"/>
          <w:marBottom w:val="0"/>
          <w:divBdr>
            <w:top w:val="none" w:sz="0" w:space="0" w:color="auto"/>
            <w:left w:val="none" w:sz="0" w:space="0" w:color="auto"/>
            <w:bottom w:val="none" w:sz="0" w:space="0" w:color="auto"/>
            <w:right w:val="none" w:sz="0" w:space="0" w:color="auto"/>
          </w:divBdr>
        </w:div>
        <w:div w:id="1212694389">
          <w:marLeft w:val="360"/>
          <w:marRight w:val="0"/>
          <w:marTop w:val="200"/>
          <w:marBottom w:val="0"/>
          <w:divBdr>
            <w:top w:val="none" w:sz="0" w:space="0" w:color="auto"/>
            <w:left w:val="none" w:sz="0" w:space="0" w:color="auto"/>
            <w:bottom w:val="none" w:sz="0" w:space="0" w:color="auto"/>
            <w:right w:val="none" w:sz="0" w:space="0" w:color="auto"/>
          </w:divBdr>
        </w:div>
        <w:div w:id="1051002189">
          <w:marLeft w:val="360"/>
          <w:marRight w:val="0"/>
          <w:marTop w:val="200"/>
          <w:marBottom w:val="0"/>
          <w:divBdr>
            <w:top w:val="none" w:sz="0" w:space="0" w:color="auto"/>
            <w:left w:val="none" w:sz="0" w:space="0" w:color="auto"/>
            <w:bottom w:val="none" w:sz="0" w:space="0" w:color="auto"/>
            <w:right w:val="none" w:sz="0" w:space="0" w:color="auto"/>
          </w:divBdr>
        </w:div>
        <w:div w:id="1688675934">
          <w:marLeft w:val="360"/>
          <w:marRight w:val="0"/>
          <w:marTop w:val="200"/>
          <w:marBottom w:val="0"/>
          <w:divBdr>
            <w:top w:val="none" w:sz="0" w:space="0" w:color="auto"/>
            <w:left w:val="none" w:sz="0" w:space="0" w:color="auto"/>
            <w:bottom w:val="none" w:sz="0" w:space="0" w:color="auto"/>
            <w:right w:val="none" w:sz="0" w:space="0" w:color="auto"/>
          </w:divBdr>
        </w:div>
      </w:divsChild>
    </w:div>
    <w:div w:id="2107000633">
      <w:bodyDiv w:val="1"/>
      <w:marLeft w:val="0"/>
      <w:marRight w:val="0"/>
      <w:marTop w:val="0"/>
      <w:marBottom w:val="0"/>
      <w:divBdr>
        <w:top w:val="none" w:sz="0" w:space="0" w:color="auto"/>
        <w:left w:val="none" w:sz="0" w:space="0" w:color="auto"/>
        <w:bottom w:val="none" w:sz="0" w:space="0" w:color="auto"/>
        <w:right w:val="none" w:sz="0" w:space="0" w:color="auto"/>
      </w:divBdr>
      <w:divsChild>
        <w:div w:id="1269964657">
          <w:marLeft w:val="360"/>
          <w:marRight w:val="0"/>
          <w:marTop w:val="200"/>
          <w:marBottom w:val="0"/>
          <w:divBdr>
            <w:top w:val="none" w:sz="0" w:space="0" w:color="auto"/>
            <w:left w:val="none" w:sz="0" w:space="0" w:color="auto"/>
            <w:bottom w:val="none" w:sz="0" w:space="0" w:color="auto"/>
            <w:right w:val="none" w:sz="0" w:space="0" w:color="auto"/>
          </w:divBdr>
        </w:div>
        <w:div w:id="901792811">
          <w:marLeft w:val="360"/>
          <w:marRight w:val="0"/>
          <w:marTop w:val="200"/>
          <w:marBottom w:val="0"/>
          <w:divBdr>
            <w:top w:val="none" w:sz="0" w:space="0" w:color="auto"/>
            <w:left w:val="none" w:sz="0" w:space="0" w:color="auto"/>
            <w:bottom w:val="none" w:sz="0" w:space="0" w:color="auto"/>
            <w:right w:val="none" w:sz="0" w:space="0" w:color="auto"/>
          </w:divBdr>
        </w:div>
        <w:div w:id="945573947">
          <w:marLeft w:val="360"/>
          <w:marRight w:val="0"/>
          <w:marTop w:val="200"/>
          <w:marBottom w:val="0"/>
          <w:divBdr>
            <w:top w:val="none" w:sz="0" w:space="0" w:color="auto"/>
            <w:left w:val="none" w:sz="0" w:space="0" w:color="auto"/>
            <w:bottom w:val="none" w:sz="0" w:space="0" w:color="auto"/>
            <w:right w:val="none" w:sz="0" w:space="0" w:color="auto"/>
          </w:divBdr>
        </w:div>
        <w:div w:id="220791449">
          <w:marLeft w:val="360"/>
          <w:marRight w:val="0"/>
          <w:marTop w:val="200"/>
          <w:marBottom w:val="0"/>
          <w:divBdr>
            <w:top w:val="none" w:sz="0" w:space="0" w:color="auto"/>
            <w:left w:val="none" w:sz="0" w:space="0" w:color="auto"/>
            <w:bottom w:val="none" w:sz="0" w:space="0" w:color="auto"/>
            <w:right w:val="none" w:sz="0" w:space="0" w:color="auto"/>
          </w:divBdr>
        </w:div>
        <w:div w:id="283385071">
          <w:marLeft w:val="360"/>
          <w:marRight w:val="0"/>
          <w:marTop w:val="200"/>
          <w:marBottom w:val="0"/>
          <w:divBdr>
            <w:top w:val="none" w:sz="0" w:space="0" w:color="auto"/>
            <w:left w:val="none" w:sz="0" w:space="0" w:color="auto"/>
            <w:bottom w:val="none" w:sz="0" w:space="0" w:color="auto"/>
            <w:right w:val="none" w:sz="0" w:space="0" w:color="auto"/>
          </w:divBdr>
        </w:div>
        <w:div w:id="500313701">
          <w:marLeft w:val="360"/>
          <w:marRight w:val="0"/>
          <w:marTop w:val="200"/>
          <w:marBottom w:val="0"/>
          <w:divBdr>
            <w:top w:val="none" w:sz="0" w:space="0" w:color="auto"/>
            <w:left w:val="none" w:sz="0" w:space="0" w:color="auto"/>
            <w:bottom w:val="none" w:sz="0" w:space="0" w:color="auto"/>
            <w:right w:val="none" w:sz="0" w:space="0" w:color="auto"/>
          </w:divBdr>
        </w:div>
        <w:div w:id="82473603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spcc.org.uk/abou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2866</Words>
  <Characters>16340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Elkins (2007490)</dc:creator>
  <cp:keywords/>
  <dc:description/>
  <cp:lastModifiedBy>Courtney Elkins (2007490)</cp:lastModifiedBy>
  <cp:revision>1</cp:revision>
  <dcterms:created xsi:type="dcterms:W3CDTF">2023-04-28T09:32:00Z</dcterms:created>
  <dcterms:modified xsi:type="dcterms:W3CDTF">2023-04-28T09:49:00Z</dcterms:modified>
</cp:coreProperties>
</file>