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E1890" w14:textId="77777777" w:rsidR="005D1B6F" w:rsidRDefault="005D1B6F" w:rsidP="002D2E2E"/>
    <w:p w14:paraId="03B35952" w14:textId="77777777" w:rsidR="00C03AF5" w:rsidRPr="003D40D2" w:rsidRDefault="00C03AF5" w:rsidP="00C03AF5">
      <w:pPr>
        <w:rPr>
          <w:sz w:val="32"/>
          <w:szCs w:val="32"/>
        </w:rPr>
      </w:pPr>
      <w:bookmarkStart w:id="0" w:name="_Hlk153706122"/>
      <w:r w:rsidRPr="003D40D2">
        <w:rPr>
          <w:sz w:val="32"/>
          <w:szCs w:val="32"/>
        </w:rPr>
        <w:t>Task 1</w:t>
      </w:r>
    </w:p>
    <w:bookmarkEnd w:id="0"/>
    <w:p w14:paraId="127656B0" w14:textId="77777777" w:rsidR="00C03AF5" w:rsidRDefault="00C03AF5" w:rsidP="00C03AF5">
      <w:r>
        <w:t xml:space="preserve">AC 1.1 </w:t>
      </w:r>
    </w:p>
    <w:p w14:paraId="60E864BE" w14:textId="77777777" w:rsidR="00C03AF5" w:rsidRDefault="00C03AF5" w:rsidP="00C03AF5">
      <w:r>
        <w:t xml:space="preserve">In the contemporary business landscape, data has emerged as a cornerstone for organizational decision-making. </w:t>
      </w:r>
    </w:p>
    <w:p w14:paraId="4E6DBFD0" w14:textId="77777777" w:rsidR="00C03AF5" w:rsidRDefault="00C03AF5" w:rsidP="00C03AF5">
      <w:r w:rsidRPr="006F4BF2">
        <w:t>Janssen</w:t>
      </w:r>
      <w:r>
        <w:t xml:space="preserve"> et al (2017) states that </w:t>
      </w:r>
      <w:r w:rsidRPr="00786BE4">
        <w:t xml:space="preserve">datasets </w:t>
      </w:r>
      <w:r>
        <w:t xml:space="preserve">can </w:t>
      </w:r>
      <w:r w:rsidRPr="00786BE4">
        <w:t>fundamentally transform the way</w:t>
      </w:r>
      <w:r>
        <w:t xml:space="preserve"> </w:t>
      </w:r>
      <w:r w:rsidRPr="00786BE4">
        <w:t>organi</w:t>
      </w:r>
      <w:r>
        <w:t>s</w:t>
      </w:r>
      <w:r w:rsidRPr="00786BE4">
        <w:t>ations make their decision</w:t>
      </w:r>
      <w:r>
        <w:t xml:space="preserve">s. </w:t>
      </w:r>
    </w:p>
    <w:p w14:paraId="636472E4" w14:textId="77777777" w:rsidR="00C03AF5" w:rsidRDefault="00C03AF5" w:rsidP="00C03AF5">
      <w:r>
        <w:t>The ability to collect, analyse, and interpret data has become a pivotal aspect of strategic planning and problem-solving (</w:t>
      </w:r>
      <w:r w:rsidRPr="006F4BF2">
        <w:t>Janssen</w:t>
      </w:r>
      <w:r>
        <w:t xml:space="preserve"> et al, 2017)</w:t>
      </w:r>
    </w:p>
    <w:p w14:paraId="1F9876FD" w14:textId="0E0889A0" w:rsidR="00C03AF5" w:rsidRDefault="00C03AF5" w:rsidP="00C03AF5">
      <w:r>
        <w:t>Data serves as the lifeblood of informed decision-making within organi</w:t>
      </w:r>
      <w:r w:rsidR="004509F1">
        <w:t>s</w:t>
      </w:r>
      <w:r>
        <w:t>ations. In a rapidly evolving business environment, decisions need to be</w:t>
      </w:r>
      <w:r w:rsidR="004509F1">
        <w:t xml:space="preserve"> grounded</w:t>
      </w:r>
      <w:r>
        <w:t xml:space="preserve"> in evidence rather than intuition. Accurate and reliable data empowers HR advisors and organisational leaders to make decisions that are not only well-informed but also aligned with the strategic objectives of the company.</w:t>
      </w:r>
    </w:p>
    <w:p w14:paraId="37197970" w14:textId="77777777" w:rsidR="00C03AF5" w:rsidRDefault="00C03AF5" w:rsidP="00C03AF5">
      <w:r>
        <w:t>Data allows organisations to identify patterns and trends that might otherwise go unnoticed. Through thorough analysis, HR advisors can discern insights into employee performance, engagement levels, and overall organisational health. Recognising these patterns enables proactive problem-solving and strategic planning for the future.</w:t>
      </w:r>
    </w:p>
    <w:p w14:paraId="675499FF" w14:textId="36ABB93F" w:rsidR="00C03AF5" w:rsidRDefault="00C03AF5" w:rsidP="00C03AF5">
      <w:r>
        <w:t>Accurate data is vital for assessing employee performance and guiding improvements. HR advisors utili</w:t>
      </w:r>
      <w:r w:rsidR="004509F1">
        <w:t>s</w:t>
      </w:r>
      <w:r>
        <w:t>e performance metrics to tailor training, implement targeted interventions, and foster continuous improvement, enhancing both individual and overall organi</w:t>
      </w:r>
      <w:r w:rsidR="004509F1">
        <w:t>s</w:t>
      </w:r>
      <w:r>
        <w:t>ational success.</w:t>
      </w:r>
    </w:p>
    <w:p w14:paraId="33A4C373" w14:textId="7887E3B4" w:rsidR="00C03AF5" w:rsidRDefault="00C03AF5" w:rsidP="00C03AF5">
      <w:r>
        <w:t>Inaccurate data poses significant risks, leading to misguided decisions in workforce planning, talent acquisition, and policy implementation. Ensuring data accuracy is crucial for mitigating risks and cultivating accountability within the organi</w:t>
      </w:r>
      <w:r w:rsidR="004509F1">
        <w:t>s</w:t>
      </w:r>
      <w:r>
        <w:t>ation.</w:t>
      </w:r>
    </w:p>
    <w:p w14:paraId="52EAD743" w14:textId="77777777" w:rsidR="00C03AF5" w:rsidRDefault="00C03AF5" w:rsidP="00C03AF5">
      <w:r>
        <w:t>In regulatory environments, accurate data is essential for meeting legal obligations, including reporting requirements, diversity metrics, and labour law adherence. Failure to ensure accuracy can result in legal repercussions and reputational damage.</w:t>
      </w:r>
    </w:p>
    <w:p w14:paraId="1650FFEE" w14:textId="65794128" w:rsidR="00C03AF5" w:rsidRDefault="00C03AF5" w:rsidP="00C03AF5">
      <w:r>
        <w:t>In conclusion, data's importance in organi</w:t>
      </w:r>
      <w:r w:rsidR="004509F1">
        <w:t>s</w:t>
      </w:r>
      <w:r>
        <w:t>ations is undeniable, aiding decision-making, performance evaluation, and risk mitigation. However, the effectiveness of data-driven decisions relies on accuracy. HR advisors must prioriti</w:t>
      </w:r>
      <w:r w:rsidR="004509F1">
        <w:t>s</w:t>
      </w:r>
      <w:r>
        <w:t>e data accuracy as the linchpin for problem-solving and driving positive outcomes in a data-driven world. Accuracy is not just a requirement; it is the foundation for successful organi</w:t>
      </w:r>
      <w:r w:rsidR="004509F1">
        <w:t>s</w:t>
      </w:r>
      <w:r>
        <w:t>ational strategies.</w:t>
      </w:r>
    </w:p>
    <w:p w14:paraId="3C771817" w14:textId="77777777" w:rsidR="00C03AF5" w:rsidRDefault="00C03AF5" w:rsidP="00C03AF5"/>
    <w:p w14:paraId="3FE400E6" w14:textId="77777777" w:rsidR="00C03AF5" w:rsidRDefault="00C03AF5" w:rsidP="00C03AF5">
      <w:r>
        <w:t xml:space="preserve">AC 1.2 </w:t>
      </w:r>
    </w:p>
    <w:p w14:paraId="29034987" w14:textId="0370CC82" w:rsidR="00C03AF5" w:rsidRDefault="00C03AF5" w:rsidP="00C03AF5">
      <w:r w:rsidRPr="00387ADD">
        <w:t xml:space="preserve">Goienetxea Uriarte et al </w:t>
      </w:r>
      <w:r>
        <w:t>(</w:t>
      </w:r>
      <w:r w:rsidRPr="00387ADD">
        <w:t xml:space="preserve">2017) </w:t>
      </w:r>
      <w:r>
        <w:t>states</w:t>
      </w:r>
      <w:r w:rsidRPr="00387ADD">
        <w:t xml:space="preserve"> the adoption of digital technologies has increased the amount of data available to make decisions</w:t>
      </w:r>
      <w:r>
        <w:t>. Therefore, Accurate, and comprehensive data serves as the foundations upon which leaders can confidently base their decisions, ensuring alignment with the actual needs and dynamics of the organisation. This data-driven approach not only enhances efficiency by identifying areas for improvement and optimising processes but also allows for more effective resource allocation.</w:t>
      </w:r>
    </w:p>
    <w:p w14:paraId="7E288EF0" w14:textId="77777777" w:rsidR="00C03AF5" w:rsidRDefault="00C03AF5" w:rsidP="00C03AF5">
      <w:r>
        <w:t>In business data analytics becomes instrumental in recognising patterns related to employee performance, engagement, and satisfaction. This, in turn, can pave the way to implement proactive measures that positively impact the overall work environment. Furthermore, in the broader organisation, accurate data is indispensable for anticipating trends, identifying future changes, and crafting future-oriented strategic plans.</w:t>
      </w:r>
    </w:p>
    <w:p w14:paraId="750097A7" w14:textId="77777777" w:rsidR="00C03AF5" w:rsidRDefault="00C03AF5" w:rsidP="00C03AF5">
      <w:r>
        <w:t>However, the efficacy of data hinges on its accuracy. Inaccurate data can lead to misguided decisions, resource misallocation, and flawed strategic planning. Therefore, organisations must prioritise the meticulous collection and validation of data, drawing from reliable sources.</w:t>
      </w:r>
    </w:p>
    <w:p w14:paraId="32C6D549" w14:textId="77777777" w:rsidR="00C03AF5" w:rsidRDefault="00C03AF5" w:rsidP="00C03AF5">
      <w:r>
        <w:lastRenderedPageBreak/>
        <w:t>In conclusion, the strategic utilisation of accurate data not only empowers organisations to navigate the modern business world but also equips them with the insights needed to foster sustainable success and create a positive and effective work environment.</w:t>
      </w:r>
    </w:p>
    <w:p w14:paraId="10F10F7D" w14:textId="77777777" w:rsidR="00C03AF5" w:rsidRDefault="00C03AF5" w:rsidP="00C03AF5"/>
    <w:p w14:paraId="0AEBEA35" w14:textId="77777777" w:rsidR="00C03AF5" w:rsidRDefault="00C03AF5" w:rsidP="00C03AF5"/>
    <w:p w14:paraId="1784A4C9" w14:textId="77777777" w:rsidR="00C03AF5" w:rsidRDefault="00C03AF5" w:rsidP="00C03AF5">
      <w:r>
        <w:t>AC 1.3</w:t>
      </w:r>
    </w:p>
    <w:p w14:paraId="1571C38B" w14:textId="77777777" w:rsidR="00C03AF5" w:rsidRDefault="00C03AF5" w:rsidP="00C03AF5">
      <w:r>
        <w:t xml:space="preserve">In the realm of people professionals, diverse data measurements play a crucial role in comprehending, analysing, and enhancing the human dimension of organisational dynamics. </w:t>
      </w:r>
    </w:p>
    <w:p w14:paraId="48676FFB" w14:textId="77777777" w:rsidR="00C03AF5" w:rsidRDefault="00C03AF5" w:rsidP="00C03AF5"/>
    <w:p w14:paraId="433FCAC6" w14:textId="77777777" w:rsidR="00C03AF5" w:rsidRDefault="00C03AF5" w:rsidP="00C03AF5">
      <w:r>
        <w:t>1.</w:t>
      </w:r>
      <w:r>
        <w:tab/>
        <w:t>Quantitative Data Measurements:</w:t>
      </w:r>
    </w:p>
    <w:p w14:paraId="0152D890" w14:textId="77777777" w:rsidR="00C03AF5" w:rsidRDefault="00C03AF5" w:rsidP="00C03AF5">
      <w:pPr>
        <w:pStyle w:val="ListParagraph"/>
        <w:numPr>
          <w:ilvl w:val="0"/>
          <w:numId w:val="13"/>
        </w:numPr>
      </w:pPr>
      <w:r>
        <w:t>Numerical values, such as headcount, turnover rates, and performance scores.</w:t>
      </w:r>
    </w:p>
    <w:p w14:paraId="624ABC7D" w14:textId="3E8A8AF7" w:rsidR="00C03AF5" w:rsidRDefault="00C03AF5" w:rsidP="00C03AF5">
      <w:pPr>
        <w:pStyle w:val="ListParagraph"/>
        <w:numPr>
          <w:ilvl w:val="0"/>
          <w:numId w:val="13"/>
        </w:numPr>
      </w:pPr>
      <w:r>
        <w:t>Offers a solid foundation for trend analysis, comparisons, and statistical insights in human resources and organi</w:t>
      </w:r>
      <w:r w:rsidR="00AE2C92">
        <w:t>s</w:t>
      </w:r>
      <w:r>
        <w:t>ational dynamics.</w:t>
      </w:r>
    </w:p>
    <w:p w14:paraId="682DFFBE" w14:textId="77777777" w:rsidR="00C03AF5" w:rsidRDefault="00C03AF5" w:rsidP="00C03AF5">
      <w:r>
        <w:t>2.</w:t>
      </w:r>
      <w:r>
        <w:tab/>
        <w:t>Qualitative Data Measurements:</w:t>
      </w:r>
    </w:p>
    <w:p w14:paraId="47B91CC0" w14:textId="77777777" w:rsidR="00C03AF5" w:rsidRDefault="00C03AF5" w:rsidP="00C03AF5">
      <w:pPr>
        <w:pStyle w:val="ListParagraph"/>
        <w:numPr>
          <w:ilvl w:val="0"/>
          <w:numId w:val="12"/>
        </w:numPr>
      </w:pPr>
      <w:r>
        <w:t>Non-numerical information, including narrative responses and open-ended survey questions.</w:t>
      </w:r>
    </w:p>
    <w:p w14:paraId="2390CDD7" w14:textId="77777777" w:rsidR="00C03AF5" w:rsidRDefault="00C03AF5" w:rsidP="00C03AF5">
      <w:pPr>
        <w:pStyle w:val="ListParagraph"/>
        <w:numPr>
          <w:ilvl w:val="0"/>
          <w:numId w:val="12"/>
        </w:numPr>
      </w:pPr>
      <w:r>
        <w:t>Provides nuanced insights into employee sentiments, motivations, and perceptions, complementing quantitative data.</w:t>
      </w:r>
    </w:p>
    <w:p w14:paraId="05356DA7" w14:textId="77777777" w:rsidR="00C03AF5" w:rsidRDefault="00C03AF5" w:rsidP="00C03AF5">
      <w:r>
        <w:t>3.</w:t>
      </w:r>
      <w:r>
        <w:tab/>
        <w:t>Categorical Data Measurements:</w:t>
      </w:r>
    </w:p>
    <w:p w14:paraId="6DBC4A26" w14:textId="77777777" w:rsidR="00C03AF5" w:rsidRDefault="00C03AF5" w:rsidP="00C03AF5">
      <w:pPr>
        <w:pStyle w:val="ListParagraph"/>
        <w:numPr>
          <w:ilvl w:val="0"/>
          <w:numId w:val="11"/>
        </w:numPr>
      </w:pPr>
      <w:r>
        <w:t>Involves grouping data into categories or classes, useful for analysing demographic information.</w:t>
      </w:r>
    </w:p>
    <w:p w14:paraId="6B7593A1" w14:textId="77777777" w:rsidR="00C03AF5" w:rsidRDefault="00C03AF5" w:rsidP="00C03AF5">
      <w:pPr>
        <w:pStyle w:val="ListParagraph"/>
        <w:numPr>
          <w:ilvl w:val="0"/>
          <w:numId w:val="11"/>
        </w:numPr>
      </w:pPr>
      <w:r>
        <w:t>Aids in identifying patterns and trends within specific groups, facilitating targeted interventions and tailored HR strategies.</w:t>
      </w:r>
    </w:p>
    <w:p w14:paraId="18AD8333" w14:textId="77777777" w:rsidR="00C03AF5" w:rsidRDefault="00C03AF5" w:rsidP="00C03AF5">
      <w:r>
        <w:t>4.</w:t>
      </w:r>
      <w:r>
        <w:tab/>
        <w:t>Time-Based Data Measurements:</w:t>
      </w:r>
    </w:p>
    <w:p w14:paraId="538EEACE" w14:textId="77777777" w:rsidR="00C03AF5" w:rsidRDefault="00C03AF5" w:rsidP="00C03AF5">
      <w:pPr>
        <w:pStyle w:val="ListParagraph"/>
        <w:numPr>
          <w:ilvl w:val="0"/>
          <w:numId w:val="10"/>
        </w:numPr>
      </w:pPr>
      <w:r>
        <w:t>Crucial for tracking changes over time, analysing trends, and monitoring performance growth.</w:t>
      </w:r>
    </w:p>
    <w:p w14:paraId="2CD2D247" w14:textId="77777777" w:rsidR="00C03AF5" w:rsidRDefault="00C03AF5" w:rsidP="00C03AF5">
      <w:pPr>
        <w:pStyle w:val="ListParagraph"/>
        <w:numPr>
          <w:ilvl w:val="0"/>
          <w:numId w:val="10"/>
        </w:numPr>
      </w:pPr>
      <w:r>
        <w:t>Provides insights into the evolution of HR metrics, helping professionals make informed decisions about the timing of various initiatives.</w:t>
      </w:r>
    </w:p>
    <w:p w14:paraId="2ED9C7C9" w14:textId="77777777" w:rsidR="00C03AF5" w:rsidRDefault="00C03AF5" w:rsidP="00C03AF5">
      <w:r>
        <w:t>5.</w:t>
      </w:r>
      <w:r>
        <w:tab/>
        <w:t>Ordinal Data Measurements:</w:t>
      </w:r>
    </w:p>
    <w:p w14:paraId="73D22343" w14:textId="77777777" w:rsidR="00C03AF5" w:rsidRDefault="00C03AF5" w:rsidP="00C03AF5">
      <w:pPr>
        <w:pStyle w:val="ListParagraph"/>
        <w:numPr>
          <w:ilvl w:val="0"/>
          <w:numId w:val="9"/>
        </w:numPr>
      </w:pPr>
      <w:r>
        <w:t>Involves data that can be ranked or ordered based on certain criteria, often used in performance evaluations.</w:t>
      </w:r>
    </w:p>
    <w:p w14:paraId="5F9FB8D9" w14:textId="77777777" w:rsidR="00C03AF5" w:rsidRDefault="00C03AF5" w:rsidP="00C03AF5">
      <w:pPr>
        <w:pStyle w:val="ListParagraph"/>
        <w:numPr>
          <w:ilvl w:val="0"/>
          <w:numId w:val="9"/>
        </w:numPr>
      </w:pPr>
      <w:r>
        <w:t>Offers a hierarchical structure for assessing relative differences in performance or preferences within specific criteria.</w:t>
      </w:r>
    </w:p>
    <w:p w14:paraId="0D835240" w14:textId="4F3038E7" w:rsidR="00C03AF5" w:rsidRDefault="00C03AF5" w:rsidP="00C03AF5">
      <w:r>
        <w:t>In conclusion, people professionals leverage a variety of data measurements, including quantitative, qualitative, categorical, time-based, and ordinal data. Each type contributes unique insights, enabling a holistic approach to managing and optimizing the human aspect of organisational success.</w:t>
      </w:r>
    </w:p>
    <w:p w14:paraId="01F70692" w14:textId="77777777" w:rsidR="00C03AF5" w:rsidRDefault="00C03AF5" w:rsidP="00C03AF5"/>
    <w:p w14:paraId="7CC3ADAE" w14:textId="77777777" w:rsidR="00C03AF5" w:rsidRDefault="00C03AF5" w:rsidP="00C03AF5"/>
    <w:p w14:paraId="79EAF794" w14:textId="77777777" w:rsidR="00C03AF5" w:rsidRDefault="00C03AF5" w:rsidP="00C03AF5">
      <w:r>
        <w:t>AC 1.6</w:t>
      </w:r>
    </w:p>
    <w:p w14:paraId="4628D3FD" w14:textId="77777777" w:rsidR="00C03AF5" w:rsidRDefault="00C03AF5" w:rsidP="00C03AF5">
      <w:r>
        <w:t>Established policies and procedures are pivotal for organisational decision-making, ensuring consistency, fairness, and alignment with legal standards, especially in areas like human resources. This promotes fairness and helps avoid arbitrary decisions, offering risk mitigation by minimising legal issues. Adherence to protocols provides decision-makers with a structured approach for navigating complex situations while complying with regulations.</w:t>
      </w:r>
    </w:p>
    <w:p w14:paraId="2759680E" w14:textId="07A706C3" w:rsidR="00C03AF5" w:rsidRDefault="00C03AF5" w:rsidP="00C03AF5">
      <w:r>
        <w:lastRenderedPageBreak/>
        <w:t>These guidelines also foster transparency, making decision rationale clearer to stakeholders, building trust among employees, customers, and others. Also, policies contribute to organisational efficiency by providing a structured process, streamlining workflows, and reducing ambiguity. In fast-paced environments, this allows for prompt decisions without compromising quality or fairness.</w:t>
      </w:r>
    </w:p>
    <w:p w14:paraId="2BF99E14" w14:textId="77777777" w:rsidR="00C03AF5" w:rsidRDefault="00C03AF5" w:rsidP="00C03AF5">
      <w:r>
        <w:t>In human resources, clear policies are critical for managing workforce matters and ensuring consistency, fairness, and alignment with organisational objectives. In conclusion, agreed policies and procedures inform decisions by promoting consistency, fairness, risk management, transparency, and organisational efficiency, providing a solid foundation for decision-makers.</w:t>
      </w:r>
    </w:p>
    <w:p w14:paraId="22323990" w14:textId="77777777" w:rsidR="00C03AF5" w:rsidRDefault="00C03AF5" w:rsidP="00C03AF5"/>
    <w:p w14:paraId="7BD70A0C" w14:textId="77777777" w:rsidR="00C03AF5" w:rsidRDefault="00C03AF5" w:rsidP="00C03AF5">
      <w:r>
        <w:t>AC 2.1</w:t>
      </w:r>
    </w:p>
    <w:p w14:paraId="03A96C2B" w14:textId="77777777" w:rsidR="00C03AF5" w:rsidRDefault="00C03AF5" w:rsidP="00C03AF5">
      <w:r>
        <w:t>People professionals generate value across various domains, contributing strategically to individuals, organizations, and broader stakeholders. Here’s an overview of their impactful contributions:</w:t>
      </w:r>
    </w:p>
    <w:p w14:paraId="15A76033" w14:textId="77777777" w:rsidR="00C03AF5" w:rsidRDefault="00C03AF5" w:rsidP="00C03AF5"/>
    <w:p w14:paraId="51224F4E" w14:textId="77777777" w:rsidR="00C03AF5" w:rsidRDefault="00C03AF5" w:rsidP="00C03AF5">
      <w:r>
        <w:t>1.</w:t>
      </w:r>
      <w:r>
        <w:tab/>
        <w:t>Talent Acquisition and Development:</w:t>
      </w:r>
    </w:p>
    <w:p w14:paraId="2C4947D1" w14:textId="77777777" w:rsidR="00C03AF5" w:rsidRDefault="00C03AF5" w:rsidP="00C03AF5">
      <w:pPr>
        <w:pStyle w:val="ListParagraph"/>
        <w:numPr>
          <w:ilvl w:val="0"/>
          <w:numId w:val="8"/>
        </w:numPr>
      </w:pPr>
      <w:r>
        <w:t>People professionals attract and retain top talent, ensuring a skilled workforce.</w:t>
      </w:r>
    </w:p>
    <w:p w14:paraId="1254E6A9" w14:textId="38B11880" w:rsidR="00C03AF5" w:rsidRDefault="00C03AF5" w:rsidP="00C03AF5">
      <w:pPr>
        <w:pStyle w:val="ListParagraph"/>
        <w:numPr>
          <w:ilvl w:val="0"/>
          <w:numId w:val="8"/>
        </w:numPr>
      </w:pPr>
      <w:r>
        <w:t>They design training programs fostering individual growth and organi</w:t>
      </w:r>
      <w:r w:rsidR="00AE2C92">
        <w:t>s</w:t>
      </w:r>
      <w:r>
        <w:t>ational effectiveness.</w:t>
      </w:r>
    </w:p>
    <w:p w14:paraId="5E218AAE" w14:textId="77777777" w:rsidR="00C03AF5" w:rsidRDefault="00C03AF5" w:rsidP="00C03AF5">
      <w:r>
        <w:t>2.</w:t>
      </w:r>
      <w:r>
        <w:tab/>
        <w:t>Employee Engagement and Well-being:</w:t>
      </w:r>
    </w:p>
    <w:p w14:paraId="47D21246" w14:textId="77777777" w:rsidR="00C03AF5" w:rsidRDefault="00C03AF5" w:rsidP="00C03AF5">
      <w:pPr>
        <w:pStyle w:val="ListParagraph"/>
        <w:numPr>
          <w:ilvl w:val="0"/>
          <w:numId w:val="2"/>
        </w:numPr>
      </w:pPr>
      <w:r>
        <w:t>By cultivating a positive work environment, they enhance job satisfaction and overall well-being.</w:t>
      </w:r>
    </w:p>
    <w:p w14:paraId="6113D1D5" w14:textId="77777777" w:rsidR="00C03AF5" w:rsidRDefault="00C03AF5" w:rsidP="00C03AF5">
      <w:pPr>
        <w:pStyle w:val="ListParagraph"/>
        <w:numPr>
          <w:ilvl w:val="0"/>
          <w:numId w:val="2"/>
        </w:numPr>
      </w:pPr>
      <w:r>
        <w:t>Addressing workplace issues, they create a supportive culture valuing holistic employee needs.</w:t>
      </w:r>
    </w:p>
    <w:p w14:paraId="5065C061" w14:textId="77777777" w:rsidR="00C03AF5" w:rsidRDefault="00C03AF5" w:rsidP="00C03AF5">
      <w:r>
        <w:t>3.</w:t>
      </w:r>
      <w:r>
        <w:tab/>
        <w:t>Conflict Resolution and Mediation:</w:t>
      </w:r>
    </w:p>
    <w:p w14:paraId="6A922792" w14:textId="77777777" w:rsidR="00C03AF5" w:rsidRDefault="00C03AF5" w:rsidP="00C03AF5">
      <w:pPr>
        <w:pStyle w:val="ListParagraph"/>
        <w:numPr>
          <w:ilvl w:val="0"/>
          <w:numId w:val="1"/>
        </w:numPr>
      </w:pPr>
      <w:r>
        <w:t>Mediating conflicts, they maintain workplace harmony, strengthening team dynamics.</w:t>
      </w:r>
    </w:p>
    <w:p w14:paraId="0405002F" w14:textId="77777777" w:rsidR="00C03AF5" w:rsidRDefault="00C03AF5" w:rsidP="00C03AF5">
      <w:pPr>
        <w:pStyle w:val="ListParagraph"/>
        <w:numPr>
          <w:ilvl w:val="0"/>
          <w:numId w:val="1"/>
        </w:numPr>
      </w:pPr>
      <w:r>
        <w:t>Effective conflict resolution contributes to a healthier organizational culture.</w:t>
      </w:r>
    </w:p>
    <w:p w14:paraId="4EE4AD04" w14:textId="77777777" w:rsidR="00C03AF5" w:rsidRDefault="00C03AF5" w:rsidP="00C03AF5">
      <w:pPr>
        <w:pStyle w:val="ListParagraph"/>
        <w:numPr>
          <w:ilvl w:val="0"/>
          <w:numId w:val="1"/>
        </w:numPr>
      </w:pPr>
      <w:r>
        <w:t>Performance Management:</w:t>
      </w:r>
    </w:p>
    <w:p w14:paraId="35CE5728" w14:textId="1EAF5936" w:rsidR="00C03AF5" w:rsidRDefault="00C03AF5" w:rsidP="00C03AF5">
      <w:pPr>
        <w:pStyle w:val="ListParagraph"/>
        <w:numPr>
          <w:ilvl w:val="0"/>
          <w:numId w:val="1"/>
        </w:numPr>
      </w:pPr>
      <w:r>
        <w:t>Designing systems aligning individual goals with organi</w:t>
      </w:r>
      <w:r w:rsidR="00AE2C92">
        <w:t>s</w:t>
      </w:r>
      <w:r>
        <w:t>ational objectives.</w:t>
      </w:r>
    </w:p>
    <w:p w14:paraId="47F2782A" w14:textId="7ACBCE44" w:rsidR="00C03AF5" w:rsidRDefault="00C03AF5" w:rsidP="00C03AF5">
      <w:pPr>
        <w:pStyle w:val="ListParagraph"/>
        <w:numPr>
          <w:ilvl w:val="0"/>
          <w:numId w:val="1"/>
        </w:numPr>
      </w:pPr>
      <w:r>
        <w:t>Providing feedback and recognition, they enhance employee performance and organi</w:t>
      </w:r>
      <w:r w:rsidR="00AE2C92">
        <w:t>s</w:t>
      </w:r>
      <w:r>
        <w:t>ational success.</w:t>
      </w:r>
    </w:p>
    <w:p w14:paraId="3BF8CCE8" w14:textId="77777777" w:rsidR="00C03AF5" w:rsidRDefault="00C03AF5" w:rsidP="00C03AF5">
      <w:r>
        <w:t>5.</w:t>
      </w:r>
      <w:r>
        <w:tab/>
        <w:t>Compliance and Ethics:</w:t>
      </w:r>
    </w:p>
    <w:p w14:paraId="52D9BE77" w14:textId="77777777" w:rsidR="00C03AF5" w:rsidRDefault="00C03AF5" w:rsidP="00C03AF5">
      <w:pPr>
        <w:pStyle w:val="ListParagraph"/>
        <w:numPr>
          <w:ilvl w:val="0"/>
          <w:numId w:val="3"/>
        </w:numPr>
      </w:pPr>
      <w:r>
        <w:t>Ensuring adherence to legal and ethical standards, mitigating risks.</w:t>
      </w:r>
    </w:p>
    <w:p w14:paraId="066CC170" w14:textId="77777777" w:rsidR="00C03AF5" w:rsidRDefault="00C03AF5" w:rsidP="00C03AF5">
      <w:pPr>
        <w:pStyle w:val="ListParagraph"/>
        <w:numPr>
          <w:ilvl w:val="0"/>
          <w:numId w:val="3"/>
        </w:numPr>
      </w:pPr>
      <w:r>
        <w:t>Creating policies promoting a culture of integrity and compliance.</w:t>
      </w:r>
    </w:p>
    <w:p w14:paraId="15458FE0" w14:textId="77777777" w:rsidR="00C03AF5" w:rsidRDefault="00C03AF5" w:rsidP="00C03AF5">
      <w:r>
        <w:t>6.</w:t>
      </w:r>
      <w:r>
        <w:tab/>
        <w:t>Diversity, Equity, and Inclusion:</w:t>
      </w:r>
    </w:p>
    <w:p w14:paraId="28AD41F8" w14:textId="77777777" w:rsidR="00C03AF5" w:rsidRDefault="00C03AF5" w:rsidP="00C03AF5">
      <w:pPr>
        <w:pStyle w:val="ListParagraph"/>
        <w:numPr>
          <w:ilvl w:val="0"/>
          <w:numId w:val="4"/>
        </w:numPr>
      </w:pPr>
      <w:r>
        <w:t>Championing diversity, they create a workforce reflecting varied perspectives.</w:t>
      </w:r>
    </w:p>
    <w:p w14:paraId="19C88669" w14:textId="77777777" w:rsidR="00C03AF5" w:rsidRDefault="00C03AF5" w:rsidP="00C03AF5">
      <w:pPr>
        <w:pStyle w:val="ListParagraph"/>
        <w:numPr>
          <w:ilvl w:val="0"/>
          <w:numId w:val="4"/>
        </w:numPr>
      </w:pPr>
      <w:r>
        <w:t>Initiatives for equal opportunities contribute to innovation and social responsibility.</w:t>
      </w:r>
    </w:p>
    <w:p w14:paraId="3CD93047" w14:textId="77777777" w:rsidR="00C03AF5" w:rsidRDefault="00C03AF5" w:rsidP="00C03AF5">
      <w:r>
        <w:t>7.</w:t>
      </w:r>
      <w:r>
        <w:tab/>
        <w:t>Succession Planning:</w:t>
      </w:r>
    </w:p>
    <w:p w14:paraId="731DEE3B" w14:textId="780D360F" w:rsidR="00C03AF5" w:rsidRDefault="00C03AF5" w:rsidP="00C03AF5">
      <w:pPr>
        <w:pStyle w:val="ListParagraph"/>
        <w:numPr>
          <w:ilvl w:val="0"/>
          <w:numId w:val="5"/>
        </w:numPr>
      </w:pPr>
      <w:r>
        <w:t>Identifying and developing future leaders for organi</w:t>
      </w:r>
      <w:r w:rsidR="00AE2C92">
        <w:t>s</w:t>
      </w:r>
      <w:r>
        <w:t>ational continuity.</w:t>
      </w:r>
    </w:p>
    <w:p w14:paraId="5E49307D" w14:textId="7DCEBDDD" w:rsidR="00C03AF5" w:rsidRDefault="00C03AF5" w:rsidP="00C03AF5">
      <w:pPr>
        <w:pStyle w:val="ListParagraph"/>
        <w:numPr>
          <w:ilvl w:val="0"/>
          <w:numId w:val="5"/>
        </w:numPr>
      </w:pPr>
      <w:r>
        <w:t>Succession planning contributes to long-term organi</w:t>
      </w:r>
      <w:r w:rsidR="00AE2C92">
        <w:t>s</w:t>
      </w:r>
      <w:r>
        <w:t>ational success.</w:t>
      </w:r>
    </w:p>
    <w:p w14:paraId="38D60A58" w14:textId="77777777" w:rsidR="00C03AF5" w:rsidRDefault="00C03AF5" w:rsidP="00C03AF5">
      <w:r>
        <w:t>8.</w:t>
      </w:r>
      <w:r>
        <w:tab/>
        <w:t>Communication and Collaboration:</w:t>
      </w:r>
    </w:p>
    <w:p w14:paraId="0657B122" w14:textId="77777777" w:rsidR="00C03AF5" w:rsidRDefault="00C03AF5" w:rsidP="00C03AF5">
      <w:pPr>
        <w:pStyle w:val="ListParagraph"/>
        <w:numPr>
          <w:ilvl w:val="0"/>
          <w:numId w:val="6"/>
        </w:numPr>
      </w:pPr>
      <w:r>
        <w:t>Facilitating effective communication and collaboration within and across teams.</w:t>
      </w:r>
    </w:p>
    <w:p w14:paraId="6D330CB0" w14:textId="77777777" w:rsidR="00C03AF5" w:rsidRDefault="00C03AF5" w:rsidP="00C03AF5">
      <w:pPr>
        <w:pStyle w:val="ListParagraph"/>
        <w:numPr>
          <w:ilvl w:val="0"/>
          <w:numId w:val="6"/>
        </w:numPr>
      </w:pPr>
      <w:r>
        <w:t>Promoting open communication enhances teamwork, innovation, and knowledge sharing.</w:t>
      </w:r>
    </w:p>
    <w:p w14:paraId="5A7AA3A3" w14:textId="77777777" w:rsidR="00C03AF5" w:rsidRDefault="00C03AF5" w:rsidP="00C03AF5">
      <w:r>
        <w:t>9.</w:t>
      </w:r>
      <w:r>
        <w:tab/>
        <w:t>Adaptation to Change:</w:t>
      </w:r>
    </w:p>
    <w:p w14:paraId="2DE48D0A" w14:textId="77777777" w:rsidR="00C03AF5" w:rsidRDefault="00C03AF5" w:rsidP="00C03AF5">
      <w:pPr>
        <w:pStyle w:val="ListParagraph"/>
        <w:numPr>
          <w:ilvl w:val="0"/>
          <w:numId w:val="7"/>
        </w:numPr>
      </w:pPr>
      <w:r>
        <w:t>Supporting employees through transitions in a dynamic business environment.</w:t>
      </w:r>
    </w:p>
    <w:p w14:paraId="340396E5" w14:textId="77777777" w:rsidR="00C03AF5" w:rsidRDefault="00C03AF5" w:rsidP="00C03AF5">
      <w:pPr>
        <w:pStyle w:val="ListParagraph"/>
        <w:numPr>
          <w:ilvl w:val="0"/>
          <w:numId w:val="7"/>
        </w:numPr>
      </w:pPr>
      <w:r>
        <w:lastRenderedPageBreak/>
        <w:t>Contributing to the development of a resilient and adaptable workforce.</w:t>
      </w:r>
    </w:p>
    <w:p w14:paraId="08C09601" w14:textId="77777777" w:rsidR="00C03AF5" w:rsidRDefault="00C03AF5" w:rsidP="00C03AF5"/>
    <w:p w14:paraId="5F474A6D" w14:textId="4F5E0931" w:rsidR="00C03AF5" w:rsidRDefault="00C03AF5" w:rsidP="00C03AF5">
      <w:r>
        <w:t>In summary, people professionals optimi</w:t>
      </w:r>
      <w:r w:rsidR="00AE2C92">
        <w:t>s</w:t>
      </w:r>
      <w:r>
        <w:t>e human capital, fostering individual growth, organi</w:t>
      </w:r>
      <w:r w:rsidR="00AE2C92">
        <w:t>s</w:t>
      </w:r>
      <w:r>
        <w:t>ational success, and positive impacts on a broader scale. Their multifaceted roles enhance the overall well-being and effectiveness of individuals, organi</w:t>
      </w:r>
      <w:r w:rsidR="00AE2C92">
        <w:t>s</w:t>
      </w:r>
      <w:r>
        <w:t>ations, and wider stakeholders.</w:t>
      </w:r>
    </w:p>
    <w:p w14:paraId="4CFF1BED" w14:textId="77777777" w:rsidR="00C03AF5" w:rsidRDefault="00C03AF5" w:rsidP="00C03AF5"/>
    <w:p w14:paraId="71DF3540" w14:textId="77777777" w:rsidR="00C03AF5" w:rsidRDefault="00C03AF5" w:rsidP="00C03AF5">
      <w:r>
        <w:t>AC 2.2</w:t>
      </w:r>
    </w:p>
    <w:p w14:paraId="1B0AD682" w14:textId="77777777" w:rsidR="00C03AF5" w:rsidRDefault="00C03AF5" w:rsidP="00C03AF5">
      <w:r>
        <w:t>As an HR advisor for our care organisation, I’ve found that being customer-focused and standards-driven is key to our success. Here’s a rundown of how we can make sure we’re meeting these principles in our context:</w:t>
      </w:r>
    </w:p>
    <w:p w14:paraId="09D3EF41" w14:textId="77777777" w:rsidR="00C03AF5" w:rsidRDefault="00C03AF5" w:rsidP="00C03AF5"/>
    <w:p w14:paraId="228E42AB" w14:textId="77777777" w:rsidR="00C03AF5" w:rsidRDefault="00C03AF5" w:rsidP="00C03AF5">
      <w:r>
        <w:t>Customer-Focused Approach:</w:t>
      </w:r>
    </w:p>
    <w:p w14:paraId="46A05A7C" w14:textId="77777777" w:rsidR="00C03AF5" w:rsidRDefault="00C03AF5" w:rsidP="00C03AF5"/>
    <w:p w14:paraId="10BC2203" w14:textId="77777777" w:rsidR="00C03AF5" w:rsidRDefault="00C03AF5" w:rsidP="00C03AF5">
      <w:r>
        <w:t xml:space="preserve">1. </w:t>
      </w:r>
      <w:r>
        <w:tab/>
        <w:t>Understanding Employee Needs:</w:t>
      </w:r>
    </w:p>
    <w:p w14:paraId="1C719433" w14:textId="77777777" w:rsidR="00C03AF5" w:rsidRDefault="00C03AF5" w:rsidP="00C03AF5">
      <w:pPr>
        <w:ind w:left="360"/>
      </w:pPr>
      <w:r>
        <w:t>Let’s make it a priority to talk with our employees regularly. Understanding their concerns and expectations helps us tailor our HR processes to meet both their needs and the needs of the clients they’re serving.</w:t>
      </w:r>
    </w:p>
    <w:p w14:paraId="4C4F2A77" w14:textId="77777777" w:rsidR="00C03AF5" w:rsidRDefault="00C03AF5" w:rsidP="00C03AF5">
      <w:r>
        <w:t>2.</w:t>
      </w:r>
      <w:r>
        <w:tab/>
        <w:t>Responsive Communication:</w:t>
      </w:r>
    </w:p>
    <w:p w14:paraId="141CEB14" w14:textId="66C51188" w:rsidR="00C03AF5" w:rsidRDefault="00C03AF5" w:rsidP="00C03AF5">
      <w:r>
        <w:t>We should keep our communication channels open and be quick to address any questions or concerns employees might have. Being empathetic and attentive shows that we recogni</w:t>
      </w:r>
      <w:r w:rsidR="00AE2C92">
        <w:t>s</w:t>
      </w:r>
      <w:r>
        <w:t>e the unique challenges of working in a care-focused environment.</w:t>
      </w:r>
    </w:p>
    <w:p w14:paraId="34731B8F" w14:textId="77777777" w:rsidR="00C03AF5" w:rsidRDefault="00C03AF5" w:rsidP="00C03AF5">
      <w:r>
        <w:t>3.</w:t>
      </w:r>
      <w:r>
        <w:tab/>
        <w:t>Customized Training and Development:</w:t>
      </w:r>
    </w:p>
    <w:p w14:paraId="3EF506C1" w14:textId="77777777" w:rsidR="00C03AF5" w:rsidRDefault="00C03AF5" w:rsidP="00C03AF5">
      <w:r>
        <w:t>Our training programs should be designed to enhance the skills of our employees, specifically tailored to the demands of the care sector. It’s crucial that our team is well-prepared to deliver quality care by staying updated on the latest industry best practices.</w:t>
      </w:r>
    </w:p>
    <w:p w14:paraId="5910F0BB" w14:textId="77777777" w:rsidR="00C03AF5" w:rsidRDefault="00C03AF5" w:rsidP="00C03AF5"/>
    <w:p w14:paraId="79F00EDF" w14:textId="77777777" w:rsidR="00C03AF5" w:rsidRDefault="00C03AF5" w:rsidP="00C03AF5">
      <w:r>
        <w:t>Standards-Driven Approach:</w:t>
      </w:r>
    </w:p>
    <w:p w14:paraId="09777228" w14:textId="77777777" w:rsidR="00C03AF5" w:rsidRDefault="00C03AF5" w:rsidP="00C03AF5"/>
    <w:p w14:paraId="466326CC" w14:textId="77777777" w:rsidR="00C03AF5" w:rsidRDefault="00C03AF5" w:rsidP="00C03AF5">
      <w:r>
        <w:t>1.</w:t>
      </w:r>
      <w:r>
        <w:tab/>
        <w:t>Compliance and Regulatory Adherence:</w:t>
      </w:r>
    </w:p>
    <w:p w14:paraId="64D437C6" w14:textId="77777777" w:rsidR="00C03AF5" w:rsidRDefault="00C03AF5" w:rsidP="00C03AF5">
      <w:r>
        <w:t>Staying informed about industry regulations is a must. We need to implement and monitor HR policies that align with legal requirements, ensuring that we operate ethically and within established guidelines.</w:t>
      </w:r>
    </w:p>
    <w:p w14:paraId="3C6C94B3" w14:textId="77777777" w:rsidR="00C03AF5" w:rsidRDefault="00C03AF5" w:rsidP="00C03AF5">
      <w:r>
        <w:t>2.</w:t>
      </w:r>
      <w:r>
        <w:tab/>
        <w:t>Quality Assurance in Recruitment:</w:t>
      </w:r>
    </w:p>
    <w:p w14:paraId="2C9174D7" w14:textId="77777777" w:rsidR="00C03AF5" w:rsidRDefault="00C03AF5" w:rsidP="00C03AF5">
      <w:r>
        <w:t>Our recruitment standards should be high. Let’s ensure that we’re selecting candidates with the right qualifications and values aligned with our organization’s mission, guaranteeing that our employees uphold our commitment to delivering high-quality care.</w:t>
      </w:r>
    </w:p>
    <w:p w14:paraId="633C1F77" w14:textId="77777777" w:rsidR="00C03AF5" w:rsidRDefault="00C03AF5" w:rsidP="00C03AF5">
      <w:r>
        <w:t>3.</w:t>
      </w:r>
      <w:r>
        <w:tab/>
        <w:t>Performance Management Excellence:</w:t>
      </w:r>
    </w:p>
    <w:p w14:paraId="148FFD63" w14:textId="77777777" w:rsidR="00C03AF5" w:rsidRDefault="00C03AF5" w:rsidP="00C03AF5">
      <w:r>
        <w:t>We’ll implement performance management systems that focus on quality care outcomes. Clear standards, regular assessments, and constructive feedback will help us maintain and enhance the quality of our services.</w:t>
      </w:r>
    </w:p>
    <w:p w14:paraId="72F87AAE" w14:textId="77777777" w:rsidR="00C03AF5" w:rsidRDefault="00C03AF5" w:rsidP="00C03AF5">
      <w:r>
        <w:t>4.</w:t>
      </w:r>
      <w:r>
        <w:tab/>
        <w:t>Health and Safety Compliance:</w:t>
      </w:r>
    </w:p>
    <w:p w14:paraId="41875C7F" w14:textId="77777777" w:rsidR="00C03AF5" w:rsidRDefault="00C03AF5" w:rsidP="00C03AF5">
      <w:r>
        <w:lastRenderedPageBreak/>
        <w:t>Health and safety should be a top priority. Implementing protocols to maintain a safe environment for both our employees and those receiving care is crucial to our success.</w:t>
      </w:r>
    </w:p>
    <w:p w14:paraId="00F45493" w14:textId="77777777" w:rsidR="00C03AF5" w:rsidRDefault="00C03AF5" w:rsidP="00C03AF5">
      <w:r>
        <w:t>5.</w:t>
      </w:r>
      <w:r>
        <w:tab/>
        <w:t>Continuous Improvement Initiatives:</w:t>
      </w:r>
    </w:p>
    <w:p w14:paraId="385D361D" w14:textId="77777777" w:rsidR="00C03AF5" w:rsidRDefault="00C03AF5" w:rsidP="00C03AF5"/>
    <w:p w14:paraId="6AF1BE8A" w14:textId="77777777" w:rsidR="00C03AF5" w:rsidRDefault="00C03AF5" w:rsidP="00C03AF5">
      <w:r>
        <w:t>Let’s foster a culture of continuous improvement. Regularly reviewing and updating our HR practices ensures that we stay aligned with evolving industry standards, ultimately enhancing our overall organisational effectiveness.</w:t>
      </w:r>
    </w:p>
    <w:p w14:paraId="5727AECA" w14:textId="77777777" w:rsidR="00C03AF5" w:rsidRDefault="00C03AF5" w:rsidP="00C03AF5">
      <w:r>
        <w:t>By putting these practices into action, we’re not just meeting expectations; we’re actively contributing to the success of our care organisation. Our commitment to a customer-focused and standards-driven approach ensures that we provide the best care possible while maintaining a workplace that supports and values our employees.</w:t>
      </w:r>
    </w:p>
    <w:p w14:paraId="56A4B136" w14:textId="77777777" w:rsidR="00C03AF5" w:rsidRDefault="00C03AF5" w:rsidP="002D2E2E">
      <w:pPr>
        <w:rPr>
          <w:sz w:val="24"/>
          <w:szCs w:val="24"/>
        </w:rPr>
      </w:pPr>
    </w:p>
    <w:p w14:paraId="71653C0F" w14:textId="77777777" w:rsidR="00C03AF5" w:rsidRDefault="00C03AF5" w:rsidP="00C03AF5">
      <w:pPr>
        <w:rPr>
          <w:sz w:val="24"/>
          <w:szCs w:val="24"/>
        </w:rPr>
      </w:pPr>
    </w:p>
    <w:p w14:paraId="38AD2736" w14:textId="77777777" w:rsidR="00C03AF5" w:rsidRDefault="00C03AF5" w:rsidP="00C03AF5">
      <w:pPr>
        <w:rPr>
          <w:sz w:val="24"/>
          <w:szCs w:val="24"/>
        </w:rPr>
      </w:pPr>
    </w:p>
    <w:p w14:paraId="750723F0" w14:textId="77777777" w:rsidR="00AE2C92" w:rsidRDefault="00AE2C92" w:rsidP="00C03AF5">
      <w:pPr>
        <w:rPr>
          <w:sz w:val="32"/>
          <w:szCs w:val="32"/>
        </w:rPr>
      </w:pPr>
    </w:p>
    <w:p w14:paraId="022CA4AB" w14:textId="77777777" w:rsidR="00AE2C92" w:rsidRDefault="00AE2C92" w:rsidP="00C03AF5">
      <w:pPr>
        <w:rPr>
          <w:sz w:val="32"/>
          <w:szCs w:val="32"/>
        </w:rPr>
      </w:pPr>
    </w:p>
    <w:p w14:paraId="2FE43A5A" w14:textId="77777777" w:rsidR="00AE2C92" w:rsidRDefault="00AE2C92" w:rsidP="00C03AF5">
      <w:pPr>
        <w:rPr>
          <w:sz w:val="32"/>
          <w:szCs w:val="32"/>
        </w:rPr>
      </w:pPr>
    </w:p>
    <w:p w14:paraId="208ACCDA" w14:textId="37E1EEDA" w:rsidR="00C03AF5" w:rsidRPr="003D40D2" w:rsidRDefault="00C03AF5" w:rsidP="00C03AF5">
      <w:pPr>
        <w:rPr>
          <w:sz w:val="32"/>
          <w:szCs w:val="32"/>
        </w:rPr>
      </w:pPr>
      <w:r w:rsidRPr="003D40D2">
        <w:rPr>
          <w:sz w:val="32"/>
          <w:szCs w:val="32"/>
        </w:rPr>
        <w:t xml:space="preserve">Task </w:t>
      </w:r>
      <w:r w:rsidR="00AE2C92">
        <w:rPr>
          <w:sz w:val="32"/>
          <w:szCs w:val="32"/>
        </w:rPr>
        <w:t>2</w:t>
      </w:r>
    </w:p>
    <w:p w14:paraId="5FBAE6FD" w14:textId="0C37F88D" w:rsidR="00D52533" w:rsidRPr="00D52533" w:rsidRDefault="00D52533" w:rsidP="002D2E2E">
      <w:pPr>
        <w:rPr>
          <w:sz w:val="24"/>
          <w:szCs w:val="24"/>
        </w:rPr>
      </w:pPr>
      <w:r w:rsidRPr="00D52533">
        <w:rPr>
          <w:sz w:val="24"/>
          <w:szCs w:val="24"/>
        </w:rPr>
        <w:t>AC1.4</w:t>
      </w:r>
    </w:p>
    <w:p w14:paraId="241A8C32" w14:textId="7581B584" w:rsidR="005D1B6F" w:rsidRPr="005D1B6F" w:rsidRDefault="005D1B6F" w:rsidP="002D2E2E">
      <w:pPr>
        <w:rPr>
          <w:sz w:val="28"/>
          <w:szCs w:val="28"/>
        </w:rPr>
      </w:pPr>
      <w:r w:rsidRPr="005D1B6F">
        <w:rPr>
          <w:sz w:val="28"/>
          <w:szCs w:val="28"/>
        </w:rPr>
        <w:t xml:space="preserve">Annual leaver </w:t>
      </w:r>
      <w:r w:rsidR="00CA045E">
        <w:rPr>
          <w:sz w:val="28"/>
          <w:szCs w:val="28"/>
        </w:rPr>
        <w:t>a</w:t>
      </w:r>
      <w:r w:rsidRPr="005D1B6F">
        <w:rPr>
          <w:sz w:val="28"/>
          <w:szCs w:val="28"/>
        </w:rPr>
        <w:t>nalysis</w:t>
      </w:r>
      <w:r>
        <w:rPr>
          <w:sz w:val="28"/>
          <w:szCs w:val="28"/>
        </w:rPr>
        <w:t>.</w:t>
      </w:r>
    </w:p>
    <w:p w14:paraId="612EDE1C" w14:textId="79DF7352" w:rsidR="005D1B6F" w:rsidRDefault="005D1B6F" w:rsidP="002D2E2E">
      <w:r>
        <w:rPr>
          <w:noProof/>
        </w:rPr>
        <w:drawing>
          <wp:inline distT="0" distB="0" distL="0" distR="0" wp14:anchorId="0C581065" wp14:editId="458F4DF2">
            <wp:extent cx="6644640" cy="3688080"/>
            <wp:effectExtent l="0" t="0" r="3810" b="7620"/>
            <wp:docPr id="1868161379" name="Chart 1">
              <a:extLst xmlns:a="http://schemas.openxmlformats.org/drawingml/2006/main">
                <a:ext uri="{FF2B5EF4-FFF2-40B4-BE49-F238E27FC236}">
                  <a16:creationId xmlns:a16="http://schemas.microsoft.com/office/drawing/2014/main" id="{44AC6EFC-2BED-AEB8-AD7D-B380C39E75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91185EF" w14:textId="77777777" w:rsidR="005D1B6F" w:rsidRDefault="005D1B6F" w:rsidP="002D2E2E"/>
    <w:p w14:paraId="7938A0DE" w14:textId="77777777" w:rsidR="00C03AF5" w:rsidRDefault="00C03AF5" w:rsidP="002D2E2E">
      <w:pPr>
        <w:rPr>
          <w:sz w:val="28"/>
          <w:szCs w:val="28"/>
        </w:rPr>
      </w:pPr>
    </w:p>
    <w:p w14:paraId="3530EAF1" w14:textId="77777777" w:rsidR="00C03AF5" w:rsidRDefault="00C03AF5" w:rsidP="002D2E2E">
      <w:pPr>
        <w:rPr>
          <w:sz w:val="28"/>
          <w:szCs w:val="28"/>
        </w:rPr>
      </w:pPr>
    </w:p>
    <w:p w14:paraId="32B7112C" w14:textId="77777777" w:rsidR="00C03AF5" w:rsidRDefault="00C03AF5" w:rsidP="002D2E2E">
      <w:pPr>
        <w:rPr>
          <w:sz w:val="28"/>
          <w:szCs w:val="28"/>
        </w:rPr>
      </w:pPr>
    </w:p>
    <w:p w14:paraId="787D622A" w14:textId="77777777" w:rsidR="00C03AF5" w:rsidRDefault="00C03AF5" w:rsidP="002D2E2E">
      <w:pPr>
        <w:rPr>
          <w:sz w:val="28"/>
          <w:szCs w:val="28"/>
        </w:rPr>
      </w:pPr>
    </w:p>
    <w:p w14:paraId="6261CC6F" w14:textId="5A4A2B40" w:rsidR="005D1B6F" w:rsidRPr="005D1B6F" w:rsidRDefault="005D1B6F" w:rsidP="002D2E2E">
      <w:pPr>
        <w:rPr>
          <w:sz w:val="28"/>
          <w:szCs w:val="28"/>
        </w:rPr>
      </w:pPr>
      <w:r w:rsidRPr="005D1B6F">
        <w:rPr>
          <w:sz w:val="28"/>
          <w:szCs w:val="28"/>
        </w:rPr>
        <w:t>Average tenure</w:t>
      </w:r>
      <w:r w:rsidR="00CA045E">
        <w:rPr>
          <w:sz w:val="28"/>
          <w:szCs w:val="28"/>
        </w:rPr>
        <w:t xml:space="preserve"> analysis</w:t>
      </w:r>
      <w:r>
        <w:rPr>
          <w:sz w:val="28"/>
          <w:szCs w:val="28"/>
        </w:rPr>
        <w:t>.</w:t>
      </w:r>
      <w:r w:rsidRPr="005D1B6F">
        <w:rPr>
          <w:sz w:val="28"/>
          <w:szCs w:val="28"/>
        </w:rPr>
        <w:t xml:space="preserve"> </w:t>
      </w:r>
    </w:p>
    <w:p w14:paraId="26253233" w14:textId="32B684E4" w:rsidR="005D1B6F" w:rsidRDefault="005D1B6F" w:rsidP="002D2E2E">
      <w:r>
        <w:rPr>
          <w:noProof/>
        </w:rPr>
        <mc:AlternateContent>
          <mc:Choice Requires="cx2">
            <w:drawing>
              <wp:inline distT="0" distB="0" distL="0" distR="0" wp14:anchorId="1F14EDE1" wp14:editId="2CF4D5D7">
                <wp:extent cx="6621780" cy="3665220"/>
                <wp:effectExtent l="0" t="0" r="7620" b="11430"/>
                <wp:docPr id="1350670814" name="Chart 1">
                  <a:extLst xmlns:a="http://schemas.openxmlformats.org/drawingml/2006/main">
                    <a:ext uri="{FF2B5EF4-FFF2-40B4-BE49-F238E27FC236}">
                      <a16:creationId xmlns:a16="http://schemas.microsoft.com/office/drawing/2014/main" id="{ACA84423-7370-6246-41BD-8BCC3C7EA97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1F14EDE1" wp14:editId="2CF4D5D7">
                <wp:extent cx="6621780" cy="3665220"/>
                <wp:effectExtent l="0" t="0" r="7620" b="11430"/>
                <wp:docPr id="1350670814" name="Chart 1">
                  <a:extLst xmlns:a="http://schemas.openxmlformats.org/drawingml/2006/main">
                    <a:ext uri="{FF2B5EF4-FFF2-40B4-BE49-F238E27FC236}">
                      <a16:creationId xmlns:a16="http://schemas.microsoft.com/office/drawing/2014/main" id="{ACA84423-7370-6246-41BD-8BCC3C7EA97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50670814" name="Chart 1">
                          <a:extLst>
                            <a:ext uri="{FF2B5EF4-FFF2-40B4-BE49-F238E27FC236}">
                              <a16:creationId xmlns:a16="http://schemas.microsoft.com/office/drawing/2014/main" id="{ACA84423-7370-6246-41BD-8BCC3C7EA974}"/>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6621780" cy="3665220"/>
                        </a:xfrm>
                        <a:prstGeom prst="rect">
                          <a:avLst/>
                        </a:prstGeom>
                      </pic:spPr>
                    </pic:pic>
                  </a:graphicData>
                </a:graphic>
              </wp:inline>
            </w:drawing>
          </mc:Fallback>
        </mc:AlternateContent>
      </w:r>
    </w:p>
    <w:p w14:paraId="529185EC" w14:textId="77777777" w:rsidR="005D1B6F" w:rsidRDefault="005D1B6F" w:rsidP="002D2E2E"/>
    <w:p w14:paraId="229A9705" w14:textId="77777777" w:rsidR="00D52533" w:rsidRDefault="00D52533" w:rsidP="002D2E2E">
      <w:pPr>
        <w:rPr>
          <w:sz w:val="28"/>
          <w:szCs w:val="28"/>
        </w:rPr>
      </w:pPr>
    </w:p>
    <w:p w14:paraId="510D4E0D" w14:textId="2A769764" w:rsidR="002D2E2E" w:rsidRPr="005D1B6F" w:rsidRDefault="005D1B6F" w:rsidP="002D2E2E">
      <w:pPr>
        <w:rPr>
          <w:sz w:val="28"/>
          <w:szCs w:val="28"/>
        </w:rPr>
      </w:pPr>
      <w:r w:rsidRPr="005D1B6F">
        <w:rPr>
          <w:sz w:val="28"/>
          <w:szCs w:val="28"/>
        </w:rPr>
        <w:t>Summary.</w:t>
      </w:r>
    </w:p>
    <w:p w14:paraId="0678250A" w14:textId="01D480DC" w:rsidR="002D2E2E" w:rsidRDefault="002D2E2E" w:rsidP="002D2E2E">
      <w:r>
        <w:t>After analysing the data from the leavers report, it's evident that the most common reasons for resignations are dissatisfaction with the job, general resignations, and resignations related to pay/benefits. Considering that the average tenure spans from 1 year to 7 years and 1 month across departments, implementing the following strategies would help minimize resignations, consequently boosting overall organi</w:t>
      </w:r>
      <w:r w:rsidR="005D1B6F">
        <w:t>s</w:t>
      </w:r>
      <w:r>
        <w:t>ational tenure.</w:t>
      </w:r>
    </w:p>
    <w:p w14:paraId="4A319BB7" w14:textId="77777777" w:rsidR="002D2E2E" w:rsidRDefault="002D2E2E" w:rsidP="002D2E2E"/>
    <w:p w14:paraId="6C2FA653" w14:textId="65AA3EEB" w:rsidR="002D2E2E" w:rsidRDefault="002D2E2E" w:rsidP="002D2E2E">
      <w:r>
        <w:t>Effectively managing common reasons for employee resignation requires a proactive approach, particularly for a HR advisor. One essential step is to conduct thorough exit interviews. These sessions provide valuable insights into the reasons behind resignations. For example, if employees frequently mention unclear job roles, consider implementing regular reviews of job descriptions to ensure clarity and alignment with expectations.</w:t>
      </w:r>
    </w:p>
    <w:p w14:paraId="7B0CBF1A" w14:textId="77777777" w:rsidR="002D2E2E" w:rsidRDefault="002D2E2E" w:rsidP="002D2E2E"/>
    <w:p w14:paraId="330C3983" w14:textId="67BD4805" w:rsidR="002D2E2E" w:rsidRDefault="002D2E2E" w:rsidP="002D2E2E">
      <w:r>
        <w:t>After collecting data from exit interviews, conduct a comprehensive analysis. Identify trends, such as dissatisfaction with compensation, and compare your organisation's salary structures to industry standards. If necessary, make adjustments to stay competitive, including revising salary structures or introducing performance bonuses.</w:t>
      </w:r>
    </w:p>
    <w:p w14:paraId="7707342C" w14:textId="77777777" w:rsidR="002D2E2E" w:rsidRDefault="002D2E2E" w:rsidP="002D2E2E"/>
    <w:p w14:paraId="6A69772A" w14:textId="77777777" w:rsidR="002D2E2E" w:rsidRDefault="002D2E2E" w:rsidP="002D2E2E">
      <w:r>
        <w:t>To address issues related to job expectations, implement strategies to clarify roles. If employees consistently feel misinformed about their responsibilities, establish regular check-ins to discuss expectations and provide constructive feedback. Additionally, offer training and development opportunities to address skill gaps and enhance overall job satisfaction.</w:t>
      </w:r>
    </w:p>
    <w:p w14:paraId="6B0D77C6" w14:textId="77777777" w:rsidR="002D2E2E" w:rsidRDefault="002D2E2E" w:rsidP="002D2E2E"/>
    <w:p w14:paraId="7EB8C7E2" w14:textId="62EA5E24" w:rsidR="002D2E2E" w:rsidRDefault="002D2E2E" w:rsidP="002D2E2E">
      <w:r>
        <w:t>For concerns related to career growth, consider implementing mentorship programs or developing career advancement plans. Engage employees in discussions about their professional aspirations and create pathways for progression within the organisation.</w:t>
      </w:r>
    </w:p>
    <w:p w14:paraId="11D92B1B" w14:textId="77777777" w:rsidR="002D2E2E" w:rsidRDefault="002D2E2E" w:rsidP="002D2E2E"/>
    <w:p w14:paraId="535763FA" w14:textId="77777777" w:rsidR="002D2E2E" w:rsidRDefault="002D2E2E" w:rsidP="002D2E2E">
      <w:r>
        <w:t>Improving communication is a vital aspect of retention. If feedback indicates employees feel uninformed about company changes, enhance communication channels. Regular meetings, newsletters, and recognition programs, such as an Employee of the Month initiative, can foster better communication and boost employee engagement.</w:t>
      </w:r>
    </w:p>
    <w:p w14:paraId="5AA35E5C" w14:textId="77777777" w:rsidR="002D2E2E" w:rsidRDefault="002D2E2E" w:rsidP="002D2E2E"/>
    <w:p w14:paraId="4867E8E1" w14:textId="77777777" w:rsidR="002D2E2E" w:rsidRDefault="002D2E2E" w:rsidP="002D2E2E">
      <w:r>
        <w:t>Explore flexible benefits to cater to diverse needs, especially if resignations are linked to a desire for better work-life balance. Consider options like remote work or flexible schedules. Implement retention strategies that create a more inclusive workplace, such as team-building activities that promote a sense of belonging.</w:t>
      </w:r>
    </w:p>
    <w:p w14:paraId="555DEA6F" w14:textId="77777777" w:rsidR="002D2E2E" w:rsidRDefault="002D2E2E" w:rsidP="002D2E2E"/>
    <w:p w14:paraId="0EF79758" w14:textId="77777777" w:rsidR="002D2E2E" w:rsidRDefault="002D2E2E" w:rsidP="002D2E2E">
      <w:r>
        <w:t>Regularly review and update HR policies based on feedback. If employees express dissatisfaction with existing policies, make necessary adjustments. For instance, if healthcare coverage is a concern, explore options for expanding benefits.</w:t>
      </w:r>
    </w:p>
    <w:p w14:paraId="4B75B77A" w14:textId="77777777" w:rsidR="002D2E2E" w:rsidRDefault="002D2E2E" w:rsidP="002D2E2E"/>
    <w:p w14:paraId="7E0C991C" w14:textId="54F70945" w:rsidR="002D2E2E" w:rsidRDefault="002D2E2E" w:rsidP="002D2E2E">
      <w:r>
        <w:t>In the specific context of the organisation, the analysis of employee tenure data reveals disparities in average durations across departments. To counteract this trend, adopt a multifaceted approach. Implement general strategies like engagement programs, professional development, flexible work arrangements, competitive compensation, workload management, career paths, and thorough exit interviews. Tailor these strategies to each department's unique needs, fostering a positive work environment, enhancing job satisfaction, and ultimately boosting employee retention across diverse departments.</w:t>
      </w:r>
    </w:p>
    <w:p w14:paraId="445AC68D" w14:textId="77777777" w:rsidR="002D2E2E" w:rsidRDefault="002D2E2E" w:rsidP="002D2E2E"/>
    <w:p w14:paraId="3155BEE7" w14:textId="00012F2D" w:rsidR="00440699" w:rsidRDefault="002D2E2E" w:rsidP="002D2E2E">
      <w:r w:rsidRPr="002D2E2E">
        <w:t>Customi</w:t>
      </w:r>
      <w:r w:rsidR="005D1B6F">
        <w:t>s</w:t>
      </w:r>
      <w:r w:rsidRPr="002D2E2E">
        <w:t xml:space="preserve">ing these strategies to meet the unique needs of different teams is crucial. For example, promoting a sense of community through </w:t>
      </w:r>
      <w:r w:rsidR="00C03AF5" w:rsidRPr="002D2E2E">
        <w:t>team building</w:t>
      </w:r>
      <w:r w:rsidRPr="002D2E2E">
        <w:t>, providing targeted professional development opportunities, conducting workload assessments, and ensuring transparent communication can be particularly effective. The integration of both general and tailored strategies is aimed at cultivating a positive work environment, enhancing job satisfaction, and ultimately increasing employee retention across various areas, fostering a resilient and contented workforce.</w:t>
      </w:r>
    </w:p>
    <w:sectPr w:rsidR="00440699" w:rsidSect="005D1B6F">
      <w:footerReference w:type="default" r:id="rId10"/>
      <w:headerReference w:type="first" r:id="rId11"/>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A4989" w14:textId="77777777" w:rsidR="00D56792" w:rsidRDefault="00D56792" w:rsidP="005D1B6F">
      <w:pPr>
        <w:spacing w:after="0" w:line="240" w:lineRule="auto"/>
      </w:pPr>
      <w:r>
        <w:separator/>
      </w:r>
    </w:p>
  </w:endnote>
  <w:endnote w:type="continuationSeparator" w:id="0">
    <w:p w14:paraId="76DB59CD" w14:textId="77777777" w:rsidR="00D56792" w:rsidRDefault="00D56792" w:rsidP="005D1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308D1" w14:textId="77777777" w:rsidR="000F5091" w:rsidRDefault="000F5091" w:rsidP="000F5091">
    <w:pPr>
      <w:pStyle w:val="Footer"/>
      <w:jc w:val="both"/>
      <w:rPr>
        <w:lang w:val="en-US"/>
      </w:rPr>
    </w:pPr>
    <w:r>
      <w:rPr>
        <w:noProof/>
        <w:lang w:val="en-US"/>
      </w:rPr>
      <w:drawing>
        <wp:anchor distT="0" distB="0" distL="114300" distR="114300" simplePos="0" relativeHeight="251659264" behindDoc="0" locked="0" layoutInCell="1" allowOverlap="1" wp14:anchorId="239B9873" wp14:editId="23344933">
          <wp:simplePos x="0" y="0"/>
          <wp:positionH relativeFrom="column">
            <wp:posOffset>5283200</wp:posOffset>
          </wp:positionH>
          <wp:positionV relativeFrom="paragraph">
            <wp:posOffset>170815</wp:posOffset>
          </wp:positionV>
          <wp:extent cx="901700" cy="323850"/>
          <wp:effectExtent l="0" t="0" r="0" b="0"/>
          <wp:wrapSquare wrapText="bothSides"/>
          <wp:docPr id="1289312538"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Pr>
        <w:lang w:val="en-US"/>
      </w:rPr>
      <w:t>Student Number 2319141</w:t>
    </w:r>
  </w:p>
  <w:p w14:paraId="51E2AF24" w14:textId="51E417FE" w:rsidR="000F5091" w:rsidRDefault="000F5091" w:rsidP="000F5091">
    <w:pPr>
      <w:pStyle w:val="Footer"/>
    </w:pPr>
    <w:r>
      <w:rPr>
        <w:lang w:val="en-US"/>
      </w:rPr>
      <w:t>Name: Phillip Rees                                Date:</w:t>
    </w:r>
    <w:r>
      <w:rPr>
        <w:lang w:val="en-US"/>
      </w:rPr>
      <w:t xml:space="preserve"> 18</w:t>
    </w:r>
    <w:r w:rsidRPr="000F5091">
      <w:rPr>
        <w:vertAlign w:val="superscript"/>
        <w:lang w:val="en-US"/>
      </w:rPr>
      <w:t>th</w:t>
    </w:r>
    <w:r>
      <w:rPr>
        <w:lang w:val="en-US"/>
      </w:rPr>
      <w:t xml:space="preserve"> </w:t>
    </w:r>
    <w:r>
      <w:rPr>
        <w:lang w:val="en-US"/>
      </w:rPr>
      <w:t xml:space="preserve"> of </w:t>
    </w:r>
    <w:r>
      <w:rPr>
        <w:lang w:val="en-US"/>
      </w:rPr>
      <w:t xml:space="preserve">December </w:t>
    </w:r>
    <w:r>
      <w:rPr>
        <w:lang w:val="en-US"/>
      </w:rPr>
      <w:t xml:space="preserve"> 2023                          Signature: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95A0E" w14:textId="77777777" w:rsidR="00D56792" w:rsidRDefault="00D56792" w:rsidP="005D1B6F">
      <w:pPr>
        <w:spacing w:after="0" w:line="240" w:lineRule="auto"/>
      </w:pPr>
      <w:r>
        <w:separator/>
      </w:r>
    </w:p>
  </w:footnote>
  <w:footnote w:type="continuationSeparator" w:id="0">
    <w:p w14:paraId="59854A1A" w14:textId="77777777" w:rsidR="00D56792" w:rsidRDefault="00D56792" w:rsidP="005D1B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92F58" w14:textId="0CF7EF11" w:rsidR="005D1B6F" w:rsidRPr="005D1B6F" w:rsidRDefault="00AE2C92" w:rsidP="000F5091">
    <w:pPr>
      <w:pStyle w:val="Header"/>
      <w:tabs>
        <w:tab w:val="center" w:pos="5233"/>
      </w:tabs>
      <w:jc w:val="center"/>
      <w:rPr>
        <w:b/>
        <w:bCs/>
        <w:sz w:val="40"/>
        <w:szCs w:val="40"/>
        <w:lang w:val="en-US"/>
      </w:rPr>
    </w:pPr>
    <w:r w:rsidRPr="00AE2C92">
      <w:rPr>
        <w:b/>
        <w:bCs/>
        <w:sz w:val="28"/>
        <w:szCs w:val="28"/>
        <w:lang w:val="en-US"/>
      </w:rPr>
      <w:t>Student number 2379141</w:t>
    </w:r>
    <w:r w:rsidRPr="00AE2C92">
      <w:rPr>
        <w:b/>
        <w:bCs/>
        <w:sz w:val="40"/>
        <w:szCs w:val="40"/>
        <w:lang w:val="en-US"/>
      </w:rPr>
      <w:t xml:space="preserve">       </w:t>
    </w:r>
    <w:r>
      <w:rPr>
        <w:b/>
        <w:bCs/>
        <w:sz w:val="40"/>
        <w:szCs w:val="40"/>
        <w:lang w:val="en-US"/>
      </w:rPr>
      <w:tab/>
    </w:r>
    <w:r w:rsidR="000F5091">
      <w:rPr>
        <w:b/>
        <w:bCs/>
        <w:sz w:val="40"/>
        <w:szCs w:val="40"/>
        <w:lang w:val="en-US"/>
      </w:rPr>
      <w:t xml:space="preserve"> </w:t>
    </w:r>
    <w:r w:rsidR="005D1B6F" w:rsidRPr="005D1B6F">
      <w:rPr>
        <w:b/>
        <w:bCs/>
        <w:sz w:val="40"/>
        <w:szCs w:val="40"/>
        <w:lang w:val="en-US"/>
      </w:rPr>
      <w:t>Assignment 2</w:t>
    </w:r>
    <w:r>
      <w:rPr>
        <w:b/>
        <w:bCs/>
        <w:sz w:val="40"/>
        <w:szCs w:val="40"/>
        <w:lang w:val="en-US"/>
      </w:rPr>
      <w:t xml:space="preserve"> </w:t>
    </w:r>
    <w:r w:rsidR="000F5091">
      <w:rPr>
        <w:b/>
        <w:bCs/>
        <w:sz w:val="40"/>
        <w:szCs w:val="40"/>
        <w:lang w:val="en-US"/>
      </w:rPr>
      <w:t xml:space="preserve">                           </w:t>
    </w:r>
    <w:r w:rsidRPr="000F5091">
      <w:rPr>
        <w:b/>
        <w:bCs/>
        <w:sz w:val="28"/>
        <w:szCs w:val="28"/>
        <w:lang w:val="en-US"/>
      </w:rPr>
      <w:t>Word count 2042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D3246"/>
    <w:multiLevelType w:val="hybridMultilevel"/>
    <w:tmpl w:val="B0B6B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E448E"/>
    <w:multiLevelType w:val="hybridMultilevel"/>
    <w:tmpl w:val="81C61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B26FE"/>
    <w:multiLevelType w:val="hybridMultilevel"/>
    <w:tmpl w:val="1448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3464D4"/>
    <w:multiLevelType w:val="hybridMultilevel"/>
    <w:tmpl w:val="09AA4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233D7"/>
    <w:multiLevelType w:val="hybridMultilevel"/>
    <w:tmpl w:val="E376C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F4D1C"/>
    <w:multiLevelType w:val="hybridMultilevel"/>
    <w:tmpl w:val="DB58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0763C7"/>
    <w:multiLevelType w:val="hybridMultilevel"/>
    <w:tmpl w:val="4886B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D5C2A"/>
    <w:multiLevelType w:val="hybridMultilevel"/>
    <w:tmpl w:val="83A2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4714B0"/>
    <w:multiLevelType w:val="hybridMultilevel"/>
    <w:tmpl w:val="9B381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D64DE"/>
    <w:multiLevelType w:val="hybridMultilevel"/>
    <w:tmpl w:val="89B2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2B4209"/>
    <w:multiLevelType w:val="hybridMultilevel"/>
    <w:tmpl w:val="F22C0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9080B"/>
    <w:multiLevelType w:val="hybridMultilevel"/>
    <w:tmpl w:val="9800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8608FA"/>
    <w:multiLevelType w:val="hybridMultilevel"/>
    <w:tmpl w:val="05248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327578">
    <w:abstractNumId w:val="2"/>
  </w:num>
  <w:num w:numId="2" w16cid:durableId="1795319928">
    <w:abstractNumId w:val="0"/>
  </w:num>
  <w:num w:numId="3" w16cid:durableId="587614084">
    <w:abstractNumId w:val="11"/>
  </w:num>
  <w:num w:numId="4" w16cid:durableId="444349558">
    <w:abstractNumId w:val="6"/>
  </w:num>
  <w:num w:numId="5" w16cid:durableId="677660123">
    <w:abstractNumId w:val="4"/>
  </w:num>
  <w:num w:numId="6" w16cid:durableId="1047533754">
    <w:abstractNumId w:val="9"/>
  </w:num>
  <w:num w:numId="7" w16cid:durableId="176382556">
    <w:abstractNumId w:val="3"/>
  </w:num>
  <w:num w:numId="8" w16cid:durableId="442696273">
    <w:abstractNumId w:val="1"/>
  </w:num>
  <w:num w:numId="9" w16cid:durableId="2091388607">
    <w:abstractNumId w:val="10"/>
  </w:num>
  <w:num w:numId="10" w16cid:durableId="386801490">
    <w:abstractNumId w:val="5"/>
  </w:num>
  <w:num w:numId="11" w16cid:durableId="50033927">
    <w:abstractNumId w:val="12"/>
  </w:num>
  <w:num w:numId="12" w16cid:durableId="1792936325">
    <w:abstractNumId w:val="8"/>
  </w:num>
  <w:num w:numId="13" w16cid:durableId="12027407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2E"/>
    <w:rsid w:val="000F5091"/>
    <w:rsid w:val="002D2E2E"/>
    <w:rsid w:val="00440699"/>
    <w:rsid w:val="004509F1"/>
    <w:rsid w:val="00484F0D"/>
    <w:rsid w:val="00527167"/>
    <w:rsid w:val="005D1B6F"/>
    <w:rsid w:val="00804BEA"/>
    <w:rsid w:val="00AE2C92"/>
    <w:rsid w:val="00BF160F"/>
    <w:rsid w:val="00C03AF5"/>
    <w:rsid w:val="00CA045E"/>
    <w:rsid w:val="00D52533"/>
    <w:rsid w:val="00D56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5EBCD"/>
  <w15:chartTrackingRefBased/>
  <w15:docId w15:val="{622CFC2D-0A14-4DC8-A425-0C1168ECE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B6F"/>
  </w:style>
  <w:style w:type="paragraph" w:styleId="Footer">
    <w:name w:val="footer"/>
    <w:basedOn w:val="Normal"/>
    <w:link w:val="FooterChar"/>
    <w:uiPriority w:val="99"/>
    <w:unhideWhenUsed/>
    <w:rsid w:val="005D1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B6F"/>
  </w:style>
  <w:style w:type="paragraph" w:styleId="ListParagraph">
    <w:name w:val="List Paragraph"/>
    <w:basedOn w:val="Normal"/>
    <w:uiPriority w:val="34"/>
    <w:qFormat/>
    <w:rsid w:val="00C03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per-svr-fs2\users\Phillip.Rees\Phill%20Rees\CIPD\Levers%20Data%20and%20averag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Reason For Leaving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Sheet1!$A$2:$A$16</c:f>
              <c:strCache>
                <c:ptCount val="15"/>
                <c:pt idx="0">
                  <c:v>Failed probation period</c:v>
                </c:pt>
                <c:pt idx="1">
                  <c:v>Redundancy</c:v>
                </c:pt>
                <c:pt idx="2">
                  <c:v>Resignation - Caring Responsibilities</c:v>
                </c:pt>
                <c:pt idx="3">
                  <c:v>Resignation - Whilst under Investigation</c:v>
                </c:pt>
                <c:pt idx="4">
                  <c:v>End of contract</c:v>
                </c:pt>
                <c:pt idx="5">
                  <c:v>Maternity non returner</c:v>
                </c:pt>
                <c:pt idx="6">
                  <c:v>Resignation - Moving from the Area</c:v>
                </c:pt>
                <c:pt idx="7">
                  <c:v>Dismissal summary</c:v>
                </c:pt>
                <c:pt idx="8">
                  <c:v>Retirement</c:v>
                </c:pt>
                <c:pt idx="9">
                  <c:v>Resignation - Promotion</c:v>
                </c:pt>
                <c:pt idx="10">
                  <c:v>Resignation - Change of Career</c:v>
                </c:pt>
                <c:pt idx="11">
                  <c:v>Ill Health </c:v>
                </c:pt>
                <c:pt idx="12">
                  <c:v>Resignation - Job not as expected</c:v>
                </c:pt>
                <c:pt idx="13">
                  <c:v>Resignation</c:v>
                </c:pt>
                <c:pt idx="14">
                  <c:v>Resignation - Pay / Benefits related</c:v>
                </c:pt>
              </c:strCache>
            </c:strRef>
          </c:cat>
          <c:val>
            <c:numRef>
              <c:f>Sheet1!$B$2:$B$16</c:f>
              <c:numCache>
                <c:formatCode>0.00%</c:formatCode>
                <c:ptCount val="15"/>
                <c:pt idx="0">
                  <c:v>1.8499999999999999E-2</c:v>
                </c:pt>
                <c:pt idx="1">
                  <c:v>1.8499999999999999E-2</c:v>
                </c:pt>
                <c:pt idx="2">
                  <c:v>1.8499999999999999E-2</c:v>
                </c:pt>
                <c:pt idx="3">
                  <c:v>1.8499999999999999E-2</c:v>
                </c:pt>
                <c:pt idx="4">
                  <c:v>3.6999999999999998E-2</c:v>
                </c:pt>
                <c:pt idx="5">
                  <c:v>3.6999999999999998E-2</c:v>
                </c:pt>
                <c:pt idx="6">
                  <c:v>3.6999999999999998E-2</c:v>
                </c:pt>
                <c:pt idx="7">
                  <c:v>5.5599999999999997E-2</c:v>
                </c:pt>
                <c:pt idx="8">
                  <c:v>5.5599999999999997E-2</c:v>
                </c:pt>
                <c:pt idx="9">
                  <c:v>7.4099999999999999E-2</c:v>
                </c:pt>
                <c:pt idx="10">
                  <c:v>9.2600000000000002E-2</c:v>
                </c:pt>
                <c:pt idx="11">
                  <c:v>0.1111</c:v>
                </c:pt>
                <c:pt idx="12">
                  <c:v>0.1111</c:v>
                </c:pt>
                <c:pt idx="13">
                  <c:v>0.12959999999999999</c:v>
                </c:pt>
                <c:pt idx="14">
                  <c:v>0.1852</c:v>
                </c:pt>
              </c:numCache>
            </c:numRef>
          </c:val>
          <c:extLst>
            <c:ext xmlns:c16="http://schemas.microsoft.com/office/drawing/2014/chart" uri="{C3380CC4-5D6E-409C-BE32-E72D297353CC}">
              <c16:uniqueId val="{00000000-6B6C-4C2F-BE0B-7C759DEDE1EB}"/>
            </c:ext>
          </c:extLst>
        </c:ser>
        <c:dLbls>
          <c:dLblPos val="outEnd"/>
          <c:showLegendKey val="0"/>
          <c:showVal val="1"/>
          <c:showCatName val="0"/>
          <c:showSerName val="0"/>
          <c:showPercent val="0"/>
          <c:showBubbleSize val="0"/>
        </c:dLbls>
        <c:gapWidth val="115"/>
        <c:overlap val="-20"/>
        <c:axId val="907028656"/>
        <c:axId val="861904736"/>
      </c:barChart>
      <c:catAx>
        <c:axId val="907028656"/>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Department</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904736"/>
        <c:crosses val="autoZero"/>
        <c:auto val="1"/>
        <c:lblAlgn val="ctr"/>
        <c:lblOffset val="100"/>
        <c:noMultiLvlLbl val="0"/>
      </c:catAx>
      <c:valAx>
        <c:axId val="861904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028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Sheet1!$A$28:$A$41</cx:f>
        <cx:lvl ptCount="14">
          <cx:pt idx="0">Business Services</cx:pt>
          <cx:pt idx="1">Customer Services</cx:pt>
          <cx:pt idx="2">Governance</cx:pt>
          <cx:pt idx="3">Property Team</cx:pt>
          <cx:pt idx="4">Community Engagement and Partnerships</cx:pt>
          <cx:pt idx="5">Housing</cx:pt>
          <cx:pt idx="6">People Services</cx:pt>
          <cx:pt idx="7">Green Spaces</cx:pt>
          <cx:pt idx="8">Tenancy Team</cx:pt>
          <cx:pt idx="9">Finance</cx:pt>
          <cx:pt idx="10">Income</cx:pt>
          <cx:pt idx="11">Supported Housing</cx:pt>
          <cx:pt idx="12">Lettings</cx:pt>
          <cx:pt idx="13">Regeneration</cx:pt>
        </cx:lvl>
      </cx:strDim>
      <cx:numDim type="val">
        <cx:f>Sheet1!$B$28:$B$41</cx:f>
        <cx:lvl ptCount="14" formatCode="0.0">
          <cx:pt idx="0">7.0999999999999996</cx:pt>
          <cx:pt idx="1">7.0499999999999998</cx:pt>
          <cx:pt idx="2">7.0499999999999998</cx:pt>
          <cx:pt idx="3">7.0199999999999996</cx:pt>
          <cx:pt idx="4">6.0099999999999998</cx:pt>
          <cx:pt idx="5">6.0099999999999998</cx:pt>
          <cx:pt idx="6">5.0599999999999996</cx:pt>
          <cx:pt idx="7">2</cx:pt>
          <cx:pt idx="8">2</cx:pt>
          <cx:pt idx="9">1.1100000000000001</cx:pt>
          <cx:pt idx="10">1.1000000000000001</cx:pt>
          <cx:pt idx="11">1.0900000000000001</cx:pt>
          <cx:pt idx="12">1.03</cx:pt>
          <cx:pt idx="13">1.01</cx:pt>
        </cx:lvl>
      </cx:numDim>
    </cx:data>
  </cx:chartData>
  <cx:chart>
    <cx:title pos="t" align="ctr" overlay="0">
      <cx:tx>
        <cx:rich>
          <a:bodyPr spcFirstLastPara="1" vertOverflow="ellipsis" horzOverflow="overflow" wrap="square" lIns="0" tIns="0" rIns="0" bIns="0" anchor="ctr" anchorCtr="1"/>
          <a:lstStyle/>
          <a:p>
            <a:pPr algn="ctr" rtl="0">
              <a:defRPr/>
            </a:pPr>
            <a:r>
              <a:rPr lang="en-GB" sz="2000" b="1" i="0" u="none" strike="noStrike" baseline="0">
                <a:solidFill>
                  <a:sysClr val="windowText" lastClr="000000">
                    <a:lumMod val="65000"/>
                    <a:lumOff val="35000"/>
                  </a:sysClr>
                </a:solidFill>
                <a:effectLst/>
                <a:latin typeface="Calibri Light" panose="020F0302020204030204"/>
                <a:ea typeface="Calibri" panose="020F0502020204030204" pitchFamily="34" charset="0"/>
                <a:cs typeface="Calibri" panose="020F0502020204030204" pitchFamily="34" charset="0"/>
              </a:rPr>
              <a:t>Average length of service Per department </a:t>
            </a:r>
            <a:endParaRPr lang="en-US" sz="2000" b="0" i="0" u="none" strike="noStrike" baseline="0">
              <a:solidFill>
                <a:sysClr val="windowText" lastClr="000000">
                  <a:lumMod val="65000"/>
                  <a:lumOff val="35000"/>
                </a:sysClr>
              </a:solidFill>
              <a:latin typeface="Calibri Light" panose="020F0302020204030204"/>
            </a:endParaRPr>
          </a:p>
        </cx:rich>
      </cx:tx>
    </cx:title>
    <cx:plotArea>
      <cx:plotAreaRegion>
        <cx:series layoutId="funnel" uniqueId="{A4A325C2-B0B5-479C-8A3F-17597D36F7F8}">
          <cx:tx>
            <cx:txData>
              <cx:f/>
              <cx:v>Years/Months</cx:v>
            </cx:txData>
          </cx:tx>
          <cx:dataLabels>
            <cx:visibility seriesName="0" categoryName="0" value="1"/>
          </cx:dataLabels>
          <cx:dataId val="0"/>
        </cx:series>
      </cx:plotAreaRegion>
      <cx:axis id="0">
        <cx:catScaling gapWidth="0.0299999993"/>
        <cx:title>
          <cx:tx>
            <cx:txData>
              <cx:v>Department</cx:v>
            </cx:txData>
          </cx:tx>
          <cx:txPr>
            <a:bodyPr spcFirstLastPara="1" vertOverflow="ellipsis" horzOverflow="overflow" wrap="square" lIns="0" tIns="0" rIns="0" bIns="0" anchor="ctr" anchorCtr="1"/>
            <a:lstStyle/>
            <a:p>
              <a:pPr algn="ctr" rtl="0">
                <a:defRPr/>
              </a:pPr>
              <a:r>
                <a:rPr lang="en-US" sz="900" b="0" i="0" u="none" strike="noStrike" cap="all" baseline="0">
                  <a:solidFill>
                    <a:sysClr val="windowText" lastClr="000000">
                      <a:lumMod val="65000"/>
                      <a:lumOff val="35000"/>
                    </a:sysClr>
                  </a:solidFill>
                  <a:latin typeface="Calibri" panose="020F0502020204030204"/>
                </a:rPr>
                <a:t>Department</a:t>
              </a:r>
            </a:p>
          </cx:txPr>
        </cx:title>
        <cx:tickLabels/>
      </cx:axis>
    </cx:plotArea>
    <cx:legend pos="t"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428">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lt1">
        <a:lumMod val="65000"/>
        <a:lumOff val="35000"/>
      </a:schemeClr>
    </cs:fontRef>
    <cs:spPr>
      <a:solidFill>
        <a:schemeClr val="dk1">
          <a:lumMod val="15000"/>
          <a:lumOff val="8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lumMod val="60000"/>
        </a:schemeClr>
      </a:solidFill>
    </cs:spPr>
  </cs:dataPointMarker>
  <cs:dataPointMarkerLayout symbol="circle" size="8"/>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2857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25400" cap="flat" cmpd="sng" algn="ctr">
        <a:solidFill>
          <a:schemeClr val="tx1">
            <a:lumMod val="65000"/>
            <a:lumOff val="35000"/>
          </a:schemeClr>
        </a:solidFill>
        <a:round/>
      </a:ln>
    </cs:spPr>
  </cs:hiLoLine>
  <cs:leaderLine>
    <cs:lnRef idx="0"/>
    <cs:fillRef idx="0"/>
    <cs:effectRef idx="0"/>
    <cs:fontRef idx="minor">
      <a:schemeClr val="dk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ajor">
      <a:schemeClr val="tx1">
        <a:lumMod val="65000"/>
        <a:lumOff val="35000"/>
      </a:schemeClr>
    </cs:fontRef>
    <cs:defRPr sz="200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28575">
        <a:solidFill>
          <a:schemeClr val="tx1">
            <a:lumMod val="50000"/>
            <a:lumOff val="50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6</cp:revision>
  <dcterms:created xsi:type="dcterms:W3CDTF">2023-11-12T13:06:00Z</dcterms:created>
  <dcterms:modified xsi:type="dcterms:W3CDTF">2023-12-18T15:44:00Z</dcterms:modified>
</cp:coreProperties>
</file>