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47E6A" w14:textId="77777777" w:rsidR="007B283A" w:rsidRDefault="00B55F2F" w:rsidP="00B55F2F">
      <w:pPr>
        <w:pStyle w:val="Title"/>
        <w:jc w:val="center"/>
        <w:rPr>
          <w:b/>
        </w:rPr>
      </w:pPr>
      <w:r w:rsidRPr="00B55F2F">
        <w:rPr>
          <w:b/>
        </w:rPr>
        <w:t>Tort law</w:t>
      </w:r>
    </w:p>
    <w:p w14:paraId="77127156" w14:textId="77777777" w:rsidR="007B283A" w:rsidRDefault="007B283A" w:rsidP="007B283A">
      <w:pPr>
        <w:rPr>
          <w:rFonts w:asciiTheme="majorHAnsi" w:eastAsiaTheme="majorEastAsia" w:hAnsiTheme="majorHAnsi" w:cstheme="majorBidi"/>
          <w:spacing w:val="-10"/>
          <w:kern w:val="28"/>
          <w:sz w:val="56"/>
          <w:szCs w:val="56"/>
        </w:rPr>
      </w:pPr>
      <w:r>
        <w:br w:type="page"/>
      </w:r>
    </w:p>
    <w:p w14:paraId="1992DF5D" w14:textId="77777777" w:rsidR="00860D21" w:rsidRDefault="00860D21" w:rsidP="00860D21">
      <w:pPr>
        <w:pStyle w:val="Heading1"/>
      </w:pPr>
      <w:r>
        <w:lastRenderedPageBreak/>
        <w:t>Introduction</w:t>
      </w:r>
    </w:p>
    <w:p w14:paraId="328FB4A6" w14:textId="77777777" w:rsidR="00860D21" w:rsidRDefault="00FF0BC1" w:rsidP="00FF0BC1">
      <w:r>
        <w:t xml:space="preserve">In tort law, standard of care is considered as only degree of prudence and caution that is required by an individual who is undergoing duty of care. </w:t>
      </w:r>
      <w:r w:rsidR="00860D21">
        <w:t xml:space="preserve">This study would shed light on whether standard of care in negligence act as a flexible balance amongst interests of claimants and defendants. </w:t>
      </w:r>
    </w:p>
    <w:p w14:paraId="4E12112E" w14:textId="77777777" w:rsidR="00860D21" w:rsidRDefault="00860D21" w:rsidP="00860D21">
      <w:pPr>
        <w:pStyle w:val="Heading1"/>
      </w:pPr>
      <w:r>
        <w:t>Main body</w:t>
      </w:r>
    </w:p>
    <w:p w14:paraId="2629F97D" w14:textId="77777777" w:rsidR="00463377" w:rsidRDefault="00FF0BC1" w:rsidP="00FF0BC1">
      <w:r>
        <w:t>This standard of care is specifically related to requirement concerning breach of duty as it seems to occur when an individual’s actions fails to meet applicable care standards. Thus, it is regarded as one of the</w:t>
      </w:r>
      <w:r w:rsidR="00F45B74">
        <w:t xml:space="preserve"> vital</w:t>
      </w:r>
      <w:r>
        <w:t xml:space="preserve"> element of negligence</w:t>
      </w:r>
      <w:r w:rsidR="00DF2059">
        <w:t xml:space="preserve"> (</w:t>
      </w:r>
      <w:r w:rsidR="00DF2059">
        <w:rPr>
          <w:shd w:val="clear" w:color="auto" w:fill="FFFFFF"/>
        </w:rPr>
        <w:t xml:space="preserve">Cooke </w:t>
      </w:r>
      <w:r w:rsidR="00DF2059">
        <w:rPr>
          <w:i/>
          <w:shd w:val="clear" w:color="auto" w:fill="FFFFFF"/>
        </w:rPr>
        <w:t>et al</w:t>
      </w:r>
      <w:r w:rsidR="00DF2059">
        <w:rPr>
          <w:shd w:val="clear" w:color="auto" w:fill="FFFFFF"/>
        </w:rPr>
        <w:t>., 2017)</w:t>
      </w:r>
      <w:r>
        <w:t xml:space="preserve">.  </w:t>
      </w:r>
      <w:r w:rsidR="00F45B74">
        <w:t>Although,</w:t>
      </w:r>
      <w:r>
        <w:t xml:space="preserve"> when harm for an individual seems to happen unlikely but has happened as a result of guarding against it</w:t>
      </w:r>
      <w:r w:rsidR="005302C2">
        <w:t>, the same</w:t>
      </w:r>
      <w:r w:rsidR="00F45B74">
        <w:t xml:space="preserve"> could not be regarded as breach of duty</w:t>
      </w:r>
      <w:r>
        <w:t xml:space="preserve">. This is evident in </w:t>
      </w:r>
      <w:r w:rsidRPr="006F5DB0">
        <w:rPr>
          <w:i/>
          <w:u w:val="single"/>
        </w:rPr>
        <w:t xml:space="preserve">Bolton v stone </w:t>
      </w:r>
      <w:r w:rsidR="00F45B74" w:rsidRPr="006F5DB0">
        <w:rPr>
          <w:i/>
          <w:u w:val="single"/>
        </w:rPr>
        <w:t>(1951)</w:t>
      </w:r>
      <w:r w:rsidR="00F45B74">
        <w:t xml:space="preserve"> </w:t>
      </w:r>
      <w:r w:rsidR="000718ED">
        <w:t>wherein claimant was been injured by a ball from neighbouring cricket pitch</w:t>
      </w:r>
      <w:r w:rsidR="00DF2059">
        <w:t xml:space="preserve"> (</w:t>
      </w:r>
      <w:r w:rsidR="00DF2059">
        <w:rPr>
          <w:shd w:val="clear" w:color="auto" w:fill="FFFFFF"/>
        </w:rPr>
        <w:t>Foley and Christensen, 2016)</w:t>
      </w:r>
      <w:r w:rsidR="000718ED">
        <w:t>.</w:t>
      </w:r>
      <w:r w:rsidR="0080049D">
        <w:t xml:space="preserve"> </w:t>
      </w:r>
      <w:r w:rsidR="006F5DB0">
        <w:t xml:space="preserve">Due to this reason, the claimant has sued cricket club for tort of negligence concerning the injuries occurred. Though, while establishing tort of negligence, it is duty of claimant to establish that the defendant has failed acting as a reasonable person and would have the claimant been in their place, she would not have breached duty of care. The house of lords in this context has announced that the cricket club was not in breach of duty because of factors concerning low likelihood of caused harm and that the defendant is been engaged in a socially- useful service. </w:t>
      </w:r>
      <w:r w:rsidR="0080049D">
        <w:t xml:space="preserve">Likewise, in </w:t>
      </w:r>
      <w:r w:rsidR="0080049D" w:rsidRPr="006F5DB0">
        <w:rPr>
          <w:i/>
          <w:u w:val="single"/>
        </w:rPr>
        <w:t>watt v Hertfordshire county council (1954),</w:t>
      </w:r>
      <w:r w:rsidR="0080049D">
        <w:t xml:space="preserve"> the claimant for the case who was been working in fire department </w:t>
      </w:r>
      <w:r w:rsidR="00521DBA">
        <w:t>was</w:t>
      </w:r>
      <w:r w:rsidR="0091244F">
        <w:t xml:space="preserve"> answering call of a women been held trapped </w:t>
      </w:r>
      <w:r w:rsidR="00521DBA">
        <w:t xml:space="preserve">under lorry near fire station. </w:t>
      </w:r>
      <w:r w:rsidR="0091244F">
        <w:t>Thus, h</w:t>
      </w:r>
      <w:r w:rsidR="00521DBA">
        <w:t>e was made to move a heavy piece of equipment to scene for lifting lorry. Here, the common vehicle that used to transport the equipment was been unavailable and the superior of claimant ordered him to place it though in an unsecured manner to back of truck. In this situation, the claimant for avoiding falling off the truck need to hold equipment for entire journey and later on he got injured when the truck suddenly have braked in red signal and the equipment had fallen. Thus, the cl</w:t>
      </w:r>
      <w:r w:rsidR="00044802">
        <w:t xml:space="preserve">aimant has sued his employer for reason </w:t>
      </w:r>
      <w:r w:rsidR="00521DBA">
        <w:t>of negligence</w:t>
      </w:r>
      <w:r w:rsidR="00DF2059">
        <w:t xml:space="preserve"> (</w:t>
      </w:r>
      <w:proofErr w:type="spellStart"/>
      <w:r w:rsidR="00DF2059">
        <w:rPr>
          <w:shd w:val="clear" w:color="auto" w:fill="FFFFFF"/>
        </w:rPr>
        <w:t>Udemezue</w:t>
      </w:r>
      <w:proofErr w:type="spellEnd"/>
      <w:r w:rsidR="00DF2059">
        <w:rPr>
          <w:shd w:val="clear" w:color="auto" w:fill="FFFFFF"/>
        </w:rPr>
        <w:t xml:space="preserve"> and </w:t>
      </w:r>
      <w:proofErr w:type="spellStart"/>
      <w:r w:rsidR="00DF2059">
        <w:rPr>
          <w:shd w:val="clear" w:color="auto" w:fill="FFFFFF"/>
        </w:rPr>
        <w:t>Ojeih</w:t>
      </w:r>
      <w:proofErr w:type="spellEnd"/>
      <w:r w:rsidR="00DF2059">
        <w:rPr>
          <w:shd w:val="clear" w:color="auto" w:fill="FFFFFF"/>
        </w:rPr>
        <w:t>, 2021)</w:t>
      </w:r>
      <w:r w:rsidR="00521DBA">
        <w:t>. Though the outcome for the case did not went in for of the claimant because court established that the objective that defendant is trying to achieve in this situation seems relevant while determination of standard of care. The reason is that objective here seems to be combined with high degree of social-utility by ensuring that the women’s life was saved and as risk of injury was not that higher, the defendant would not be held as liable.</w:t>
      </w:r>
      <w:r w:rsidR="0091244F">
        <w:t xml:space="preserve"> This illustrates how standard of care would differ when negligence </w:t>
      </w:r>
      <w:r w:rsidR="0091244F">
        <w:lastRenderedPageBreak/>
        <w:t>or breach of duty occurs for an activity that would deliver value to society.</w:t>
      </w:r>
      <w:r w:rsidR="00521DBA">
        <w:t xml:space="preserve"> </w:t>
      </w:r>
      <w:r w:rsidR="000718ED">
        <w:t xml:space="preserve">Moreover, </w:t>
      </w:r>
      <w:r w:rsidR="00F45B74">
        <w:t xml:space="preserve">the magnitude of risk do increase in matter of potential seriousness as in </w:t>
      </w:r>
      <w:proofErr w:type="spellStart"/>
      <w:r w:rsidR="000718ED" w:rsidRPr="006F5DB0">
        <w:rPr>
          <w:i/>
          <w:u w:val="single"/>
        </w:rPr>
        <w:t>Hilder</w:t>
      </w:r>
      <w:proofErr w:type="spellEnd"/>
      <w:r w:rsidR="000718ED" w:rsidRPr="006F5DB0">
        <w:rPr>
          <w:i/>
          <w:u w:val="single"/>
        </w:rPr>
        <w:t xml:space="preserve"> v Associated Portlan</w:t>
      </w:r>
      <w:r w:rsidR="00F45B74" w:rsidRPr="006F5DB0">
        <w:rPr>
          <w:i/>
          <w:u w:val="single"/>
        </w:rPr>
        <w:t xml:space="preserve">d cement (1961) </w:t>
      </w:r>
      <w:r w:rsidR="00F45B74">
        <w:t>wherein due to greater magnitude of potential harm, it becomes no way reasonable for accepting risk</w:t>
      </w:r>
      <w:r w:rsidR="009200B6">
        <w:t xml:space="preserve"> occurred</w:t>
      </w:r>
      <w:r w:rsidR="00F45B74">
        <w:t xml:space="preserve">. </w:t>
      </w:r>
      <w:r w:rsidR="00612FF8">
        <w:t xml:space="preserve">This shows how the known characteristics of claimant can make breach of what may have not been a risk for high magnitude. </w:t>
      </w:r>
      <w:r w:rsidR="00EB5B4B">
        <w:t xml:space="preserve">As in </w:t>
      </w:r>
      <w:r w:rsidR="00EB5B4B" w:rsidRPr="006F5DB0">
        <w:rPr>
          <w:i/>
          <w:u w:val="single"/>
        </w:rPr>
        <w:t>Paris v Stepney LBC (1951</w:t>
      </w:r>
      <w:r w:rsidR="00612FF8" w:rsidRPr="006F5DB0">
        <w:rPr>
          <w:i/>
          <w:u w:val="single"/>
        </w:rPr>
        <w:t>),</w:t>
      </w:r>
      <w:r w:rsidR="00612FF8">
        <w:t xml:space="preserve"> there was an employee </w:t>
      </w:r>
      <w:r w:rsidR="005302C2">
        <w:t>who was</w:t>
      </w:r>
      <w:r w:rsidR="00612FF8">
        <w:t xml:space="preserve"> blind in one of the eyes has even lost his another good eye while working for fixing one of the vehicles of his employer. In this case, House of Lords have made the employer held liable to breach of duty as he failed in supplying </w:t>
      </w:r>
      <w:r w:rsidR="005302C2">
        <w:t>some</w:t>
      </w:r>
      <w:r w:rsidR="00612FF8">
        <w:t xml:space="preserve"> protective </w:t>
      </w:r>
      <w:r w:rsidR="005302C2">
        <w:t>gog</w:t>
      </w:r>
      <w:r w:rsidR="00612FF8">
        <w:t xml:space="preserve">gles. This has increased seriousness for concerned harm that has caused victim even to lose </w:t>
      </w:r>
      <w:r w:rsidR="005302C2">
        <w:t>another</w:t>
      </w:r>
      <w:r w:rsidR="00612FF8">
        <w:t xml:space="preserve"> of his good eye. The potential for harm in context of individual with two good eyes would be less. </w:t>
      </w:r>
      <w:r w:rsidR="00D4564A">
        <w:t>This clearly illustrates how breach arises as a result of serious harm caused to an individual with claimant’s foreseeable d</w:t>
      </w:r>
      <w:r w:rsidR="00EB5B4B">
        <w:t>espite of known characteristics</w:t>
      </w:r>
      <w:r w:rsidR="00DF2059">
        <w:t xml:space="preserve"> (</w:t>
      </w:r>
      <w:r w:rsidR="00DF2059">
        <w:rPr>
          <w:shd w:val="clear" w:color="auto" w:fill="FFFFFF"/>
        </w:rPr>
        <w:t xml:space="preserve">He </w:t>
      </w:r>
      <w:r w:rsidR="00DF2059">
        <w:rPr>
          <w:i/>
          <w:shd w:val="clear" w:color="auto" w:fill="FFFFFF"/>
        </w:rPr>
        <w:t>et al</w:t>
      </w:r>
      <w:r w:rsidR="00DF2059">
        <w:rPr>
          <w:shd w:val="clear" w:color="auto" w:fill="FFFFFF"/>
        </w:rPr>
        <w:t>., 2016)</w:t>
      </w:r>
      <w:r w:rsidR="00EB5B4B">
        <w:t xml:space="preserve">. </w:t>
      </w:r>
      <w:r w:rsidR="009C4628">
        <w:t xml:space="preserve">The aforementioned instances establishes the fact that breach of duty is concerned with standard for care that could have been applied in a situation for avoiding potential harm. </w:t>
      </w:r>
      <w:r w:rsidR="00E17BA2">
        <w:t>Thus, if an individual’s or organisation’s conduct falls below standard than was expected, they would be considered as negligent in their duty</w:t>
      </w:r>
      <w:r w:rsidR="005302C2">
        <w:t xml:space="preserve"> or breached it</w:t>
      </w:r>
      <w:r w:rsidR="00E17BA2">
        <w:t xml:space="preserve">. </w:t>
      </w:r>
      <w:r w:rsidR="00D4564A">
        <w:t xml:space="preserve">  </w:t>
      </w:r>
      <w:r w:rsidR="00612FF8">
        <w:t xml:space="preserve"> </w:t>
      </w:r>
      <w:r w:rsidR="002612D1">
        <w:t xml:space="preserve">This concept relating standard of care in negligence is mainly objective as it does not take account of specific abilities of defendant and views </w:t>
      </w:r>
      <w:r w:rsidR="006F7FF2">
        <w:t xml:space="preserve">situation from standpoint of hypothetical reasonable person. It judges how that reasonable person would have behaved if in defendant’s situation. Been an objective test, it is least bothered about what was happening in mind of defendant when he/she committed breach of duty.  </w:t>
      </w:r>
    </w:p>
    <w:p w14:paraId="3354F9D7" w14:textId="77777777" w:rsidR="009365E3" w:rsidRDefault="009365E3" w:rsidP="00FF0BC1">
      <w:r>
        <w:t xml:space="preserve">Breach of duty seems evident in context if the defendant is held liable for negligence wherein the question concerning standard of care do arise in relation to causation, remoteness and duty. For instance, in </w:t>
      </w:r>
      <w:r w:rsidRPr="006F5DB0">
        <w:rPr>
          <w:i/>
          <w:u w:val="single"/>
        </w:rPr>
        <w:t>Roe v Minster of health (1954),</w:t>
      </w:r>
      <w:r>
        <w:t xml:space="preserve"> two of the plaintiffs were been anaesthetised by spinal anaesthetic for some minor operation to happen but the outcomes has turned out to be unfruitful for both of the plaintiffs and they became paralysed downwards the waist and thus, each of them has claimed for negligence</w:t>
      </w:r>
      <w:r w:rsidR="00DF2059">
        <w:t xml:space="preserve"> (</w:t>
      </w:r>
      <w:r w:rsidR="00DF2059">
        <w:rPr>
          <w:shd w:val="clear" w:color="auto" w:fill="FFFFFF"/>
        </w:rPr>
        <w:t>Roe, 1954)</w:t>
      </w:r>
      <w:r>
        <w:t xml:space="preserve">. Later on it was established that the anaesthetic might be contaminated by disinfectant as anaesthetic was been stored in ampoules in disinfectant. According to law, </w:t>
      </w:r>
      <w:r w:rsidR="00292191">
        <w:t xml:space="preserve">standard of care should be judged on basis of applying an objective test considering how a reasonable person would have behaved when in same situation. Based on the test, defendant was not been held as liable because they knowingly seems not to have deviated from their standard practice. Likewise, in </w:t>
      </w:r>
      <w:proofErr w:type="spellStart"/>
      <w:r w:rsidR="00292191" w:rsidRPr="006F5DB0">
        <w:rPr>
          <w:i/>
          <w:u w:val="single"/>
        </w:rPr>
        <w:t>Bolam</w:t>
      </w:r>
      <w:proofErr w:type="spellEnd"/>
      <w:r w:rsidR="00292191" w:rsidRPr="006F5DB0">
        <w:rPr>
          <w:i/>
          <w:u w:val="single"/>
        </w:rPr>
        <w:t xml:space="preserve"> v Friern hospital management committee (1957)</w:t>
      </w:r>
      <w:r w:rsidR="00292191">
        <w:t xml:space="preserve">, defendant seem an individual been employed by doctor who </w:t>
      </w:r>
      <w:r w:rsidR="00292191">
        <w:lastRenderedPageBreak/>
        <w:t>had not provided a mentally ill patient with muscle relaxant drugs and even not restrained individual before providing them electro convulsive therapy. As a result, the claimant has suffered injuries during the concerned procedure and sued defendant claiming that the doctor in this case was been negligent for not providing him the drug and not restraining before therapy. In high court, it was been held though that the doctor in this regard has no way breached standard of duty to patient and thus, he should not be held liable in this case</w:t>
      </w:r>
      <w:r w:rsidR="00DF2059">
        <w:t xml:space="preserve"> (</w:t>
      </w:r>
      <w:r w:rsidR="00DF2059">
        <w:rPr>
          <w:shd w:val="clear" w:color="auto" w:fill="FFFFFF"/>
        </w:rPr>
        <w:t>McNair, 1957)</w:t>
      </w:r>
      <w:r w:rsidR="00292191">
        <w:t>. This is because as the method use in this particular case were been approved by responsible segment</w:t>
      </w:r>
      <w:r w:rsidR="0062077E">
        <w:t xml:space="preserve"> of medical profession, no</w:t>
      </w:r>
      <w:r w:rsidR="00292191">
        <w:t xml:space="preserve"> breach in this regard has seem to happen.  </w:t>
      </w:r>
      <w:r w:rsidR="0062077E">
        <w:t xml:space="preserve">Herein, </w:t>
      </w:r>
      <w:r w:rsidR="0062077E" w:rsidRPr="00044802">
        <w:rPr>
          <w:i/>
          <w:u w:val="single"/>
        </w:rPr>
        <w:t>compensation act of 2006</w:t>
      </w:r>
      <w:r w:rsidR="0062077E">
        <w:t xml:space="preserve"> gains momentum as this act specifies different factors that can be taken into account by court for determining breach or negligence of statutory duty. The purpose of this act is mainly to make certain provisions for enabling that the responsible person could claim for damages from defendant or not. </w:t>
      </w:r>
      <w:r w:rsidR="005765F5">
        <w:t xml:space="preserve">Similarly, </w:t>
      </w:r>
      <w:r w:rsidR="005765F5" w:rsidRPr="006F5DB0">
        <w:rPr>
          <w:i/>
          <w:u w:val="single"/>
        </w:rPr>
        <w:t xml:space="preserve">SARAH (Social action, responsibility and heroism act) of 2015 </w:t>
      </w:r>
      <w:r w:rsidR="005765F5">
        <w:t>is concerned when court while establishing claim for negligence seems to determine relevant steps wherein a person was been required to take discharge for duty of care</w:t>
      </w:r>
      <w:r w:rsidR="00DF2059">
        <w:t xml:space="preserve"> (</w:t>
      </w:r>
      <w:r w:rsidR="00DF2059">
        <w:rPr>
          <w:shd w:val="clear" w:color="auto" w:fill="FFFFFF"/>
        </w:rPr>
        <w:t>Oliphant, 2017)</w:t>
      </w:r>
      <w:r w:rsidR="005765F5">
        <w:t xml:space="preserve">. It chiefly concerns the idea that alleged breach of statutory duty or negligence would not make an individual liable when he/she is acting for benefit or society or other members as evident in </w:t>
      </w:r>
      <w:r w:rsidR="005765F5" w:rsidRPr="006F5DB0">
        <w:rPr>
          <w:i/>
          <w:u w:val="single"/>
        </w:rPr>
        <w:t>watt v Hertfordshire county council (1954</w:t>
      </w:r>
      <w:r w:rsidR="005765F5">
        <w:t xml:space="preserve">). </w:t>
      </w:r>
    </w:p>
    <w:p w14:paraId="5E01873E" w14:textId="77777777" w:rsidR="009A4316" w:rsidRDefault="00997BE2" w:rsidP="00FF0BC1">
      <w:r>
        <w:t xml:space="preserve">In general terms, standard of care relates to degree of care that a reasonable person would have taken in </w:t>
      </w:r>
      <w:r w:rsidR="004A675F">
        <w:t xml:space="preserve">particular </w:t>
      </w:r>
      <w:r>
        <w:t>circumstances.</w:t>
      </w:r>
      <w:r w:rsidR="00CA47FC">
        <w:t xml:space="preserve"> This is because case law takes account of the fact that a professional or an individual who is handicapped would not behave the same as a common individual when they are been put to certain circumstances</w:t>
      </w:r>
      <w:r w:rsidR="00DF2059">
        <w:t xml:space="preserve"> (</w:t>
      </w:r>
      <w:r w:rsidR="00DF2059">
        <w:rPr>
          <w:shd w:val="clear" w:color="auto" w:fill="FFFFFF"/>
        </w:rPr>
        <w:t xml:space="preserve">Cooke </w:t>
      </w:r>
      <w:r w:rsidR="00DF2059">
        <w:rPr>
          <w:i/>
          <w:shd w:val="clear" w:color="auto" w:fill="FFFFFF"/>
        </w:rPr>
        <w:t>et al</w:t>
      </w:r>
      <w:r w:rsidR="00DF2059">
        <w:rPr>
          <w:shd w:val="clear" w:color="auto" w:fill="FFFFFF"/>
        </w:rPr>
        <w:t>., 2017)</w:t>
      </w:r>
      <w:r w:rsidR="00CA47FC">
        <w:t>.  Thus, standard for care largely do vary</w:t>
      </w:r>
      <w:r>
        <w:t xml:space="preserve"> in context of case law as for instance, in context of medical malpractice committed by junior doctor, which seems a specific area within domain of negligence accounting for four condition</w:t>
      </w:r>
      <w:r w:rsidR="004A675F">
        <w:t>s</w:t>
      </w:r>
      <w:r>
        <w:t xml:space="preserve"> to be met so that plaintiff could recover their damages. Such conditions are breach of duty, causation, duty and harm. Herein, breach of duty is considered synonymous to standard of care. The variedness of this concept in case law is evident from </w:t>
      </w:r>
      <w:proofErr w:type="spellStart"/>
      <w:r w:rsidRPr="006F5DB0">
        <w:rPr>
          <w:i/>
          <w:u w:val="single"/>
        </w:rPr>
        <w:t>Garthe</w:t>
      </w:r>
      <w:proofErr w:type="spellEnd"/>
      <w:r w:rsidRPr="006F5DB0">
        <w:rPr>
          <w:i/>
          <w:u w:val="single"/>
        </w:rPr>
        <w:t xml:space="preserve"> v Ruppert case (1934)</w:t>
      </w:r>
      <w:r>
        <w:t xml:space="preserve"> wherein some dangers are removed through some customary way of accomplishing thing, which can be used for proving that individual charged with dereliction has fallen beneath required standard. In other words</w:t>
      </w:r>
      <w:r w:rsidR="008E611F">
        <w:t>, if other people engaged in business are practicing a particular way for eliminating hazards, such practice can be concerned as standard of care</w:t>
      </w:r>
      <w:r w:rsidR="00DF2059">
        <w:t xml:space="preserve"> (</w:t>
      </w:r>
      <w:r w:rsidR="00DF2059">
        <w:rPr>
          <w:shd w:val="clear" w:color="auto" w:fill="FFFFFF"/>
        </w:rPr>
        <w:t>Moffett and Moore</w:t>
      </w:r>
      <w:r w:rsidR="00044802">
        <w:rPr>
          <w:shd w:val="clear" w:color="auto" w:fill="FFFFFF"/>
        </w:rPr>
        <w:t>, 2011</w:t>
      </w:r>
      <w:r w:rsidR="00DF2059">
        <w:rPr>
          <w:shd w:val="clear" w:color="auto" w:fill="FFFFFF"/>
        </w:rPr>
        <w:t>)</w:t>
      </w:r>
      <w:r w:rsidR="008E611F">
        <w:t xml:space="preserve">. There are two cases that seems to have widely changed definition concerning standard of care as in </w:t>
      </w:r>
      <w:r w:rsidR="008E611F" w:rsidRPr="006F5DB0">
        <w:rPr>
          <w:i/>
          <w:u w:val="single"/>
        </w:rPr>
        <w:t>The T.J Hooper (1932</w:t>
      </w:r>
      <w:r w:rsidR="004A675F" w:rsidRPr="006F5DB0">
        <w:rPr>
          <w:i/>
          <w:u w:val="single"/>
        </w:rPr>
        <w:t>),</w:t>
      </w:r>
      <w:r w:rsidR="008E611F">
        <w:t xml:space="preserve"> the owner of tug about was sued for two barges as </w:t>
      </w:r>
      <w:r w:rsidR="004A675F">
        <w:t>it</w:t>
      </w:r>
      <w:r w:rsidR="008E611F">
        <w:t xml:space="preserve"> got caught in storm</w:t>
      </w:r>
      <w:r w:rsidR="004A675F">
        <w:t xml:space="preserve">. </w:t>
      </w:r>
      <w:r w:rsidR="008E611F">
        <w:t xml:space="preserve">Here, owner of the barge charged </w:t>
      </w:r>
      <w:r w:rsidR="008E611F">
        <w:lastRenderedPageBreak/>
        <w:t xml:space="preserve">Hooper that it was not safe for giving duty at sea as it do not possess radio recorder that can guide him with storm warning. Further, they begin to charge that it was customary for tug about to have radio deceiver and claimed that if T.J. Hooper possessed a radio, they would </w:t>
      </w:r>
      <w:r w:rsidR="00437A8A">
        <w:t>have been warned about the storm and avoided harm. While reviewing case during appeal, Jury ruled case in favour for barge owners, though i</w:t>
      </w:r>
      <w:r w:rsidR="00500F15">
        <w:t>t was not based on any custom a</w:t>
      </w:r>
      <w:r w:rsidR="00437A8A">
        <w:t xml:space="preserve">s it is no way customary for tug about to remain fitted with receivers but as the practice seems reasonable, </w:t>
      </w:r>
      <w:r w:rsidR="00437A8A" w:rsidRPr="006F5DB0">
        <w:rPr>
          <w:i/>
          <w:u w:val="single"/>
        </w:rPr>
        <w:t>T.J hooper</w:t>
      </w:r>
      <w:r w:rsidR="00437A8A">
        <w:t xml:space="preserve"> would be held liable for damages. </w:t>
      </w:r>
      <w:r w:rsidR="00EA3269">
        <w:t xml:space="preserve">Likewise, in case of </w:t>
      </w:r>
      <w:proofErr w:type="spellStart"/>
      <w:r w:rsidR="00EA3269" w:rsidRPr="006F5DB0">
        <w:rPr>
          <w:i/>
          <w:u w:val="single"/>
        </w:rPr>
        <w:t>Helling</w:t>
      </w:r>
      <w:proofErr w:type="spellEnd"/>
      <w:r w:rsidR="00EA3269" w:rsidRPr="006F5DB0">
        <w:rPr>
          <w:i/>
          <w:u w:val="single"/>
        </w:rPr>
        <w:t xml:space="preserve"> v Carey</w:t>
      </w:r>
      <w:r w:rsidR="00DF2059" w:rsidRPr="006F5DB0">
        <w:rPr>
          <w:i/>
          <w:u w:val="single"/>
        </w:rPr>
        <w:t xml:space="preserve"> (1974</w:t>
      </w:r>
      <w:r w:rsidR="00DF2059">
        <w:t>)</w:t>
      </w:r>
      <w:r w:rsidR="00EA3269">
        <w:t xml:space="preserve">, </w:t>
      </w:r>
      <w:proofErr w:type="spellStart"/>
      <w:r w:rsidR="00EA3269">
        <w:t>Helling</w:t>
      </w:r>
      <w:proofErr w:type="spellEnd"/>
      <w:r w:rsidR="00EA3269">
        <w:t xml:space="preserve"> who was the plaintiff sued Carey, the ophthalmologist for losing her eyesight as a result of glaucoma. In this case, the defendant won the case both during original appeal and trial but when the same case was made in Supreme </w:t>
      </w:r>
      <w:r w:rsidR="00571AA2">
        <w:t>Court</w:t>
      </w:r>
      <w:r w:rsidR="00EA3269">
        <w:t xml:space="preserve"> of Washington, this verdict seems overturned in favour of plaintiff</w:t>
      </w:r>
      <w:r w:rsidR="00DF2059">
        <w:t xml:space="preserve"> (</w:t>
      </w:r>
      <w:r w:rsidR="00DF2059">
        <w:rPr>
          <w:shd w:val="clear" w:color="auto" w:fill="FFFFFF"/>
        </w:rPr>
        <w:t>Nelson III, 2001)</w:t>
      </w:r>
      <w:r w:rsidR="00571AA2">
        <w:t xml:space="preserve">. Supreme court in this case stated  that incidence of glaucoma below age of 40 is low though as </w:t>
      </w:r>
      <w:r w:rsidR="00500F15">
        <w:t>test for the concerned case</w:t>
      </w:r>
      <w:r w:rsidR="00571AA2">
        <w:t xml:space="preserve"> seem harmless and inexpensive, it should definitely be </w:t>
      </w:r>
      <w:r w:rsidR="00500F15">
        <w:t>given</w:t>
      </w:r>
      <w:r w:rsidR="00571AA2">
        <w:t xml:space="preserve"> to patient and the physician would be held liable in the case. </w:t>
      </w:r>
      <w:r w:rsidR="00026859">
        <w:t>Even,</w:t>
      </w:r>
      <w:r w:rsidR="00772D65">
        <w:t xml:space="preserve"> in </w:t>
      </w:r>
      <w:r w:rsidR="00772D65" w:rsidRPr="006F5DB0">
        <w:rPr>
          <w:i/>
          <w:u w:val="single"/>
        </w:rPr>
        <w:t>Nettleship v Weston</w:t>
      </w:r>
      <w:r w:rsidR="00772D65">
        <w:t xml:space="preserve"> (1</w:t>
      </w:r>
      <w:r w:rsidR="002521F0">
        <w:t>972), court held that standard of care for a reasonable person cannot be lowered due to the fact that defendant was a leaner as these are considered excuses under law</w:t>
      </w:r>
      <w:r w:rsidR="00772D65">
        <w:t xml:space="preserve"> (</w:t>
      </w:r>
      <w:proofErr w:type="spellStart"/>
      <w:r w:rsidR="00772D65">
        <w:rPr>
          <w:shd w:val="clear" w:color="auto" w:fill="FFFFFF"/>
        </w:rPr>
        <w:t>Mulheron</w:t>
      </w:r>
      <w:proofErr w:type="spellEnd"/>
      <w:r w:rsidR="00772D65">
        <w:rPr>
          <w:shd w:val="clear" w:color="auto" w:fill="FFFFFF"/>
        </w:rPr>
        <w:t>,  2016)</w:t>
      </w:r>
      <w:r w:rsidR="002521F0">
        <w:t xml:space="preserve">. As in the case, the defendant would be compared to a reasonably-skilled driver who is competent enough but have seem to breach duty of care. </w:t>
      </w:r>
    </w:p>
    <w:p w14:paraId="7BAE4311" w14:textId="77777777" w:rsidR="009365E3" w:rsidRDefault="00571AA2" w:rsidP="00FF0BC1">
      <w:r>
        <w:t>Further, it seems undeniable that concept relating to standard of care does vary depending on the circumstances. In certain circumstances, this concept do fit very easily. For instance, a reasonable person would not take decision for driving after taking any form of medication that may cause hallucinations to majority of people who takes medication. And, if a person decides to drive in that circumstance, they are been considered to have breached standard of care. While in some other cases, such kind of situations b</w:t>
      </w:r>
      <w:r w:rsidR="00657057">
        <w:t xml:space="preserve">ecomes quite harder determining as if an individual takes medication that cause hallucinations for 1 out of 1000 people, the reasonable person might or might not drive under such circumstances. Thus, in most of cases, this standard of care applied just to a reasonable person while in some cases, a different standard might apply. Accordingly, a doctor would be evaluated under reasonable standard for doctor in context of their medical work and this differentiation is vital as the circumstances that a doctor might face is quite different from that of an average person. In this regard, the factors that seems to raise and lower standards of care are intensity of harm, circumstances and whether the damage was avoidable. </w:t>
      </w:r>
      <w:r w:rsidR="00911459">
        <w:t>Although, court generally do not take into account standard personal characteristics</w:t>
      </w:r>
      <w:r w:rsidR="00E972E8">
        <w:t xml:space="preserve">. It sometimes is been focused on for determining whether the conduct of a person was negligent that has resulted in breach of duty. There are two important reasons </w:t>
      </w:r>
      <w:r w:rsidR="00E972E8">
        <w:lastRenderedPageBreak/>
        <w:t xml:space="preserve">for considering physical characteristics in this regard as an individual who is physically impaired could not be expected to conform to definite standard of conduct that seems impossible physically. Moreover, it is necessary for a physically challenged individual to act in a reasonable manner in light of their handicap ness and they would be held negligent while taking risk that seems unreasonable taking account of the physical limitations detailed. For instance, it would be negligent in part of a person who is blind to drive an automobile.  </w:t>
      </w:r>
      <w:r w:rsidR="00395B89">
        <w:t xml:space="preserve">This seems evident in </w:t>
      </w:r>
      <w:r w:rsidR="00395B89" w:rsidRPr="006F5DB0">
        <w:rPr>
          <w:i/>
          <w:u w:val="single"/>
        </w:rPr>
        <w:t xml:space="preserve">Mansfield v Weetabix </w:t>
      </w:r>
      <w:r w:rsidR="00772D65" w:rsidRPr="006F5DB0">
        <w:rPr>
          <w:i/>
          <w:u w:val="single"/>
        </w:rPr>
        <w:t>(1998)</w:t>
      </w:r>
      <w:r w:rsidR="00772D65">
        <w:t xml:space="preserve"> </w:t>
      </w:r>
      <w:r w:rsidR="00395B89">
        <w:t>wherein Tarleton, employee of Weetabix have no idea that he is suffering from a condition that has caused his brain malfunctioning in instances when his blood sugar level is low</w:t>
      </w:r>
      <w:r w:rsidR="00772D65">
        <w:t xml:space="preserve"> (</w:t>
      </w:r>
      <w:r w:rsidR="00772D65">
        <w:rPr>
          <w:shd w:val="clear" w:color="auto" w:fill="FFFFFF"/>
        </w:rPr>
        <w:t>Lucy, 2020)</w:t>
      </w:r>
      <w:r w:rsidR="00395B89">
        <w:t xml:space="preserve">. </w:t>
      </w:r>
      <w:r w:rsidR="00026859">
        <w:t xml:space="preserve">This is the reason he has caused various accident while driving being hypoglycaemic. </w:t>
      </w:r>
      <w:r w:rsidR="00395B89">
        <w:t xml:space="preserve"> </w:t>
      </w:r>
      <w:r w:rsidR="00026859">
        <w:t xml:space="preserve">According to court, in this regard the standard of care required by driver is expected that he should be competent despite of the physical conditions that might have caused his driving impairment and thus, it is not acceptable under tort law and thus, he was found to be liable at trial. </w:t>
      </w:r>
    </w:p>
    <w:p w14:paraId="674FD271" w14:textId="77777777" w:rsidR="009A4316" w:rsidRDefault="00566A78" w:rsidP="009A4316">
      <w:r>
        <w:t xml:space="preserve">Furthermore, </w:t>
      </w:r>
      <w:r w:rsidR="00D30830">
        <w:t xml:space="preserve">in case if the defendant seems to be engaged in a quite risky activity as horseplay or sporting, </w:t>
      </w:r>
      <w:r w:rsidR="008823DF">
        <w:t xml:space="preserve">it is expected that the individual engaged in it should know and acquire details of possible hazards or any kind of special duties inherent in that particular activity that might affect liability for exercising reasonable prudent caution. Herein, usage and custom would be taken as useful evidence for determining usual standard but the same is not determinative of how a reasonable prudent individual ought to do or know it. In this regard, it appears what ought to be done is been fixed by standard of reasonable prudence whether the same seems complied with situation or not. </w:t>
      </w:r>
      <w:r w:rsidR="00EB0DDF">
        <w:t xml:space="preserve">Thus, in context of professionals, standard of care would not be the same as reasonable person but rather care standard would be determined based on skill and knowledge of minimally competent member for a professional community.  </w:t>
      </w:r>
      <w:r w:rsidR="009A4316">
        <w:t xml:space="preserve">This is evident in </w:t>
      </w:r>
      <w:proofErr w:type="spellStart"/>
      <w:r w:rsidR="009A4316" w:rsidRPr="00044802">
        <w:rPr>
          <w:i/>
          <w:u w:val="single"/>
        </w:rPr>
        <w:t>Wilsher</w:t>
      </w:r>
      <w:proofErr w:type="spellEnd"/>
      <w:r w:rsidR="009A4316" w:rsidRPr="00044802">
        <w:rPr>
          <w:i/>
          <w:u w:val="single"/>
        </w:rPr>
        <w:t xml:space="preserve"> v Essex (1988),</w:t>
      </w:r>
      <w:r w:rsidR="009A4316">
        <w:t xml:space="preserve"> wherein an infant was been delivered prematurely after administering by junior doctor in an accidental way. The baby was then diagnosed with retinal condition that have limited child’s sight</w:t>
      </w:r>
      <w:r w:rsidR="00772D65">
        <w:t xml:space="preserve"> (</w:t>
      </w:r>
      <w:proofErr w:type="spellStart"/>
      <w:r w:rsidR="00772D65">
        <w:rPr>
          <w:shd w:val="clear" w:color="auto" w:fill="FFFFFF"/>
        </w:rPr>
        <w:t>Wilsher</w:t>
      </w:r>
      <w:proofErr w:type="spellEnd"/>
      <w:r w:rsidR="00772D65">
        <w:rPr>
          <w:shd w:val="clear" w:color="auto" w:fill="FFFFFF"/>
        </w:rPr>
        <w:t>, 1988)</w:t>
      </w:r>
      <w:r w:rsidR="009A4316">
        <w:t xml:space="preserve">. Here, the junior doctor was been held liable been a qualified doctor and not Essex Area health authority as it always falls on claimant’s part to establish likelihood for causation.  </w:t>
      </w:r>
    </w:p>
    <w:p w14:paraId="7C492F36" w14:textId="77777777" w:rsidR="00D27F5F" w:rsidRDefault="009A4316" w:rsidP="00FF0BC1">
      <w:r>
        <w:t>Thus, based on the aforementioned information’s and evidences, it is been stated that standard of care seems both way flexible and fair for defendants</w:t>
      </w:r>
      <w:r w:rsidR="00EB5B4B">
        <w:t xml:space="preserve"> and claimants and accounts criteria that the defendant is not charged for any kind of harm that actually is not caused. It too assures that claimant gets justice if the harm was foreseeable and was actually happened as a result of defendant’s fault. </w:t>
      </w:r>
      <w:r w:rsidR="006E2570">
        <w:t xml:space="preserve">Eventually, the standard of care in this context do vary widely when breach </w:t>
      </w:r>
      <w:r w:rsidR="006E2570">
        <w:lastRenderedPageBreak/>
        <w:t xml:space="preserve">has occurred as a result of carrying out a professional activity, practices that seems riskier and if actions are carried out for providing value to society. In this cases, it is quite evident that standard of care not always conform to the establish standards and differs based on circumstances, personal characteristics and profession of the individual, which could not be judged on basis of reasonable standard set for a common individual. </w:t>
      </w:r>
    </w:p>
    <w:p w14:paraId="1EA5159E" w14:textId="77777777" w:rsidR="00044802" w:rsidRDefault="00044802" w:rsidP="00044802">
      <w:pPr>
        <w:pStyle w:val="Heading1"/>
      </w:pPr>
      <w:r>
        <w:t xml:space="preserve">Conclusion </w:t>
      </w:r>
    </w:p>
    <w:p w14:paraId="3E3B1090" w14:textId="77777777" w:rsidR="00044802" w:rsidRPr="00044802" w:rsidRDefault="00044802" w:rsidP="00044802">
      <w:r>
        <w:t xml:space="preserve">Thus, to conclude, it is been stated that this study has effectively delved with whether standard of care in negligence act as a flexible balance amongst interests of claimants and defendants through taking account of cases and acts underlying tort law. </w:t>
      </w:r>
    </w:p>
    <w:p w14:paraId="7AF726B2" w14:textId="77777777" w:rsidR="00D27F5F" w:rsidRDefault="00D27F5F">
      <w:pPr>
        <w:spacing w:line="259" w:lineRule="auto"/>
        <w:jc w:val="left"/>
      </w:pPr>
      <w:r>
        <w:br w:type="page"/>
      </w:r>
    </w:p>
    <w:p w14:paraId="76947851" w14:textId="77777777" w:rsidR="00DF2059" w:rsidRDefault="00DF2059" w:rsidP="00DF2059">
      <w:pPr>
        <w:pStyle w:val="Heading1"/>
      </w:pPr>
      <w:r>
        <w:lastRenderedPageBreak/>
        <w:t>References</w:t>
      </w:r>
    </w:p>
    <w:p w14:paraId="38D8ACCB" w14:textId="77777777" w:rsidR="00772D65" w:rsidRDefault="00772D65" w:rsidP="00772D65">
      <w:pPr>
        <w:rPr>
          <w:shd w:val="clear" w:color="auto" w:fill="FFFFFF"/>
        </w:rPr>
      </w:pPr>
      <w:r>
        <w:t xml:space="preserve"> </w:t>
      </w:r>
      <w:r>
        <w:rPr>
          <w:shd w:val="clear" w:color="auto" w:fill="FFFFFF"/>
        </w:rPr>
        <w:t xml:space="preserve">Cooke, B.K., Worsham, E. and </w:t>
      </w:r>
      <w:proofErr w:type="spellStart"/>
      <w:r>
        <w:rPr>
          <w:shd w:val="clear" w:color="auto" w:fill="FFFFFF"/>
        </w:rPr>
        <w:t>Reisfield</w:t>
      </w:r>
      <w:proofErr w:type="spellEnd"/>
      <w:r>
        <w:rPr>
          <w:shd w:val="clear" w:color="auto" w:fill="FFFFFF"/>
        </w:rPr>
        <w:t>, G.M., 2017. The elusive standard of care. </w:t>
      </w:r>
      <w:r>
        <w:rPr>
          <w:i/>
          <w:iCs/>
          <w:shd w:val="clear" w:color="auto" w:fill="FFFFFF"/>
        </w:rPr>
        <w:t xml:space="preserve">J Am </w:t>
      </w:r>
      <w:proofErr w:type="spellStart"/>
      <w:r>
        <w:rPr>
          <w:i/>
          <w:iCs/>
          <w:shd w:val="clear" w:color="auto" w:fill="FFFFFF"/>
        </w:rPr>
        <w:t>Acad</w:t>
      </w:r>
      <w:proofErr w:type="spellEnd"/>
      <w:r>
        <w:rPr>
          <w:i/>
          <w:iCs/>
          <w:shd w:val="clear" w:color="auto" w:fill="FFFFFF"/>
        </w:rPr>
        <w:t xml:space="preserve"> Psychiatry Law</w:t>
      </w:r>
      <w:r>
        <w:rPr>
          <w:shd w:val="clear" w:color="auto" w:fill="FFFFFF"/>
        </w:rPr>
        <w:t>, </w:t>
      </w:r>
      <w:r>
        <w:rPr>
          <w:i/>
          <w:iCs/>
          <w:shd w:val="clear" w:color="auto" w:fill="FFFFFF"/>
        </w:rPr>
        <w:t>45</w:t>
      </w:r>
      <w:r>
        <w:rPr>
          <w:shd w:val="clear" w:color="auto" w:fill="FFFFFF"/>
        </w:rPr>
        <w:t>(3), pp.358-364.</w:t>
      </w:r>
    </w:p>
    <w:p w14:paraId="6B69BAD7" w14:textId="77777777" w:rsidR="00772D65" w:rsidRDefault="00772D65" w:rsidP="00772D65">
      <w:pPr>
        <w:rPr>
          <w:shd w:val="clear" w:color="auto" w:fill="FFFFFF"/>
        </w:rPr>
      </w:pPr>
      <w:r>
        <w:rPr>
          <w:shd w:val="clear" w:color="auto" w:fill="FFFFFF"/>
        </w:rPr>
        <w:t>Foley, M. and Christensen, M., 2016. Negligence and the Duty of Care: A Case Study Discussion. </w:t>
      </w:r>
      <w:r>
        <w:rPr>
          <w:i/>
          <w:iCs/>
          <w:shd w:val="clear" w:color="auto" w:fill="FFFFFF"/>
        </w:rPr>
        <w:t>Singapore Nursing Journal</w:t>
      </w:r>
      <w:r>
        <w:rPr>
          <w:shd w:val="clear" w:color="auto" w:fill="FFFFFF"/>
        </w:rPr>
        <w:t>, </w:t>
      </w:r>
      <w:r>
        <w:rPr>
          <w:i/>
          <w:iCs/>
          <w:shd w:val="clear" w:color="auto" w:fill="FFFFFF"/>
        </w:rPr>
        <w:t>43</w:t>
      </w:r>
      <w:r>
        <w:rPr>
          <w:shd w:val="clear" w:color="auto" w:fill="FFFFFF"/>
        </w:rPr>
        <w:t>(1).</w:t>
      </w:r>
    </w:p>
    <w:p w14:paraId="5231B4CD" w14:textId="77777777" w:rsidR="00772D65" w:rsidRDefault="00772D65" w:rsidP="00772D65">
      <w:pPr>
        <w:rPr>
          <w:shd w:val="clear" w:color="auto" w:fill="FFFFFF"/>
        </w:rPr>
      </w:pPr>
      <w:r>
        <w:rPr>
          <w:shd w:val="clear" w:color="auto" w:fill="FFFFFF"/>
        </w:rPr>
        <w:t>He, Q., Feng, J.L. and Huang, W.Y., 2016, August. Law of Negligence: Duty of Care, Standard of Care, and the Notion of Personal Responsibility. In </w:t>
      </w:r>
      <w:r>
        <w:rPr>
          <w:i/>
          <w:iCs/>
          <w:shd w:val="clear" w:color="auto" w:fill="FFFFFF"/>
        </w:rPr>
        <w:t>2016 International Conference on Management Science and Management Innovation</w:t>
      </w:r>
      <w:r>
        <w:rPr>
          <w:shd w:val="clear" w:color="auto" w:fill="FFFFFF"/>
        </w:rPr>
        <w:t> (pp. 1-4). Atlantis Press.</w:t>
      </w:r>
    </w:p>
    <w:p w14:paraId="57F20F7D" w14:textId="77777777" w:rsidR="00772D65" w:rsidRDefault="00772D65" w:rsidP="00772D65">
      <w:pPr>
        <w:rPr>
          <w:shd w:val="clear" w:color="auto" w:fill="FFFFFF"/>
        </w:rPr>
      </w:pPr>
      <w:r>
        <w:rPr>
          <w:shd w:val="clear" w:color="auto" w:fill="FFFFFF"/>
        </w:rPr>
        <w:t xml:space="preserve">Lucy, W., 2020. Law's Abstract Judgement and Language as' the House of </w:t>
      </w:r>
      <w:proofErr w:type="spellStart"/>
      <w:r>
        <w:rPr>
          <w:shd w:val="clear" w:color="auto" w:fill="FFFFFF"/>
        </w:rPr>
        <w:t>Being'Law's</w:t>
      </w:r>
      <w:proofErr w:type="spellEnd"/>
      <w:r>
        <w:rPr>
          <w:shd w:val="clear" w:color="auto" w:fill="FFFFFF"/>
        </w:rPr>
        <w:t xml:space="preserve"> Judgement.</w:t>
      </w:r>
    </w:p>
    <w:p w14:paraId="7C490147" w14:textId="77777777" w:rsidR="00772D65" w:rsidRDefault="00772D65" w:rsidP="00772D65">
      <w:pPr>
        <w:rPr>
          <w:shd w:val="clear" w:color="auto" w:fill="FFFFFF"/>
        </w:rPr>
      </w:pPr>
      <w:r>
        <w:rPr>
          <w:shd w:val="clear" w:color="auto" w:fill="FFFFFF"/>
        </w:rPr>
        <w:t xml:space="preserve">McNair, J., 1957. </w:t>
      </w:r>
      <w:proofErr w:type="spellStart"/>
      <w:r>
        <w:rPr>
          <w:shd w:val="clear" w:color="auto" w:fill="FFFFFF"/>
        </w:rPr>
        <w:t>Bolam</w:t>
      </w:r>
      <w:proofErr w:type="spellEnd"/>
      <w:r>
        <w:rPr>
          <w:shd w:val="clear" w:color="auto" w:fill="FFFFFF"/>
        </w:rPr>
        <w:t xml:space="preserve"> v Friern Hospital Management Committee.</w:t>
      </w:r>
    </w:p>
    <w:p w14:paraId="17C2FCF4" w14:textId="77777777" w:rsidR="00772D65" w:rsidRDefault="00772D65" w:rsidP="00772D65">
      <w:pPr>
        <w:rPr>
          <w:shd w:val="clear" w:color="auto" w:fill="FFFFFF"/>
        </w:rPr>
      </w:pPr>
      <w:r>
        <w:rPr>
          <w:shd w:val="clear" w:color="auto" w:fill="FFFFFF"/>
        </w:rPr>
        <w:t>Moffett, P. and Moore, G., 2011. The standard of care: legal history and definitions: the bad and good news. </w:t>
      </w:r>
      <w:r>
        <w:rPr>
          <w:i/>
          <w:iCs/>
          <w:shd w:val="clear" w:color="auto" w:fill="FFFFFF"/>
        </w:rPr>
        <w:t>Western Journal of Emergency Medicine</w:t>
      </w:r>
      <w:r>
        <w:rPr>
          <w:shd w:val="clear" w:color="auto" w:fill="FFFFFF"/>
        </w:rPr>
        <w:t>, </w:t>
      </w:r>
      <w:r>
        <w:rPr>
          <w:i/>
          <w:iCs/>
          <w:shd w:val="clear" w:color="auto" w:fill="FFFFFF"/>
        </w:rPr>
        <w:t>12</w:t>
      </w:r>
      <w:r>
        <w:rPr>
          <w:shd w:val="clear" w:color="auto" w:fill="FFFFFF"/>
        </w:rPr>
        <w:t>(1), p.109.</w:t>
      </w:r>
    </w:p>
    <w:p w14:paraId="2E6ECF5E" w14:textId="77777777" w:rsidR="00772D65" w:rsidRDefault="00772D65" w:rsidP="00772D65">
      <w:pPr>
        <w:rPr>
          <w:shd w:val="clear" w:color="auto" w:fill="FFFFFF"/>
        </w:rPr>
      </w:pPr>
      <w:proofErr w:type="spellStart"/>
      <w:r>
        <w:rPr>
          <w:shd w:val="clear" w:color="auto" w:fill="FFFFFF"/>
        </w:rPr>
        <w:t>Mulheron</w:t>
      </w:r>
      <w:proofErr w:type="spellEnd"/>
      <w:r>
        <w:rPr>
          <w:shd w:val="clear" w:color="auto" w:fill="FFFFFF"/>
        </w:rPr>
        <w:t>, R., 2016. </w:t>
      </w:r>
      <w:r>
        <w:rPr>
          <w:i/>
          <w:iCs/>
          <w:shd w:val="clear" w:color="auto" w:fill="FFFFFF"/>
        </w:rPr>
        <w:t>Principles of tort law</w:t>
      </w:r>
      <w:r>
        <w:rPr>
          <w:shd w:val="clear" w:color="auto" w:fill="FFFFFF"/>
        </w:rPr>
        <w:t>. Cambridge University Press.</w:t>
      </w:r>
    </w:p>
    <w:p w14:paraId="6C1621DC" w14:textId="77777777" w:rsidR="00772D65" w:rsidRDefault="00772D65" w:rsidP="00772D65">
      <w:pPr>
        <w:rPr>
          <w:shd w:val="clear" w:color="auto" w:fill="FFFFFF"/>
        </w:rPr>
      </w:pPr>
      <w:r>
        <w:rPr>
          <w:shd w:val="clear" w:color="auto" w:fill="FFFFFF"/>
        </w:rPr>
        <w:t xml:space="preserve">Nelson III, L.J., 2001. </w:t>
      </w:r>
      <w:proofErr w:type="spellStart"/>
      <w:r>
        <w:rPr>
          <w:shd w:val="clear" w:color="auto" w:fill="FFFFFF"/>
        </w:rPr>
        <w:t>Helling</w:t>
      </w:r>
      <w:proofErr w:type="spellEnd"/>
      <w:r>
        <w:rPr>
          <w:shd w:val="clear" w:color="auto" w:fill="FFFFFF"/>
        </w:rPr>
        <w:t xml:space="preserve"> v. Carey Revisited: Physician Liability in the Age of Managed Care. </w:t>
      </w:r>
      <w:r>
        <w:rPr>
          <w:i/>
          <w:iCs/>
          <w:shd w:val="clear" w:color="auto" w:fill="FFFFFF"/>
        </w:rPr>
        <w:t>Seattle UL Rev.</w:t>
      </w:r>
      <w:r>
        <w:rPr>
          <w:shd w:val="clear" w:color="auto" w:fill="FFFFFF"/>
        </w:rPr>
        <w:t>, </w:t>
      </w:r>
      <w:r>
        <w:rPr>
          <w:i/>
          <w:iCs/>
          <w:shd w:val="clear" w:color="auto" w:fill="FFFFFF"/>
        </w:rPr>
        <w:t>25</w:t>
      </w:r>
      <w:r>
        <w:rPr>
          <w:shd w:val="clear" w:color="auto" w:fill="FFFFFF"/>
        </w:rPr>
        <w:t>, p.775.</w:t>
      </w:r>
    </w:p>
    <w:p w14:paraId="281DF786" w14:textId="77777777" w:rsidR="00772D65" w:rsidRDefault="00772D65" w:rsidP="00772D65">
      <w:pPr>
        <w:rPr>
          <w:shd w:val="clear" w:color="auto" w:fill="FFFFFF"/>
        </w:rPr>
      </w:pPr>
      <w:r>
        <w:rPr>
          <w:shd w:val="clear" w:color="auto" w:fill="FFFFFF"/>
        </w:rPr>
        <w:t>Oliphant, K., 2017. Rationalising tort law for the Twenty-First century. In </w:t>
      </w:r>
      <w:r>
        <w:rPr>
          <w:i/>
          <w:iCs/>
          <w:shd w:val="clear" w:color="auto" w:fill="FFFFFF"/>
        </w:rPr>
        <w:t>Private Law in the 21st Century</w:t>
      </w:r>
      <w:r>
        <w:rPr>
          <w:shd w:val="clear" w:color="auto" w:fill="FFFFFF"/>
        </w:rPr>
        <w:t> (pp. 47-65). Hart Publishing.</w:t>
      </w:r>
    </w:p>
    <w:p w14:paraId="20AD9A3C" w14:textId="77777777" w:rsidR="00772D65" w:rsidRDefault="00772D65" w:rsidP="00772D65">
      <w:pPr>
        <w:rPr>
          <w:shd w:val="clear" w:color="auto" w:fill="FFFFFF"/>
        </w:rPr>
      </w:pPr>
      <w:r>
        <w:rPr>
          <w:shd w:val="clear" w:color="auto" w:fill="FFFFFF"/>
        </w:rPr>
        <w:t>Roe, V., 1954. Minister of Health; Woolley v.</w:t>
      </w:r>
    </w:p>
    <w:p w14:paraId="3F02BF5F" w14:textId="77777777" w:rsidR="00772D65" w:rsidRDefault="00772D65" w:rsidP="00772D65">
      <w:pPr>
        <w:rPr>
          <w:shd w:val="clear" w:color="auto" w:fill="FFFFFF"/>
        </w:rPr>
      </w:pPr>
      <w:proofErr w:type="spellStart"/>
      <w:r>
        <w:rPr>
          <w:shd w:val="clear" w:color="auto" w:fill="FFFFFF"/>
        </w:rPr>
        <w:t>Udemezue</w:t>
      </w:r>
      <w:proofErr w:type="spellEnd"/>
      <w:r>
        <w:rPr>
          <w:shd w:val="clear" w:color="auto" w:fill="FFFFFF"/>
        </w:rPr>
        <w:t xml:space="preserve">, S. and </w:t>
      </w:r>
      <w:proofErr w:type="spellStart"/>
      <w:r>
        <w:rPr>
          <w:shd w:val="clear" w:color="auto" w:fill="FFFFFF"/>
        </w:rPr>
        <w:t>Ojeih</w:t>
      </w:r>
      <w:proofErr w:type="spellEnd"/>
      <w:r>
        <w:rPr>
          <w:shd w:val="clear" w:color="auto" w:fill="FFFFFF"/>
        </w:rPr>
        <w:t>, C.A., 2021. A Critical Analysis of the Role of Courts in Determining Breach of Duty of Care in the Law of Torts. </w:t>
      </w:r>
      <w:r>
        <w:rPr>
          <w:i/>
          <w:iCs/>
          <w:shd w:val="clear" w:color="auto" w:fill="FFFFFF"/>
        </w:rPr>
        <w:t>Available at SSRN 3840080</w:t>
      </w:r>
      <w:r>
        <w:rPr>
          <w:shd w:val="clear" w:color="auto" w:fill="FFFFFF"/>
        </w:rPr>
        <w:t>.</w:t>
      </w:r>
    </w:p>
    <w:p w14:paraId="6774759A" w14:textId="77777777" w:rsidR="00772D65" w:rsidRPr="00B55F2F" w:rsidRDefault="00772D65" w:rsidP="00772D65">
      <w:proofErr w:type="spellStart"/>
      <w:r>
        <w:rPr>
          <w:shd w:val="clear" w:color="auto" w:fill="FFFFFF"/>
        </w:rPr>
        <w:t>Wilsher</w:t>
      </w:r>
      <w:proofErr w:type="spellEnd"/>
      <w:r>
        <w:rPr>
          <w:shd w:val="clear" w:color="auto" w:fill="FFFFFF"/>
        </w:rPr>
        <w:t>, V., 1988. Essex Area Health Authority. </w:t>
      </w:r>
      <w:r>
        <w:rPr>
          <w:i/>
          <w:iCs/>
          <w:shd w:val="clear" w:color="auto" w:fill="FFFFFF"/>
        </w:rPr>
        <w:t>House of Lords</w:t>
      </w:r>
      <w:r>
        <w:rPr>
          <w:shd w:val="clear" w:color="auto" w:fill="FFFFFF"/>
        </w:rPr>
        <w:t>, </w:t>
      </w:r>
      <w:r>
        <w:rPr>
          <w:i/>
          <w:iCs/>
          <w:shd w:val="clear" w:color="auto" w:fill="FFFFFF"/>
        </w:rPr>
        <w:t>1</w:t>
      </w:r>
      <w:r>
        <w:rPr>
          <w:shd w:val="clear" w:color="auto" w:fill="FFFFFF"/>
        </w:rPr>
        <w:t>.</w:t>
      </w:r>
    </w:p>
    <w:sectPr w:rsidR="00772D65" w:rsidRPr="00B55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78ED"/>
    <w:rsid w:val="00006CB1"/>
    <w:rsid w:val="00026859"/>
    <w:rsid w:val="00044802"/>
    <w:rsid w:val="000718ED"/>
    <w:rsid w:val="002521F0"/>
    <w:rsid w:val="002612D1"/>
    <w:rsid w:val="00292191"/>
    <w:rsid w:val="00395B89"/>
    <w:rsid w:val="003F1815"/>
    <w:rsid w:val="00403FDB"/>
    <w:rsid w:val="00437A8A"/>
    <w:rsid w:val="00463377"/>
    <w:rsid w:val="004A675F"/>
    <w:rsid w:val="00500F15"/>
    <w:rsid w:val="00521DBA"/>
    <w:rsid w:val="005302C2"/>
    <w:rsid w:val="00554A60"/>
    <w:rsid w:val="00566A78"/>
    <w:rsid w:val="00571AA2"/>
    <w:rsid w:val="005765F5"/>
    <w:rsid w:val="005E48D7"/>
    <w:rsid w:val="00612FF8"/>
    <w:rsid w:val="0062077E"/>
    <w:rsid w:val="00632DF2"/>
    <w:rsid w:val="00657057"/>
    <w:rsid w:val="006E2570"/>
    <w:rsid w:val="006F5DB0"/>
    <w:rsid w:val="006F7FF2"/>
    <w:rsid w:val="00772D65"/>
    <w:rsid w:val="007B283A"/>
    <w:rsid w:val="0080049D"/>
    <w:rsid w:val="00860D21"/>
    <w:rsid w:val="008823DF"/>
    <w:rsid w:val="008E611F"/>
    <w:rsid w:val="00911459"/>
    <w:rsid w:val="0091244F"/>
    <w:rsid w:val="009200B6"/>
    <w:rsid w:val="009365E3"/>
    <w:rsid w:val="009655CE"/>
    <w:rsid w:val="00997BE2"/>
    <w:rsid w:val="009A4316"/>
    <w:rsid w:val="009C4628"/>
    <w:rsid w:val="009E6392"/>
    <w:rsid w:val="00AB78ED"/>
    <w:rsid w:val="00B52AF7"/>
    <w:rsid w:val="00B55F2F"/>
    <w:rsid w:val="00CA47FC"/>
    <w:rsid w:val="00D27F5F"/>
    <w:rsid w:val="00D30830"/>
    <w:rsid w:val="00D4564A"/>
    <w:rsid w:val="00D726ED"/>
    <w:rsid w:val="00DF2059"/>
    <w:rsid w:val="00E17BA2"/>
    <w:rsid w:val="00E972E8"/>
    <w:rsid w:val="00EA3269"/>
    <w:rsid w:val="00EB0DDF"/>
    <w:rsid w:val="00EB5B4B"/>
    <w:rsid w:val="00F45B74"/>
    <w:rsid w:val="00FF0B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49801"/>
  <w15:chartTrackingRefBased/>
  <w15:docId w15:val="{24C1D150-2742-4B59-A404-CC52242D8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F2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F20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55F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F2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F205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2541</Words>
  <Characters>14488</Characters>
  <Application>Microsoft Office Word</Application>
  <DocSecurity>4</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RAJASHREE_DUTTA</dc:creator>
  <cp:keywords/>
  <dc:description/>
  <cp:lastModifiedBy>Faisal Shamsdin</cp:lastModifiedBy>
  <cp:revision>2</cp:revision>
  <dcterms:created xsi:type="dcterms:W3CDTF">2021-11-12T10:38:00Z</dcterms:created>
  <dcterms:modified xsi:type="dcterms:W3CDTF">2021-11-12T10:38:00Z</dcterms:modified>
</cp:coreProperties>
</file>