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99001394"/>
        <w:docPartObj>
          <w:docPartGallery w:val="Cover Pages"/>
          <w:docPartUnique/>
        </w:docPartObj>
      </w:sdtPr>
      <w:sdtEndPr>
        <w:rPr>
          <w:b/>
          <w:bCs/>
          <w:color w:val="auto"/>
          <w:u w:val="single"/>
        </w:rPr>
      </w:sdtEndPr>
      <w:sdtContent>
        <w:p w14:paraId="70CEBB5E" w14:textId="2C1D813B" w:rsidR="00123DF8" w:rsidRDefault="00123DF8">
          <w:pPr>
            <w:pStyle w:val="NoSpacing"/>
            <w:spacing w:before="1540" w:after="240"/>
            <w:jc w:val="center"/>
            <w:rPr>
              <w:color w:val="4472C4" w:themeColor="accent1"/>
            </w:rPr>
          </w:pPr>
          <w:r>
            <w:rPr>
              <w:noProof/>
              <w:color w:val="4472C4" w:themeColor="accent1"/>
            </w:rPr>
            <w:drawing>
              <wp:inline distT="0" distB="0" distL="0" distR="0" wp14:anchorId="79C04414" wp14:editId="6000B93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8D806C68DD474CB18188EB2EE980724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5F700DB" w14:textId="643B3971" w:rsidR="00123DF8" w:rsidRDefault="00123DF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Graveyard survey</w:t>
              </w:r>
            </w:p>
          </w:sdtContent>
        </w:sdt>
        <w:sdt>
          <w:sdtPr>
            <w:rPr>
              <w:color w:val="4472C4" w:themeColor="accent1"/>
              <w:sz w:val="28"/>
              <w:szCs w:val="28"/>
            </w:rPr>
            <w:alias w:val="Subtitle"/>
            <w:tag w:val=""/>
            <w:id w:val="328029620"/>
            <w:placeholder>
              <w:docPart w:val="70236AF701AA413FA3CE13BEBB2B4611"/>
            </w:placeholder>
            <w:dataBinding w:prefixMappings="xmlns:ns0='http://purl.org/dc/elements/1.1/' xmlns:ns1='http://schemas.openxmlformats.org/package/2006/metadata/core-properties' " w:xpath="/ns1:coreProperties[1]/ns0:subject[1]" w:storeItemID="{6C3C8BC8-F283-45AE-878A-BAB7291924A1}"/>
            <w:text/>
          </w:sdtPr>
          <w:sdtEndPr/>
          <w:sdtContent>
            <w:p w14:paraId="2FE8A734" w14:textId="6602A849" w:rsidR="00123DF8" w:rsidRDefault="00123DF8">
              <w:pPr>
                <w:pStyle w:val="NoSpacing"/>
                <w:jc w:val="center"/>
                <w:rPr>
                  <w:color w:val="4472C4" w:themeColor="accent1"/>
                  <w:sz w:val="28"/>
                  <w:szCs w:val="28"/>
                </w:rPr>
              </w:pPr>
              <w:r>
                <w:rPr>
                  <w:color w:val="4472C4" w:themeColor="accent1"/>
                  <w:sz w:val="28"/>
                  <w:szCs w:val="28"/>
                </w:rPr>
                <w:t>Reflections of attitudes towards child mortality and the representation of children on gravestones</w:t>
              </w:r>
            </w:p>
          </w:sdtContent>
        </w:sdt>
        <w:p w14:paraId="0B6340F9" w14:textId="77777777" w:rsidR="00123DF8" w:rsidRDefault="00123DF8">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6CF2A4F" wp14:editId="2496E7A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1-26T00:00:00Z">
                                    <w:dateFormat w:val="MMMM d, yyyy"/>
                                    <w:lid w:val="en-US"/>
                                    <w:storeMappedDataAs w:val="dateTime"/>
                                    <w:calendar w:val="gregorian"/>
                                  </w:date>
                                </w:sdtPr>
                                <w:sdtEndPr/>
                                <w:sdtContent>
                                  <w:p w14:paraId="1094883F" w14:textId="04E64E7D" w:rsidR="00123DF8" w:rsidRDefault="00123DF8">
                                    <w:pPr>
                                      <w:pStyle w:val="NoSpacing"/>
                                      <w:spacing w:after="40"/>
                                      <w:jc w:val="center"/>
                                      <w:rPr>
                                        <w:caps/>
                                        <w:color w:val="4472C4" w:themeColor="accent1"/>
                                        <w:sz w:val="28"/>
                                        <w:szCs w:val="28"/>
                                      </w:rPr>
                                    </w:pPr>
                                    <w:r>
                                      <w:rPr>
                                        <w:caps/>
                                        <w:color w:val="4472C4" w:themeColor="accent1"/>
                                        <w:sz w:val="28"/>
                                        <w:szCs w:val="28"/>
                                      </w:rPr>
                                      <w:t>January 26, 2020</w:t>
                                    </w:r>
                                  </w:p>
                                </w:sdtContent>
                              </w:sdt>
                              <w:p w14:paraId="2D3B95F4" w14:textId="045074A4" w:rsidR="00123DF8" w:rsidRDefault="007104B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23DF8">
                                      <w:rPr>
                                        <w:caps/>
                                        <w:color w:val="4472C4" w:themeColor="accent1"/>
                                      </w:rPr>
                                      <w:t>Naome wrightson</w:t>
                                    </w:r>
                                  </w:sdtContent>
                                </w:sdt>
                              </w:p>
                              <w:p w14:paraId="61F48CE7" w14:textId="5340BD49" w:rsidR="00123DF8" w:rsidRDefault="007104B4">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123DF8">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6CF2A4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1-26T00:00:00Z">
                              <w:dateFormat w:val="MMMM d, yyyy"/>
                              <w:lid w:val="en-US"/>
                              <w:storeMappedDataAs w:val="dateTime"/>
                              <w:calendar w:val="gregorian"/>
                            </w:date>
                          </w:sdtPr>
                          <w:sdtEndPr/>
                          <w:sdtContent>
                            <w:p w14:paraId="1094883F" w14:textId="04E64E7D" w:rsidR="00123DF8" w:rsidRDefault="00123DF8">
                              <w:pPr>
                                <w:pStyle w:val="NoSpacing"/>
                                <w:spacing w:after="40"/>
                                <w:jc w:val="center"/>
                                <w:rPr>
                                  <w:caps/>
                                  <w:color w:val="4472C4" w:themeColor="accent1"/>
                                  <w:sz w:val="28"/>
                                  <w:szCs w:val="28"/>
                                </w:rPr>
                              </w:pPr>
                              <w:r>
                                <w:rPr>
                                  <w:caps/>
                                  <w:color w:val="4472C4" w:themeColor="accent1"/>
                                  <w:sz w:val="28"/>
                                  <w:szCs w:val="28"/>
                                </w:rPr>
                                <w:t>January 26, 2020</w:t>
                              </w:r>
                            </w:p>
                          </w:sdtContent>
                        </w:sdt>
                        <w:p w14:paraId="2D3B95F4" w14:textId="045074A4" w:rsidR="00123DF8" w:rsidRDefault="007104B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23DF8">
                                <w:rPr>
                                  <w:caps/>
                                  <w:color w:val="4472C4" w:themeColor="accent1"/>
                                </w:rPr>
                                <w:t>Naome wrightson</w:t>
                              </w:r>
                            </w:sdtContent>
                          </w:sdt>
                        </w:p>
                        <w:p w14:paraId="61F48CE7" w14:textId="5340BD49" w:rsidR="00123DF8" w:rsidRDefault="007104B4">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123DF8">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4C429C8E" wp14:editId="327CE31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011D923" w14:textId="5C927280" w:rsidR="00123DF8" w:rsidRDefault="00123DF8">
          <w:pPr>
            <w:rPr>
              <w:b/>
              <w:bCs/>
              <w:u w:val="single"/>
            </w:rPr>
          </w:pPr>
          <w:r>
            <w:rPr>
              <w:b/>
              <w:bCs/>
              <w:u w:val="single"/>
            </w:rPr>
            <w:br w:type="page"/>
          </w:r>
        </w:p>
      </w:sdtContent>
    </w:sdt>
    <w:p w14:paraId="5C2EB05A" w14:textId="66517BF9" w:rsidR="00123DF8" w:rsidRDefault="005500AC">
      <w:pPr>
        <w:rPr>
          <w:b/>
          <w:bCs/>
        </w:rPr>
      </w:pPr>
      <w:r>
        <w:rPr>
          <w:b/>
          <w:bCs/>
        </w:rPr>
        <w:lastRenderedPageBreak/>
        <w:t>Acknowledgments</w:t>
      </w:r>
    </w:p>
    <w:p w14:paraId="5F0DECED" w14:textId="5F781C17" w:rsidR="005500AC" w:rsidRDefault="005500AC">
      <w:r w:rsidRPr="004401F3">
        <w:t xml:space="preserve">Quentin Drew and Ros </w:t>
      </w:r>
      <w:proofErr w:type="spellStart"/>
      <w:r w:rsidRPr="004401F3">
        <w:t>Coard</w:t>
      </w:r>
      <w:proofErr w:type="spellEnd"/>
      <w:r w:rsidRPr="004401F3">
        <w:t xml:space="preserve"> </w:t>
      </w:r>
      <w:r w:rsidR="004401F3">
        <w:t>–</w:t>
      </w:r>
      <w:r w:rsidRPr="004401F3">
        <w:t xml:space="preserve"> </w:t>
      </w:r>
      <w:proofErr w:type="spellStart"/>
      <w:r w:rsidR="004401F3">
        <w:t>Accedemic</w:t>
      </w:r>
      <w:proofErr w:type="spellEnd"/>
      <w:r w:rsidR="004401F3">
        <w:t xml:space="preserve"> support</w:t>
      </w:r>
    </w:p>
    <w:p w14:paraId="1DDA7B92" w14:textId="300C8798" w:rsidR="004401F3" w:rsidRDefault="007104B4">
      <w:r>
        <w:t>Lydia Stokes, Bronwyn Kirk, Matthew Morris – support during data collection</w:t>
      </w:r>
    </w:p>
    <w:p w14:paraId="6BBA9DAB" w14:textId="77777777" w:rsidR="007104B4" w:rsidRPr="004401F3" w:rsidRDefault="007104B4">
      <w:bookmarkStart w:id="0" w:name="_GoBack"/>
      <w:bookmarkEnd w:id="0"/>
    </w:p>
    <w:p w14:paraId="084AA233" w14:textId="77777777" w:rsidR="00123DF8" w:rsidRDefault="00123DF8">
      <w:pPr>
        <w:rPr>
          <w:b/>
          <w:bCs/>
          <w:u w:val="single"/>
        </w:rPr>
      </w:pPr>
    </w:p>
    <w:p w14:paraId="70FEDEAC" w14:textId="77777777" w:rsidR="00123DF8" w:rsidRDefault="00123DF8">
      <w:pPr>
        <w:rPr>
          <w:b/>
          <w:bCs/>
          <w:u w:val="single"/>
        </w:rPr>
      </w:pPr>
    </w:p>
    <w:p w14:paraId="390322F8" w14:textId="77777777" w:rsidR="00123DF8" w:rsidRDefault="00123DF8">
      <w:pPr>
        <w:rPr>
          <w:b/>
          <w:bCs/>
          <w:u w:val="single"/>
        </w:rPr>
      </w:pPr>
    </w:p>
    <w:p w14:paraId="57161142" w14:textId="77777777" w:rsidR="00123DF8" w:rsidRDefault="00123DF8">
      <w:pPr>
        <w:rPr>
          <w:b/>
          <w:bCs/>
          <w:u w:val="single"/>
        </w:rPr>
      </w:pPr>
    </w:p>
    <w:p w14:paraId="2E684E10" w14:textId="77777777" w:rsidR="00123DF8" w:rsidRDefault="00123DF8">
      <w:pPr>
        <w:rPr>
          <w:b/>
          <w:bCs/>
          <w:u w:val="single"/>
        </w:rPr>
      </w:pPr>
    </w:p>
    <w:p w14:paraId="53491E96" w14:textId="77777777" w:rsidR="00123DF8" w:rsidRDefault="00123DF8">
      <w:pPr>
        <w:rPr>
          <w:b/>
          <w:bCs/>
          <w:u w:val="single"/>
        </w:rPr>
      </w:pPr>
    </w:p>
    <w:p w14:paraId="768E2534" w14:textId="77777777" w:rsidR="00123DF8" w:rsidRDefault="00123DF8">
      <w:pPr>
        <w:rPr>
          <w:b/>
          <w:bCs/>
          <w:u w:val="single"/>
        </w:rPr>
      </w:pPr>
    </w:p>
    <w:p w14:paraId="28D7800A" w14:textId="77777777" w:rsidR="00123DF8" w:rsidRDefault="00123DF8">
      <w:pPr>
        <w:rPr>
          <w:b/>
          <w:bCs/>
          <w:u w:val="single"/>
        </w:rPr>
      </w:pPr>
    </w:p>
    <w:p w14:paraId="362E62F5" w14:textId="77777777" w:rsidR="00123DF8" w:rsidRDefault="00123DF8">
      <w:pPr>
        <w:rPr>
          <w:b/>
          <w:bCs/>
          <w:u w:val="single"/>
        </w:rPr>
      </w:pPr>
    </w:p>
    <w:p w14:paraId="3B179763" w14:textId="77777777" w:rsidR="00123DF8" w:rsidRDefault="00123DF8">
      <w:pPr>
        <w:rPr>
          <w:b/>
          <w:bCs/>
          <w:u w:val="single"/>
        </w:rPr>
      </w:pPr>
    </w:p>
    <w:p w14:paraId="08C7976D" w14:textId="77777777" w:rsidR="00123DF8" w:rsidRDefault="00123DF8">
      <w:pPr>
        <w:rPr>
          <w:b/>
          <w:bCs/>
          <w:u w:val="single"/>
        </w:rPr>
      </w:pPr>
    </w:p>
    <w:p w14:paraId="2C89F9EC" w14:textId="77777777" w:rsidR="00123DF8" w:rsidRDefault="00123DF8">
      <w:pPr>
        <w:rPr>
          <w:b/>
          <w:bCs/>
          <w:u w:val="single"/>
        </w:rPr>
      </w:pPr>
    </w:p>
    <w:p w14:paraId="3AF28F03" w14:textId="77777777" w:rsidR="00123DF8" w:rsidRDefault="00123DF8">
      <w:pPr>
        <w:rPr>
          <w:b/>
          <w:bCs/>
          <w:u w:val="single"/>
        </w:rPr>
      </w:pPr>
    </w:p>
    <w:p w14:paraId="75F917A1" w14:textId="77777777" w:rsidR="00123DF8" w:rsidRDefault="00123DF8">
      <w:pPr>
        <w:rPr>
          <w:b/>
          <w:bCs/>
          <w:u w:val="single"/>
        </w:rPr>
      </w:pPr>
    </w:p>
    <w:p w14:paraId="288D9716" w14:textId="77777777" w:rsidR="00123DF8" w:rsidRDefault="00123DF8">
      <w:pPr>
        <w:rPr>
          <w:b/>
          <w:bCs/>
          <w:u w:val="single"/>
        </w:rPr>
      </w:pPr>
    </w:p>
    <w:p w14:paraId="5B435EAD" w14:textId="77777777" w:rsidR="00123DF8" w:rsidRDefault="00123DF8">
      <w:pPr>
        <w:rPr>
          <w:b/>
          <w:bCs/>
          <w:u w:val="single"/>
        </w:rPr>
      </w:pPr>
    </w:p>
    <w:p w14:paraId="3F73330B" w14:textId="77777777" w:rsidR="00123DF8" w:rsidRDefault="00123DF8">
      <w:pPr>
        <w:rPr>
          <w:b/>
          <w:bCs/>
          <w:u w:val="single"/>
        </w:rPr>
      </w:pPr>
    </w:p>
    <w:p w14:paraId="7E853285" w14:textId="77777777" w:rsidR="00123DF8" w:rsidRDefault="00123DF8">
      <w:pPr>
        <w:rPr>
          <w:b/>
          <w:bCs/>
          <w:u w:val="single"/>
        </w:rPr>
      </w:pPr>
    </w:p>
    <w:p w14:paraId="50F859F2" w14:textId="77777777" w:rsidR="00123DF8" w:rsidRDefault="00123DF8">
      <w:pPr>
        <w:rPr>
          <w:b/>
          <w:bCs/>
          <w:u w:val="single"/>
        </w:rPr>
      </w:pPr>
    </w:p>
    <w:p w14:paraId="1BD0F2F7" w14:textId="77777777" w:rsidR="00123DF8" w:rsidRDefault="00123DF8">
      <w:pPr>
        <w:rPr>
          <w:b/>
          <w:bCs/>
          <w:u w:val="single"/>
        </w:rPr>
      </w:pPr>
    </w:p>
    <w:p w14:paraId="0902B205" w14:textId="77777777" w:rsidR="00123DF8" w:rsidRDefault="00123DF8">
      <w:pPr>
        <w:rPr>
          <w:b/>
          <w:bCs/>
          <w:u w:val="single"/>
        </w:rPr>
      </w:pPr>
    </w:p>
    <w:p w14:paraId="4BBD019E" w14:textId="77777777" w:rsidR="00123DF8" w:rsidRDefault="00123DF8">
      <w:pPr>
        <w:rPr>
          <w:b/>
          <w:bCs/>
          <w:u w:val="single"/>
        </w:rPr>
      </w:pPr>
    </w:p>
    <w:p w14:paraId="23C9E6DC" w14:textId="77777777" w:rsidR="00123DF8" w:rsidRDefault="00123DF8">
      <w:pPr>
        <w:rPr>
          <w:b/>
          <w:bCs/>
          <w:u w:val="single"/>
        </w:rPr>
      </w:pPr>
    </w:p>
    <w:p w14:paraId="07628D75" w14:textId="77777777" w:rsidR="00123DF8" w:rsidRDefault="00123DF8">
      <w:pPr>
        <w:rPr>
          <w:b/>
          <w:bCs/>
          <w:u w:val="single"/>
        </w:rPr>
      </w:pPr>
    </w:p>
    <w:p w14:paraId="36691054" w14:textId="77777777" w:rsidR="00123DF8" w:rsidRDefault="00123DF8">
      <w:pPr>
        <w:rPr>
          <w:b/>
          <w:bCs/>
          <w:u w:val="single"/>
        </w:rPr>
      </w:pPr>
    </w:p>
    <w:p w14:paraId="6F4C2282" w14:textId="77777777" w:rsidR="00123DF8" w:rsidRDefault="00123DF8">
      <w:pPr>
        <w:rPr>
          <w:b/>
          <w:bCs/>
          <w:u w:val="single"/>
        </w:rPr>
      </w:pPr>
    </w:p>
    <w:p w14:paraId="3E23ADAC" w14:textId="1E377C32" w:rsidR="00123DF8" w:rsidRDefault="00123DF8">
      <w:pPr>
        <w:rPr>
          <w:b/>
          <w:bCs/>
          <w:u w:val="single"/>
        </w:rPr>
      </w:pPr>
    </w:p>
    <w:p w14:paraId="51A43CAA" w14:textId="24B82FEF" w:rsidR="005500AC" w:rsidRDefault="005500AC">
      <w:pPr>
        <w:rPr>
          <w:b/>
          <w:bCs/>
          <w:u w:val="single"/>
        </w:rPr>
      </w:pPr>
    </w:p>
    <w:p w14:paraId="4913A610" w14:textId="77777777" w:rsidR="005500AC" w:rsidRDefault="005500AC">
      <w:pPr>
        <w:rPr>
          <w:b/>
          <w:bCs/>
          <w:u w:val="single"/>
        </w:rPr>
      </w:pPr>
    </w:p>
    <w:p w14:paraId="69664242" w14:textId="044ED8C1" w:rsidR="00123DF8" w:rsidRDefault="005003CB">
      <w:pPr>
        <w:rPr>
          <w:b/>
          <w:bCs/>
          <w:u w:val="single"/>
        </w:rPr>
      </w:pPr>
      <w:r>
        <w:rPr>
          <w:b/>
          <w:bCs/>
          <w:u w:val="single"/>
        </w:rPr>
        <w:t>Abstract</w:t>
      </w:r>
    </w:p>
    <w:p w14:paraId="1BB770E9" w14:textId="575C0999" w:rsidR="00302FC5" w:rsidRPr="00F549C3" w:rsidRDefault="00302FC5">
      <w:pPr>
        <w:rPr>
          <w:b/>
          <w:bCs/>
          <w:u w:val="single"/>
        </w:rPr>
      </w:pPr>
      <w:r w:rsidRPr="00F549C3">
        <w:rPr>
          <w:b/>
          <w:bCs/>
          <w:u w:val="single"/>
        </w:rPr>
        <w:t>Introduction</w:t>
      </w:r>
    </w:p>
    <w:p w14:paraId="7AC5091C" w14:textId="1B79A685" w:rsidR="00302FC5" w:rsidRDefault="00C548CF">
      <w:r>
        <w:t>The attitudes surrounding dealing with death amongst youth have changed throughout the years. Within specific eras such as the nineteenth century through to the twentieth, these changes become visible evidentially through gravestones</w:t>
      </w:r>
      <w:r w:rsidR="00630D76">
        <w:t xml:space="preserve">, specifically in simply the representation of the child having a grave itself. </w:t>
      </w:r>
      <w:r w:rsidR="009A59BB">
        <w:t xml:space="preserve">This investigation </w:t>
      </w:r>
      <w:r w:rsidR="0022076A">
        <w:t xml:space="preserve">takes the individuals themselves looking at the frequency of the age of death and how it differs moving through time and </w:t>
      </w:r>
      <w:r w:rsidR="005003CB">
        <w:t xml:space="preserve">the effect of gender on this, if it does have an effect. </w:t>
      </w:r>
      <w:r w:rsidR="00E13EF6">
        <w:t xml:space="preserve">The investigation took place at St Peter’s church cemetery in Lampeter. Sarah </w:t>
      </w:r>
      <w:proofErr w:type="spellStart"/>
      <w:r w:rsidR="00E13EF6">
        <w:t>Tarlow</w:t>
      </w:r>
      <w:proofErr w:type="spellEnd"/>
      <w:r w:rsidR="00E13EF6">
        <w:t xml:space="preserve"> </w:t>
      </w:r>
      <w:r w:rsidR="005A4DE1">
        <w:t>makes the statement that “gravestones can be a good source of information for quantitative demographic study of mortality rates, fertility and so on in the nineteenth century,”</w:t>
      </w:r>
      <w:sdt>
        <w:sdtPr>
          <w:id w:val="504015674"/>
          <w:citation/>
        </w:sdtPr>
        <w:sdtContent>
          <w:r w:rsidR="005A4DE1">
            <w:fldChar w:fldCharType="begin"/>
          </w:r>
          <w:r w:rsidR="005A4DE1">
            <w:instrText xml:space="preserve">CITATION Tar05 \p 164 \n  \l 2057 </w:instrText>
          </w:r>
          <w:r w:rsidR="005A4DE1">
            <w:fldChar w:fldCharType="separate"/>
          </w:r>
          <w:r w:rsidR="004401F3">
            <w:rPr>
              <w:noProof/>
            </w:rPr>
            <w:t xml:space="preserve"> </w:t>
          </w:r>
          <w:r w:rsidR="004401F3" w:rsidRPr="004401F3">
            <w:rPr>
              <w:noProof/>
            </w:rPr>
            <w:t>(2005, p. 164)</w:t>
          </w:r>
          <w:r w:rsidR="005A4DE1">
            <w:fldChar w:fldCharType="end"/>
          </w:r>
        </w:sdtContent>
      </w:sdt>
      <w:r w:rsidR="005A4DE1">
        <w:t xml:space="preserve">, this statement supports the goal of this survey, to understand how the attitudes towards mortality change and how that is visible on gravestones. </w:t>
      </w:r>
    </w:p>
    <w:p w14:paraId="01AC8A3C" w14:textId="533FC87B" w:rsidR="00C548CF" w:rsidRDefault="00C548CF"/>
    <w:p w14:paraId="50FB08BA" w14:textId="498AA395" w:rsidR="00C548CF" w:rsidRDefault="00C548CF"/>
    <w:p w14:paraId="66B26710" w14:textId="6A286405" w:rsidR="00C548CF" w:rsidRPr="00533318" w:rsidRDefault="00C548CF">
      <w:pPr>
        <w:rPr>
          <w:b/>
          <w:bCs/>
          <w:u w:val="single"/>
        </w:rPr>
      </w:pPr>
      <w:r w:rsidRPr="00533318">
        <w:rPr>
          <w:b/>
          <w:bCs/>
          <w:u w:val="single"/>
        </w:rPr>
        <w:t xml:space="preserve">Methodology </w:t>
      </w:r>
    </w:p>
    <w:p w14:paraId="0BB414FB" w14:textId="609C73B7" w:rsidR="00533318" w:rsidRDefault="00533318">
      <w:r>
        <w:t xml:space="preserve">The </w:t>
      </w:r>
      <w:r w:rsidR="001E6341">
        <w:t>specific type of grave to record was an easy definition to make when in the field, as it was simply to find each grave that contained or remembered the remains of a child. However</w:t>
      </w:r>
      <w:r w:rsidR="00A44365">
        <w:t>,</w:t>
      </w:r>
      <w:r w:rsidR="001E6341">
        <w:t xml:space="preserve"> the difficulty became defining what classed as a child</w:t>
      </w:r>
      <w:r w:rsidR="00C131C2">
        <w:t>, eventuall</w:t>
      </w:r>
      <w:r w:rsidR="004845BC">
        <w:t xml:space="preserve">y </w:t>
      </w:r>
      <w:r w:rsidR="00FF5223">
        <w:t xml:space="preserve">I made the decision to cap the age of a “child” at 19. I made this decision in part due to the fact that the “teenager” </w:t>
      </w:r>
      <w:r w:rsidR="00B63426">
        <w:t xml:space="preserve">didn’t emerge in the modern sense until the latter part of the twentieth century. This made it difficult to establish a norm for the end of youth because while in the nineteenth century a child would be expected to work from the age of around twelve whereas in the late twentieth and twenty first century many were still living under their parents care at 18/19. This becomes important because in the earlier graves, </w:t>
      </w:r>
      <w:r w:rsidR="00BC7E46">
        <w:t>if a ‘child’ was of an age at which they could work or were considered an ‘adult individual’, the emotion represented in the grave changes</w:t>
      </w:r>
      <w:r w:rsidR="002011BC">
        <w:t>.</w:t>
      </w:r>
    </w:p>
    <w:p w14:paraId="2A9203B0" w14:textId="3C6915FB" w:rsidR="00533318" w:rsidRDefault="00533318">
      <w:r>
        <w:t xml:space="preserve">When out in St Peter’s cemetery, </w:t>
      </w:r>
      <w:r w:rsidR="00FD3C51">
        <w:t xml:space="preserve">it was difficult to devise a method of collecting the data required. It </w:t>
      </w:r>
      <w:r w:rsidR="00024541">
        <w:t xml:space="preserve">was </w:t>
      </w:r>
      <w:r w:rsidR="00A81BBC">
        <w:t xml:space="preserve">a </w:t>
      </w:r>
      <w:r w:rsidR="00630D76">
        <w:t>time-consuming</w:t>
      </w:r>
      <w:r w:rsidR="00A81BBC">
        <w:t xml:space="preserve"> process because identifying graves that contained children meant that each inscription must be read and then discerned </w:t>
      </w:r>
      <w:r w:rsidR="008F171B">
        <w:t xml:space="preserve">which were of use. </w:t>
      </w:r>
      <w:r w:rsidR="00FD6C9F">
        <w:t xml:space="preserve">Typology </w:t>
      </w:r>
      <w:r w:rsidR="00F3171F">
        <w:t xml:space="preserve">while important to differentiate between graves and </w:t>
      </w:r>
      <w:r w:rsidR="00A12DEE">
        <w:t xml:space="preserve">to understand whether the child was interred upon death or whether they were remembered upon the </w:t>
      </w:r>
      <w:r w:rsidR="00630D76">
        <w:t>parent’s</w:t>
      </w:r>
      <w:r w:rsidR="00A12DEE">
        <w:t xml:space="preserve"> death, the typology was not strictly important to understand the </w:t>
      </w:r>
      <w:r w:rsidR="00630D76">
        <w:t xml:space="preserve">attitudes in this context, in some cases it was particularly important to record typology, for example grave number 31 where the grave stone was in the shape of a heart.  Another </w:t>
      </w:r>
      <w:r w:rsidR="00EC516C">
        <w:t>aspect of this survey that was recorded was other occupants within the grave. For many of the recorded graves there were multiple occupants and for some the children were the first to perish but they did</w:t>
      </w:r>
      <w:r w:rsidR="00962F67">
        <w:t xml:space="preserve"> not</w:t>
      </w:r>
      <w:r w:rsidR="00EC516C">
        <w:t xml:space="preserve"> have representation on a gravestone until the death of the parents. Making the observation of the number of occupants also helped to show the level of child mortality within a given family or other such information. </w:t>
      </w:r>
      <w:r w:rsidR="002011BC">
        <w:t xml:space="preserve">Observing the number of occupants within a grave also helped to understand how families represent the deaths of their children when there is already a stone placed in the cemetery, whether the child is added to the stone or whether a new stone is placed </w:t>
      </w:r>
      <w:proofErr w:type="spellStart"/>
      <w:r w:rsidR="002011BC">
        <w:t>near by</w:t>
      </w:r>
      <w:proofErr w:type="spellEnd"/>
      <w:r w:rsidR="002011BC">
        <w:t xml:space="preserve">. </w:t>
      </w:r>
      <w:r w:rsidR="005500AC">
        <w:t xml:space="preserve">The method of mapping the sample was a task that was undertaken as a method of keeping track of the amount of graves recorded and to prevent repetition during the process rather </w:t>
      </w:r>
      <w:r w:rsidR="005500AC">
        <w:lastRenderedPageBreak/>
        <w:t xml:space="preserve">than a source of information to be used in the discussion. This is because it was found that for most of the children buried, the ideal was to place them with family rather than have the child placed alone but near the church. </w:t>
      </w:r>
      <w:r w:rsidR="00EC145E">
        <w:t xml:space="preserve">The record sheet was a difficult task, in the field a simple layout was used collecting; grave number, name of occupant, age of said occupant, gender, number of other occupants, the style or design name for the typology, date of death and a simple sketch. This data was then transferred into a spreadsheet in order </w:t>
      </w:r>
      <w:r w:rsidR="009A59BB">
        <w:t xml:space="preserve">to be able to compare the results of the survey with more ease. </w:t>
      </w:r>
    </w:p>
    <w:p w14:paraId="1A9C54AF" w14:textId="7A696BBA" w:rsidR="00AF790A" w:rsidRPr="00AF790A" w:rsidRDefault="00AF790A">
      <w:pPr>
        <w:rPr>
          <w:b/>
          <w:bCs/>
          <w:u w:val="single"/>
        </w:rPr>
      </w:pPr>
    </w:p>
    <w:p w14:paraId="3956BA94" w14:textId="411AC6B7" w:rsidR="00AF790A" w:rsidRDefault="00AF790A">
      <w:pPr>
        <w:rPr>
          <w:b/>
          <w:bCs/>
          <w:u w:val="single"/>
        </w:rPr>
      </w:pPr>
      <w:r w:rsidRPr="00AF790A">
        <w:rPr>
          <w:b/>
          <w:bCs/>
          <w:u w:val="single"/>
        </w:rPr>
        <w:t>Results</w:t>
      </w:r>
    </w:p>
    <w:p w14:paraId="1B1330C1" w14:textId="54C1AD27" w:rsidR="00AF790A" w:rsidRDefault="006024C2">
      <w:r>
        <w:t xml:space="preserve">Within the sample </w:t>
      </w:r>
      <w:r w:rsidR="00C95555">
        <w:t xml:space="preserve">the results show varying </w:t>
      </w:r>
      <w:r w:rsidR="00327A70">
        <w:t xml:space="preserve">examples of the attitudes surrounding child mortality, firstly the results collected can </w:t>
      </w:r>
      <w:r w:rsidR="007714B9">
        <w:t xml:space="preserve">be used as evidence for the improvement of public health. The evidence collected shows that most of those between the ages of one and five died in the nineteenth century, </w:t>
      </w:r>
      <w:r w:rsidR="00A816D4">
        <w:t>while a large portion graves from the late twentieth are those above the age of fifteen.</w:t>
      </w:r>
      <w:r w:rsidR="003319CE">
        <w:t xml:space="preserve"> This improvement in the life expectancy of children is interesting because it could be attributed to many things. The obvious cause would be the introduction of the welfare state, with better housing and the NHS being introduced but it could also be attributed to things such as the reduction and closures of the workhouses and the improvement on child labour laws.</w:t>
      </w:r>
      <w:r w:rsidR="00B7201A">
        <w:t xml:space="preserve"> </w:t>
      </w:r>
      <w:r w:rsidR="00654A13">
        <w:t>The results also expressed th</w:t>
      </w:r>
      <w:r w:rsidR="005D0FBB">
        <w:t xml:space="preserve">at the most common arrangement of the graves </w:t>
      </w:r>
      <w:r w:rsidR="00111DEB">
        <w:t xml:space="preserve">with multiple occupants </w:t>
      </w:r>
      <w:r w:rsidR="005D0FBB">
        <w:t xml:space="preserve">was to have 2 occupants, </w:t>
      </w:r>
      <w:r w:rsidR="00C76ADF">
        <w:t>these graves were a mix of those interred with a parent and those interred with another child</w:t>
      </w:r>
      <w:r w:rsidR="00111DEB">
        <w:t>, although there were some with more occupants</w:t>
      </w:r>
      <w:r w:rsidR="00C76ADF">
        <w:t xml:space="preserve">. </w:t>
      </w:r>
      <w:r w:rsidR="002C0C98">
        <w:t>However</w:t>
      </w:r>
      <w:r w:rsidR="00111DEB">
        <w:t>,</w:t>
      </w:r>
      <w:r w:rsidR="002C0C98">
        <w:t xml:space="preserve"> the frequency of graves with two occupants also matches the frequency of the singular graves</w:t>
      </w:r>
      <w:r w:rsidR="00111DEB">
        <w:t>,</w:t>
      </w:r>
      <w:r w:rsidR="00A14405">
        <w:t xml:space="preserve"> </w:t>
      </w:r>
      <w:r w:rsidR="00111DEB">
        <w:t>thi</w:t>
      </w:r>
      <w:r w:rsidR="00F11495">
        <w:t xml:space="preserve">s makes comparing the data interesting because while </w:t>
      </w:r>
      <w:r w:rsidR="00A14405">
        <w:t>the multiple occupant graves may suggest a</w:t>
      </w:r>
      <w:r w:rsidR="003319CE">
        <w:t xml:space="preserve"> desire for the children to be buried among family, the singular graves may be a sign of respect to the child or it may be contributed to the symbolism of wealth within the cemetery. A child having their own grave is a clear sign that the family has wealth especially the more intricate designs. </w:t>
      </w:r>
      <w:r w:rsidR="00290988">
        <w:t xml:space="preserve"> </w:t>
      </w:r>
      <w:r w:rsidR="00E35C9C">
        <w:t xml:space="preserve">The results also show a commonality between the graves of the nineteenth </w:t>
      </w:r>
      <w:r w:rsidR="001B443D">
        <w:t xml:space="preserve">century and those that are more modern, the data shows </w:t>
      </w:r>
      <w:r w:rsidR="00805CBB">
        <w:t>that the style of gravestone</w:t>
      </w:r>
      <w:r w:rsidR="00717C06">
        <w:t>s</w:t>
      </w:r>
      <w:r w:rsidR="00805CBB">
        <w:t xml:space="preserve"> used for </w:t>
      </w:r>
      <w:r w:rsidR="00717C06">
        <w:t xml:space="preserve">the children follow similar styles, the style follows the fashion of the time. </w:t>
      </w:r>
    </w:p>
    <w:p w14:paraId="251C8A56" w14:textId="52F3BE90" w:rsidR="00D13A2B" w:rsidRDefault="00D13A2B"/>
    <w:p w14:paraId="6BE2726D" w14:textId="45EA3A0E" w:rsidR="00D13A2B" w:rsidRDefault="00D13A2B">
      <w:pPr>
        <w:rPr>
          <w:b/>
          <w:bCs/>
          <w:u w:val="single"/>
        </w:rPr>
      </w:pPr>
      <w:r>
        <w:rPr>
          <w:b/>
          <w:bCs/>
          <w:u w:val="single"/>
        </w:rPr>
        <w:t>Discussion</w:t>
      </w:r>
    </w:p>
    <w:p w14:paraId="45C214CF" w14:textId="7ABBA565" w:rsidR="00D13A2B" w:rsidRDefault="00D13A2B">
      <w:r>
        <w:t xml:space="preserve">The methodology of this survey was flawed, there was data that was negated during the collection process such as </w:t>
      </w:r>
      <w:r w:rsidR="007B5A41">
        <w:t>the details of the other occupants and also there were no photographs taken of each grave so</w:t>
      </w:r>
      <w:r w:rsidR="006E2A9F">
        <w:t xml:space="preserve"> the only image reference are rough sketches made in the field</w:t>
      </w:r>
      <w:r w:rsidR="00595552">
        <w:t>, this limits the use of descriptive analysis of the graves but it also means that the survey itself does not focus on the physical attributes of the gravestone unlike many other similar survey</w:t>
      </w:r>
      <w:r w:rsidR="000F0DEE">
        <w:t xml:space="preserve">. </w:t>
      </w:r>
      <w:proofErr w:type="spellStart"/>
      <w:r w:rsidR="000F0DEE">
        <w:t>Tarlow</w:t>
      </w:r>
      <w:proofErr w:type="spellEnd"/>
      <w:r w:rsidR="000F0DEE">
        <w:t xml:space="preserve"> makes the observation that </w:t>
      </w:r>
      <w:r w:rsidR="00220535">
        <w:t xml:space="preserve">patterns seen in this kind of survey can only make sense when compared to </w:t>
      </w:r>
      <w:r w:rsidR="004465CE">
        <w:t xml:space="preserve">census or other data like it </w:t>
      </w:r>
      <w:sdt>
        <w:sdtPr>
          <w:id w:val="-2097850258"/>
          <w:citation/>
        </w:sdtPr>
        <w:sdtContent>
          <w:r w:rsidR="004465CE">
            <w:fldChar w:fldCharType="begin"/>
          </w:r>
          <w:r w:rsidR="004465CE">
            <w:instrText xml:space="preserve">CITATION Tar05 \n  \l 2057 </w:instrText>
          </w:r>
          <w:r w:rsidR="004465CE">
            <w:fldChar w:fldCharType="separate"/>
          </w:r>
          <w:r w:rsidR="004401F3" w:rsidRPr="004401F3">
            <w:rPr>
              <w:noProof/>
            </w:rPr>
            <w:t>(2005)</w:t>
          </w:r>
          <w:r w:rsidR="004465CE">
            <w:fldChar w:fldCharType="end"/>
          </w:r>
        </w:sdtContent>
      </w:sdt>
      <w:r w:rsidR="004465CE">
        <w:t xml:space="preserve">. Observations can be speculated and </w:t>
      </w:r>
      <w:r w:rsidR="00A62F36">
        <w:t>assumed but in reality the observations are conjecture without corroboration</w:t>
      </w:r>
      <w:r w:rsidR="003C6CFE">
        <w:t xml:space="preserve">, the assumptions made in this report about the issues of mortality </w:t>
      </w:r>
      <w:r w:rsidR="00071791">
        <w:t xml:space="preserve">while they have value in some areas, have issues </w:t>
      </w:r>
      <w:r w:rsidR="007C09D6">
        <w:t>if any definitive observations are made from this data with the insinuation that this data alone is enough to support the view</w:t>
      </w:r>
      <w:r w:rsidR="004C1720">
        <w:t xml:space="preserve">. Another flaw of this methodology is that the subject matter means that there were large amounts of data available for collection from the nineteenth century and early twentieth century, however there was far less data available from the late twentieth and twenty first century. This reduced the sample size and consequently made it </w:t>
      </w:r>
      <w:r w:rsidR="006C0474">
        <w:t xml:space="preserve">more difficult to accurately make comparisons between the two extremes </w:t>
      </w:r>
      <w:r w:rsidR="006C0474">
        <w:lastRenderedPageBreak/>
        <w:t xml:space="preserve">of </w:t>
      </w:r>
      <w:r w:rsidR="00DC1CC6">
        <w:t xml:space="preserve">data. The methodology was also flawed through the fact that when collecting the data there was very little method actually used, </w:t>
      </w:r>
      <w:r w:rsidR="00E94D5F">
        <w:t xml:space="preserve">simply walking through the cemetery and reading the inscriptions searching for the graves that contain children. </w:t>
      </w:r>
    </w:p>
    <w:p w14:paraId="3188F7FD" w14:textId="37419074" w:rsidR="00FD16CC" w:rsidRDefault="00FD16CC">
      <w:r>
        <w:t xml:space="preserve">The survey provides data to support the notion that in the nineteenth century appears to be a higher </w:t>
      </w:r>
      <w:r w:rsidR="00431D7C">
        <w:t xml:space="preserve">period of child mortality than the more modern contrasting period where the rate has dramatically decreased. However, in the nineteenth century it was common to bury a child without a gravestone so while the modern portion of the cemetery may provide an accurate representation of the </w:t>
      </w:r>
      <w:r w:rsidR="00A73B3F">
        <w:t xml:space="preserve">effects of child mortality in the modern world, the older section of the cemetery provides only a small proportion of the actual ‘population’ of the cemetery that has children interred. The older section of the cemetery also provides evidence of how the attitudes about child burials have changed, the more modern burials tend to be singular and with the burial occurring soon after death. But in the earlier sections of the cemetery there are </w:t>
      </w:r>
      <w:r w:rsidR="00B541D3">
        <w:t>l</w:t>
      </w:r>
      <w:r w:rsidR="00A73B3F">
        <w:t xml:space="preserve">arge proportions of the children interred that are not buried </w:t>
      </w:r>
      <w:r w:rsidR="00B541D3">
        <w:t xml:space="preserve">with head stones, this could be used to </w:t>
      </w:r>
      <w:r w:rsidR="00C00D53">
        <w:t xml:space="preserve">support the idea that child mortality was such a normality that a marked burial was saved for those with enough wealth to </w:t>
      </w:r>
      <w:r w:rsidR="00D34C74">
        <w:t>commemorate</w:t>
      </w:r>
      <w:r w:rsidR="00C00D53">
        <w:t xml:space="preserve"> in a n extravagant manner or alternatively the data could be used to insinuate </w:t>
      </w:r>
      <w:r w:rsidR="00D34C74">
        <w:t>that the decision to bury a child in a marked grave is made because of significant emotional attachment.</w:t>
      </w:r>
    </w:p>
    <w:p w14:paraId="694F842F" w14:textId="2A8EFB4F" w:rsidR="00D34C74" w:rsidRDefault="00D34C74"/>
    <w:p w14:paraId="4A4BBF52" w14:textId="451E521C" w:rsidR="00D34C74" w:rsidRDefault="00D34C74">
      <w:pPr>
        <w:rPr>
          <w:b/>
          <w:bCs/>
          <w:u w:val="single"/>
        </w:rPr>
      </w:pPr>
      <w:r>
        <w:rPr>
          <w:b/>
          <w:bCs/>
          <w:u w:val="single"/>
        </w:rPr>
        <w:t>Conclusion</w:t>
      </w:r>
    </w:p>
    <w:p w14:paraId="3740DB1B" w14:textId="46AD7763" w:rsidR="00D34C74" w:rsidRPr="00D34C74" w:rsidRDefault="00D34C74">
      <w:r>
        <w:t xml:space="preserve">In conclusion, the data collected in this survey can be used to support the idea that the changing attitudes towards child mortality has a direct correspondence to the representation of said child </w:t>
      </w:r>
      <w:r w:rsidR="00E01F6C">
        <w:t xml:space="preserve">on their gravestone. Although the survey itself is flawed and the data collected cannot as stated before be used entirely on it’s own to prove observations about mortality, without first consulting other records from the period, there are far too many negated facts </w:t>
      </w:r>
      <w:r w:rsidR="004401F3">
        <w:t xml:space="preserve">on a headstone to provide all the necessary data to make concrete observations of the direct links to the physicality of mortality. </w:t>
      </w:r>
    </w:p>
    <w:p w14:paraId="01B8D266" w14:textId="2A6C312D" w:rsidR="00EC145E" w:rsidRDefault="00EC145E"/>
    <w:p w14:paraId="13A765F1" w14:textId="17FE89D2" w:rsidR="00EC145E" w:rsidRDefault="00EC145E"/>
    <w:sdt>
      <w:sdtPr>
        <w:id w:val="1075631890"/>
        <w:docPartObj>
          <w:docPartGallery w:val="Bibliographies"/>
          <w:docPartUnique/>
        </w:docPartObj>
      </w:sdtPr>
      <w:sdtEndPr>
        <w:rPr>
          <w:rFonts w:asciiTheme="minorHAnsi" w:eastAsiaTheme="minorHAnsi" w:hAnsiTheme="minorHAnsi" w:cstheme="minorBidi"/>
          <w:sz w:val="22"/>
          <w:szCs w:val="22"/>
        </w:rPr>
      </w:sdtEndPr>
      <w:sdtContent>
        <w:p w14:paraId="13C14A14" w14:textId="2CB46836" w:rsidR="004401F3" w:rsidRDefault="004401F3">
          <w:pPr>
            <w:pStyle w:val="Heading1"/>
          </w:pPr>
          <w:r>
            <w:t>References</w:t>
          </w:r>
        </w:p>
        <w:sdt>
          <w:sdtPr>
            <w:id w:val="-573587230"/>
            <w:bibliography/>
          </w:sdtPr>
          <w:sdtContent>
            <w:p w14:paraId="169C90B7" w14:textId="77777777" w:rsidR="004401F3" w:rsidRDefault="004401F3" w:rsidP="004401F3">
              <w:pPr>
                <w:pStyle w:val="Bibliography"/>
                <w:rPr>
                  <w:noProof/>
                  <w:sz w:val="24"/>
                  <w:szCs w:val="24"/>
                </w:rPr>
              </w:pPr>
              <w:r>
                <w:fldChar w:fldCharType="begin"/>
              </w:r>
              <w:r>
                <w:instrText xml:space="preserve"> BIBLIOGRAPHY </w:instrText>
              </w:r>
              <w:r>
                <w:fldChar w:fldCharType="separate"/>
              </w:r>
              <w:r>
                <w:rPr>
                  <w:noProof/>
                </w:rPr>
                <w:t xml:space="preserve">Pearson, M., 1999. </w:t>
              </w:r>
              <w:r>
                <w:rPr>
                  <w:i/>
                  <w:iCs/>
                  <w:noProof/>
                </w:rPr>
                <w:t xml:space="preserve">The Archaeology of Death and Burial. </w:t>
              </w:r>
              <w:r>
                <w:rPr>
                  <w:noProof/>
                </w:rPr>
                <w:t>Stroud, Gloucestershire: Sutton Publishing Ltd..</w:t>
              </w:r>
            </w:p>
            <w:p w14:paraId="0F688A2F" w14:textId="77777777" w:rsidR="004401F3" w:rsidRDefault="004401F3" w:rsidP="004401F3">
              <w:pPr>
                <w:pStyle w:val="Bibliography"/>
                <w:rPr>
                  <w:noProof/>
                </w:rPr>
              </w:pPr>
              <w:r>
                <w:rPr>
                  <w:noProof/>
                </w:rPr>
                <w:t xml:space="preserve">Renfrew, C. &amp; Bahn, P., 1991. </w:t>
              </w:r>
              <w:r>
                <w:rPr>
                  <w:i/>
                  <w:iCs/>
                  <w:noProof/>
                </w:rPr>
                <w:t xml:space="preserve">Archaeology: Theories, Methods and Practice. </w:t>
              </w:r>
              <w:r>
                <w:rPr>
                  <w:noProof/>
                </w:rPr>
                <w:t>7th ed. London: Thames &amp; Hudson Ltd..</w:t>
              </w:r>
            </w:p>
            <w:p w14:paraId="3889EE6A" w14:textId="77777777" w:rsidR="004401F3" w:rsidRDefault="004401F3" w:rsidP="004401F3">
              <w:pPr>
                <w:pStyle w:val="Bibliography"/>
                <w:rPr>
                  <w:noProof/>
                </w:rPr>
              </w:pPr>
              <w:r>
                <w:rPr>
                  <w:noProof/>
                </w:rPr>
                <w:t xml:space="preserve">Tarlow, S., 2005. Death and Commemoration. </w:t>
              </w:r>
              <w:r>
                <w:rPr>
                  <w:i/>
                  <w:iCs/>
                  <w:noProof/>
                </w:rPr>
                <w:t xml:space="preserve">Industrial Archaeology Review, </w:t>
              </w:r>
              <w:r>
                <w:rPr>
                  <w:noProof/>
                </w:rPr>
                <w:t>27(1), pp. 163-169.</w:t>
              </w:r>
            </w:p>
            <w:p w14:paraId="794396E9" w14:textId="3D8EDCAB" w:rsidR="004401F3" w:rsidRDefault="004401F3" w:rsidP="004401F3">
              <w:r>
                <w:rPr>
                  <w:b/>
                  <w:bCs/>
                  <w:noProof/>
                </w:rPr>
                <w:fldChar w:fldCharType="end"/>
              </w:r>
            </w:p>
          </w:sdtContent>
        </w:sdt>
      </w:sdtContent>
    </w:sdt>
    <w:p w14:paraId="1AFA0AC4" w14:textId="057BD401" w:rsidR="00EC145E" w:rsidRDefault="00EC145E"/>
    <w:p w14:paraId="7A80D2D2" w14:textId="3B24C5CA" w:rsidR="00EC145E" w:rsidRDefault="00EC145E"/>
    <w:p w14:paraId="4D1B299B" w14:textId="2617F5C7" w:rsidR="00EC145E" w:rsidRDefault="00EC145E"/>
    <w:p w14:paraId="003C9E4D" w14:textId="30919CA2" w:rsidR="00EC145E" w:rsidRDefault="00EC145E"/>
    <w:p w14:paraId="5D32B038" w14:textId="7C9F3380" w:rsidR="00EC145E" w:rsidRDefault="00EC145E"/>
    <w:p w14:paraId="0287A991" w14:textId="2980E117" w:rsidR="00EC145E" w:rsidRDefault="00EC145E"/>
    <w:p w14:paraId="5047F8C9" w14:textId="74202829" w:rsidR="00EC145E" w:rsidRDefault="00EC145E"/>
    <w:p w14:paraId="10B19160" w14:textId="0722D9AF" w:rsidR="00EC145E" w:rsidRDefault="00EC145E"/>
    <w:p w14:paraId="5F05BED4" w14:textId="7A76A3F4" w:rsidR="00EC145E" w:rsidRDefault="00EC145E"/>
    <w:p w14:paraId="347CB8C9" w14:textId="2FC9B549" w:rsidR="00EC145E" w:rsidRDefault="00EC145E"/>
    <w:p w14:paraId="683C892F" w14:textId="7567BDD7" w:rsidR="00EC145E" w:rsidRDefault="00EC145E"/>
    <w:p w14:paraId="27EAE548" w14:textId="796ABE83" w:rsidR="00EC145E" w:rsidRDefault="00EC145E"/>
    <w:p w14:paraId="0F1BB31C" w14:textId="34B2F50A" w:rsidR="00EC145E" w:rsidRDefault="00EC145E"/>
    <w:p w14:paraId="506F5F7E" w14:textId="5BAF3CF6" w:rsidR="00EC145E" w:rsidRDefault="00EC145E"/>
    <w:p w14:paraId="6CC2A18D" w14:textId="01BC858E" w:rsidR="00EC145E" w:rsidRDefault="00EC145E"/>
    <w:p w14:paraId="385C3848" w14:textId="44E7F5A1" w:rsidR="00EC145E" w:rsidRDefault="00EC145E"/>
    <w:p w14:paraId="11C6F94F" w14:textId="1956FAAF" w:rsidR="00EC145E" w:rsidRDefault="00EC145E"/>
    <w:p w14:paraId="38DBBAC8" w14:textId="60994EC4" w:rsidR="00EC145E" w:rsidRDefault="00EC145E"/>
    <w:p w14:paraId="746F934F" w14:textId="7773434B" w:rsidR="00EC145E" w:rsidRDefault="00EC145E"/>
    <w:p w14:paraId="1BE98F5B" w14:textId="6A2D5A51" w:rsidR="00EC145E" w:rsidRDefault="00EC145E"/>
    <w:p w14:paraId="474AA01C" w14:textId="3DEFD2BA" w:rsidR="00EC145E" w:rsidRDefault="00EC145E"/>
    <w:p w14:paraId="0139400D" w14:textId="2A146976" w:rsidR="00EC145E" w:rsidRPr="00AF790A" w:rsidRDefault="00EC145E"/>
    <w:sectPr w:rsidR="00EC145E" w:rsidRPr="00AF790A" w:rsidSect="00123DF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2FC5"/>
    <w:rsid w:val="000215F8"/>
    <w:rsid w:val="00024541"/>
    <w:rsid w:val="000639D2"/>
    <w:rsid w:val="00071791"/>
    <w:rsid w:val="000E4083"/>
    <w:rsid w:val="000F0DEE"/>
    <w:rsid w:val="00111DEB"/>
    <w:rsid w:val="00123DF8"/>
    <w:rsid w:val="0016697D"/>
    <w:rsid w:val="001B443D"/>
    <w:rsid w:val="001E1A60"/>
    <w:rsid w:val="001E6341"/>
    <w:rsid w:val="002011BC"/>
    <w:rsid w:val="00220535"/>
    <w:rsid w:val="0022076A"/>
    <w:rsid w:val="00290988"/>
    <w:rsid w:val="002B5163"/>
    <w:rsid w:val="002C0C98"/>
    <w:rsid w:val="002F2AE1"/>
    <w:rsid w:val="00302FC5"/>
    <w:rsid w:val="00327A70"/>
    <w:rsid w:val="003319CE"/>
    <w:rsid w:val="003B5627"/>
    <w:rsid w:val="003C6CFE"/>
    <w:rsid w:val="00431D7C"/>
    <w:rsid w:val="004401F3"/>
    <w:rsid w:val="004465CE"/>
    <w:rsid w:val="004845BC"/>
    <w:rsid w:val="004C1720"/>
    <w:rsid w:val="005003CB"/>
    <w:rsid w:val="00533318"/>
    <w:rsid w:val="005472B6"/>
    <w:rsid w:val="005500AC"/>
    <w:rsid w:val="00595552"/>
    <w:rsid w:val="005A4DE1"/>
    <w:rsid w:val="005D0FBB"/>
    <w:rsid w:val="006024C2"/>
    <w:rsid w:val="00630D76"/>
    <w:rsid w:val="00654A13"/>
    <w:rsid w:val="006C0474"/>
    <w:rsid w:val="006E2A9F"/>
    <w:rsid w:val="007104B4"/>
    <w:rsid w:val="00717C06"/>
    <w:rsid w:val="007714B9"/>
    <w:rsid w:val="007B22AA"/>
    <w:rsid w:val="007B5A41"/>
    <w:rsid w:val="007C09D6"/>
    <w:rsid w:val="007E3468"/>
    <w:rsid w:val="00805CBB"/>
    <w:rsid w:val="0083213A"/>
    <w:rsid w:val="008F171B"/>
    <w:rsid w:val="00962F67"/>
    <w:rsid w:val="009A59BB"/>
    <w:rsid w:val="00A12DEE"/>
    <w:rsid w:val="00A14405"/>
    <w:rsid w:val="00A30194"/>
    <w:rsid w:val="00A44365"/>
    <w:rsid w:val="00A62F36"/>
    <w:rsid w:val="00A73B3F"/>
    <w:rsid w:val="00A816D4"/>
    <w:rsid w:val="00A81BBC"/>
    <w:rsid w:val="00AF790A"/>
    <w:rsid w:val="00B541D3"/>
    <w:rsid w:val="00B63426"/>
    <w:rsid w:val="00B63A01"/>
    <w:rsid w:val="00B7201A"/>
    <w:rsid w:val="00B86CF8"/>
    <w:rsid w:val="00BC7E46"/>
    <w:rsid w:val="00C00D53"/>
    <w:rsid w:val="00C131C2"/>
    <w:rsid w:val="00C548CF"/>
    <w:rsid w:val="00C76ADF"/>
    <w:rsid w:val="00C95555"/>
    <w:rsid w:val="00D13A2B"/>
    <w:rsid w:val="00D34C74"/>
    <w:rsid w:val="00DC1CC6"/>
    <w:rsid w:val="00E01F6C"/>
    <w:rsid w:val="00E13EF6"/>
    <w:rsid w:val="00E27BBA"/>
    <w:rsid w:val="00E35C9C"/>
    <w:rsid w:val="00E94D5F"/>
    <w:rsid w:val="00EC145E"/>
    <w:rsid w:val="00EC516C"/>
    <w:rsid w:val="00F11495"/>
    <w:rsid w:val="00F3171F"/>
    <w:rsid w:val="00F549C3"/>
    <w:rsid w:val="00FD16CC"/>
    <w:rsid w:val="00FD3C51"/>
    <w:rsid w:val="00FD6C9F"/>
    <w:rsid w:val="00FF52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F44857"/>
  <w15:chartTrackingRefBased/>
  <w15:docId w15:val="{497E66AA-3A18-41B4-ACBA-08C50EB92B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7E3468"/>
    <w:pPr>
      <w:keepNext/>
      <w:keepLines/>
      <w:pBdr>
        <w:bottom w:val="single" w:sz="4" w:space="1" w:color="4472C4" w:themeColor="accent1"/>
      </w:pBdr>
      <w:spacing w:before="400" w:after="40" w:line="240" w:lineRule="auto"/>
      <w:outlineLvl w:val="0"/>
    </w:pPr>
    <w:rPr>
      <w:rFonts w:asciiTheme="majorHAnsi" w:eastAsiaTheme="majorEastAsia" w:hAnsiTheme="majorHAnsi" w:cstheme="majorBidi"/>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3468"/>
    <w:rPr>
      <w:rFonts w:asciiTheme="majorHAnsi" w:eastAsiaTheme="majorEastAsia" w:hAnsiTheme="majorHAnsi" w:cstheme="majorBidi"/>
      <w:sz w:val="36"/>
      <w:szCs w:val="36"/>
    </w:rPr>
  </w:style>
  <w:style w:type="paragraph" w:styleId="NoSpacing">
    <w:name w:val="No Spacing"/>
    <w:link w:val="NoSpacingChar"/>
    <w:uiPriority w:val="1"/>
    <w:qFormat/>
    <w:rsid w:val="00123DF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23DF8"/>
    <w:rPr>
      <w:rFonts w:eastAsiaTheme="minorEastAsia"/>
      <w:lang w:val="en-US"/>
    </w:rPr>
  </w:style>
  <w:style w:type="character" w:styleId="Hyperlink">
    <w:name w:val="Hyperlink"/>
    <w:basedOn w:val="DefaultParagraphFont"/>
    <w:uiPriority w:val="99"/>
    <w:unhideWhenUsed/>
    <w:rsid w:val="00EC145E"/>
    <w:rPr>
      <w:color w:val="0563C1" w:themeColor="hyperlink"/>
      <w:u w:val="single"/>
    </w:rPr>
  </w:style>
  <w:style w:type="character" w:styleId="UnresolvedMention">
    <w:name w:val="Unresolved Mention"/>
    <w:basedOn w:val="DefaultParagraphFont"/>
    <w:uiPriority w:val="99"/>
    <w:semiHidden/>
    <w:unhideWhenUsed/>
    <w:rsid w:val="00EC145E"/>
    <w:rPr>
      <w:color w:val="605E5C"/>
      <w:shd w:val="clear" w:color="auto" w:fill="E1DFDD"/>
    </w:rPr>
  </w:style>
  <w:style w:type="paragraph" w:styleId="Bibliography">
    <w:name w:val="Bibliography"/>
    <w:basedOn w:val="Normal"/>
    <w:next w:val="Normal"/>
    <w:uiPriority w:val="37"/>
    <w:unhideWhenUsed/>
    <w:rsid w:val="004401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88651">
      <w:bodyDiv w:val="1"/>
      <w:marLeft w:val="0"/>
      <w:marRight w:val="0"/>
      <w:marTop w:val="0"/>
      <w:marBottom w:val="0"/>
      <w:divBdr>
        <w:top w:val="none" w:sz="0" w:space="0" w:color="auto"/>
        <w:left w:val="none" w:sz="0" w:space="0" w:color="auto"/>
        <w:bottom w:val="none" w:sz="0" w:space="0" w:color="auto"/>
        <w:right w:val="none" w:sz="0" w:space="0" w:color="auto"/>
      </w:divBdr>
    </w:div>
    <w:div w:id="234635168">
      <w:bodyDiv w:val="1"/>
      <w:marLeft w:val="0"/>
      <w:marRight w:val="0"/>
      <w:marTop w:val="0"/>
      <w:marBottom w:val="0"/>
      <w:divBdr>
        <w:top w:val="none" w:sz="0" w:space="0" w:color="auto"/>
        <w:left w:val="none" w:sz="0" w:space="0" w:color="auto"/>
        <w:bottom w:val="none" w:sz="0" w:space="0" w:color="auto"/>
        <w:right w:val="none" w:sz="0" w:space="0" w:color="auto"/>
      </w:divBdr>
    </w:div>
    <w:div w:id="342319975">
      <w:bodyDiv w:val="1"/>
      <w:marLeft w:val="0"/>
      <w:marRight w:val="0"/>
      <w:marTop w:val="0"/>
      <w:marBottom w:val="0"/>
      <w:divBdr>
        <w:top w:val="none" w:sz="0" w:space="0" w:color="auto"/>
        <w:left w:val="none" w:sz="0" w:space="0" w:color="auto"/>
        <w:bottom w:val="none" w:sz="0" w:space="0" w:color="auto"/>
        <w:right w:val="none" w:sz="0" w:space="0" w:color="auto"/>
      </w:divBdr>
    </w:div>
    <w:div w:id="822156913">
      <w:bodyDiv w:val="1"/>
      <w:marLeft w:val="0"/>
      <w:marRight w:val="0"/>
      <w:marTop w:val="0"/>
      <w:marBottom w:val="0"/>
      <w:divBdr>
        <w:top w:val="none" w:sz="0" w:space="0" w:color="auto"/>
        <w:left w:val="none" w:sz="0" w:space="0" w:color="auto"/>
        <w:bottom w:val="none" w:sz="0" w:space="0" w:color="auto"/>
        <w:right w:val="none" w:sz="0" w:space="0" w:color="auto"/>
      </w:divBdr>
    </w:div>
    <w:div w:id="914556363">
      <w:bodyDiv w:val="1"/>
      <w:marLeft w:val="0"/>
      <w:marRight w:val="0"/>
      <w:marTop w:val="0"/>
      <w:marBottom w:val="0"/>
      <w:divBdr>
        <w:top w:val="none" w:sz="0" w:space="0" w:color="auto"/>
        <w:left w:val="none" w:sz="0" w:space="0" w:color="auto"/>
        <w:bottom w:val="none" w:sz="0" w:space="0" w:color="auto"/>
        <w:right w:val="none" w:sz="0" w:space="0" w:color="auto"/>
      </w:divBdr>
    </w:div>
    <w:div w:id="1095980410">
      <w:bodyDiv w:val="1"/>
      <w:marLeft w:val="0"/>
      <w:marRight w:val="0"/>
      <w:marTop w:val="0"/>
      <w:marBottom w:val="0"/>
      <w:divBdr>
        <w:top w:val="none" w:sz="0" w:space="0" w:color="auto"/>
        <w:left w:val="none" w:sz="0" w:space="0" w:color="auto"/>
        <w:bottom w:val="none" w:sz="0" w:space="0" w:color="auto"/>
        <w:right w:val="none" w:sz="0" w:space="0" w:color="auto"/>
      </w:divBdr>
    </w:div>
    <w:div w:id="1321692484">
      <w:bodyDiv w:val="1"/>
      <w:marLeft w:val="0"/>
      <w:marRight w:val="0"/>
      <w:marTop w:val="0"/>
      <w:marBottom w:val="0"/>
      <w:divBdr>
        <w:top w:val="none" w:sz="0" w:space="0" w:color="auto"/>
        <w:left w:val="none" w:sz="0" w:space="0" w:color="auto"/>
        <w:bottom w:val="none" w:sz="0" w:space="0" w:color="auto"/>
        <w:right w:val="none" w:sz="0" w:space="0" w:color="auto"/>
      </w:divBdr>
    </w:div>
    <w:div w:id="1333487172">
      <w:bodyDiv w:val="1"/>
      <w:marLeft w:val="0"/>
      <w:marRight w:val="0"/>
      <w:marTop w:val="0"/>
      <w:marBottom w:val="0"/>
      <w:divBdr>
        <w:top w:val="none" w:sz="0" w:space="0" w:color="auto"/>
        <w:left w:val="none" w:sz="0" w:space="0" w:color="auto"/>
        <w:bottom w:val="none" w:sz="0" w:space="0" w:color="auto"/>
        <w:right w:val="none" w:sz="0" w:space="0" w:color="auto"/>
      </w:divBdr>
    </w:div>
    <w:div w:id="1546675354">
      <w:bodyDiv w:val="1"/>
      <w:marLeft w:val="0"/>
      <w:marRight w:val="0"/>
      <w:marTop w:val="0"/>
      <w:marBottom w:val="0"/>
      <w:divBdr>
        <w:top w:val="none" w:sz="0" w:space="0" w:color="auto"/>
        <w:left w:val="none" w:sz="0" w:space="0" w:color="auto"/>
        <w:bottom w:val="none" w:sz="0" w:space="0" w:color="auto"/>
        <w:right w:val="none" w:sz="0" w:space="0" w:color="auto"/>
      </w:divBdr>
    </w:div>
    <w:div w:id="16663264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8D806C68DD474CB18188EB2EE980724E"/>
        <w:category>
          <w:name w:val="General"/>
          <w:gallery w:val="placeholder"/>
        </w:category>
        <w:types>
          <w:type w:val="bbPlcHdr"/>
        </w:types>
        <w:behaviors>
          <w:behavior w:val="content"/>
        </w:behaviors>
        <w:guid w:val="{3B6B2F7D-DD6F-4F6F-8EDC-2DF660311F78}"/>
      </w:docPartPr>
      <w:docPartBody>
        <w:p w:rsidR="00487E40" w:rsidRDefault="00B92BD4" w:rsidP="00B92BD4">
          <w:pPr>
            <w:pStyle w:val="8D806C68DD474CB18188EB2EE980724E"/>
          </w:pPr>
          <w:r>
            <w:rPr>
              <w:rFonts w:asciiTheme="majorHAnsi" w:eastAsiaTheme="majorEastAsia" w:hAnsiTheme="majorHAnsi" w:cstheme="majorBidi"/>
              <w:caps/>
              <w:color w:val="4472C4" w:themeColor="accent1"/>
              <w:sz w:val="80"/>
              <w:szCs w:val="80"/>
            </w:rPr>
            <w:t>[Document title]</w:t>
          </w:r>
        </w:p>
      </w:docPartBody>
    </w:docPart>
    <w:docPart>
      <w:docPartPr>
        <w:name w:val="70236AF701AA413FA3CE13BEBB2B4611"/>
        <w:category>
          <w:name w:val="General"/>
          <w:gallery w:val="placeholder"/>
        </w:category>
        <w:types>
          <w:type w:val="bbPlcHdr"/>
        </w:types>
        <w:behaviors>
          <w:behavior w:val="content"/>
        </w:behaviors>
        <w:guid w:val="{DE1C477B-FF7D-419F-98C1-81EB603002B7}"/>
      </w:docPartPr>
      <w:docPartBody>
        <w:p w:rsidR="00487E40" w:rsidRDefault="00B92BD4" w:rsidP="00B92BD4">
          <w:pPr>
            <w:pStyle w:val="70236AF701AA413FA3CE13BEBB2B461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2BD4"/>
    <w:rsid w:val="00487E40"/>
    <w:rsid w:val="00B92B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D806C68DD474CB18188EB2EE980724E">
    <w:name w:val="8D806C68DD474CB18188EB2EE980724E"/>
    <w:rsid w:val="00B92BD4"/>
  </w:style>
  <w:style w:type="paragraph" w:customStyle="1" w:styleId="70236AF701AA413FA3CE13BEBB2B4611">
    <w:name w:val="70236AF701AA413FA3CE13BEBB2B4611"/>
    <w:rsid w:val="00B92BD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2020-01-26T00:00:00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Tar05</b:Tag>
    <b:SourceType>JournalArticle</b:SourceType>
    <b:Guid>{8CF1B199-2B1D-4BCA-B223-78493D0EB6E3}</b:Guid>
    <b:Title>Death and Commemoration </b:Title>
    <b:Year>2005</b:Year>
    <b:Author>
      <b:Author>
        <b:NameList>
          <b:Person>
            <b:Last>Tarlow</b:Last>
            <b:First>Sarah</b:First>
          </b:Person>
        </b:NameList>
      </b:Author>
    </b:Author>
    <b:JournalName>Industrial Archaeology Review</b:JournalName>
    <b:Pages>163-169</b:Pages>
    <b:Volume>27</b:Volume>
    <b:Issue>1</b:Issue>
    <b:RefOrder>1</b:RefOrder>
  </b:Source>
  <b:Source>
    <b:Tag>Ren91</b:Tag>
    <b:SourceType>Book</b:SourceType>
    <b:Guid>{FF519FC1-4641-4CB1-869A-2F925E0A0729}</b:Guid>
    <b:Title>Archaeology: Theories, Methods and Practice</b:Title>
    <b:Year>1991</b:Year>
    <b:City>London</b:City>
    <b:Publisher>Thames &amp; Hudson Ltd.</b:Publisher>
    <b:Author>
      <b:Author>
        <b:NameList>
          <b:Person>
            <b:Last>Renfrew</b:Last>
            <b:First>Colin</b:First>
          </b:Person>
          <b:Person>
            <b:Last>Bahn</b:Last>
            <b:First>Paul</b:First>
          </b:Person>
        </b:NameList>
      </b:Author>
    </b:Author>
    <b:Edition>7th </b:Edition>
    <b:RefOrder>2</b:RefOrder>
  </b:Source>
  <b:Source>
    <b:Tag>Pea99</b:Tag>
    <b:SourceType>Book</b:SourceType>
    <b:Guid>{F7956615-48D5-45D6-B8EC-4792C1BF258A}</b:Guid>
    <b:Author>
      <b:Author>
        <b:NameList>
          <b:Person>
            <b:Last>Pearson</b:Last>
            <b:First>M.</b:First>
          </b:Person>
        </b:NameList>
      </b:Author>
    </b:Author>
    <b:Title>The Archaeology of Death and Burial</b:Title>
    <b:Year>1999</b:Year>
    <b:City>Stroud, Gloucestershire</b:City>
    <b:Publisher>Sutton Publishing Ltd.</b:Publisher>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541A4DD-0E7C-463C-9BB6-8646F74DE1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1481</TotalTime>
  <Pages>6</Pages>
  <Words>1499</Words>
  <Characters>8546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Graveyard survey</vt:lpstr>
    </vt:vector>
  </TitlesOfParts>
  <Company>Naome wrightson</Company>
  <LinksUpToDate>false</LinksUpToDate>
  <CharactersWithSpaces>10025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Graveyard survey</dc:title>
  <dc:subject>Reflections of attitudes towards child mortality and the representation of children on gravestones</dc:subject>
  <dc:creator>Naome Wrightson (1907790)</dc:creator>
  <cp:keywords/>
  <dc:description/>
  <cp:lastModifiedBy>Naome Wrightson</cp:lastModifiedBy>
  <cp:revision>10</cp:revision>
  <dcterms:created xsi:type="dcterms:W3CDTF">2020-01-31T10:33:00Z</dcterms:created>
  <dcterms:modified xsi:type="dcterms:W3CDTF">2020-01-31T23:31:00Z</dcterms:modified>
</cp:coreProperties>
</file>