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40123" w14:textId="77777777" w:rsidR="00F852F7" w:rsidRPr="00DE5C35" w:rsidRDefault="00F852F7" w:rsidP="00F852F7">
      <w:pPr>
        <w:pStyle w:val="Title"/>
        <w:jc w:val="center"/>
        <w:rPr>
          <w:color w:val="000000" w:themeColor="text1"/>
          <w:sz w:val="24"/>
          <w:szCs w:val="24"/>
        </w:rPr>
      </w:pPr>
      <w:r w:rsidRPr="00DE5C35">
        <w:rPr>
          <w:noProof/>
          <w:color w:val="000000" w:themeColor="text1"/>
          <w:sz w:val="24"/>
          <w:szCs w:val="24"/>
          <w:lang w:bidi="hi-IN"/>
        </w:rPr>
        <w:drawing>
          <wp:inline distT="114300" distB="114300" distL="114300" distR="114300" wp14:anchorId="44B8C85B" wp14:editId="7FEB2C9D">
            <wp:extent cx="3028950" cy="714375"/>
            <wp:effectExtent l="0" t="0" r="0" b="9525"/>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28950" cy="714375"/>
                    </a:xfrm>
                    <a:prstGeom prst="rect">
                      <a:avLst/>
                    </a:prstGeom>
                    <a:ln/>
                  </pic:spPr>
                </pic:pic>
              </a:graphicData>
            </a:graphic>
          </wp:inline>
        </w:drawing>
      </w:r>
    </w:p>
    <w:p w14:paraId="638C722E" w14:textId="77777777" w:rsidR="00F852F7" w:rsidRPr="00DE5C35" w:rsidRDefault="00F852F7" w:rsidP="00F852F7">
      <w:pPr>
        <w:pStyle w:val="Title"/>
        <w:jc w:val="center"/>
        <w:rPr>
          <w:color w:val="000000" w:themeColor="text1"/>
          <w:sz w:val="24"/>
          <w:szCs w:val="24"/>
        </w:rPr>
      </w:pPr>
    </w:p>
    <w:p w14:paraId="1E054014" w14:textId="77777777" w:rsidR="00F852F7" w:rsidRPr="00DE5C35" w:rsidRDefault="00F852F7" w:rsidP="00F852F7">
      <w:pPr>
        <w:pStyle w:val="Title"/>
        <w:jc w:val="center"/>
        <w:rPr>
          <w:sz w:val="28"/>
          <w:szCs w:val="28"/>
        </w:rPr>
      </w:pPr>
      <w:r w:rsidRPr="00DE5C35">
        <w:rPr>
          <w:sz w:val="28"/>
          <w:szCs w:val="28"/>
        </w:rPr>
        <w:t>MSc Public Health and Social Care in Practice</w:t>
      </w:r>
    </w:p>
    <w:p w14:paraId="4A781249" w14:textId="2F8EDC86" w:rsidR="00F852F7" w:rsidRPr="00DE5C35" w:rsidRDefault="00711252" w:rsidP="00F852F7">
      <w:pPr>
        <w:pStyle w:val="Title"/>
        <w:jc w:val="center"/>
        <w:rPr>
          <w:sz w:val="28"/>
          <w:szCs w:val="28"/>
        </w:rPr>
      </w:pPr>
      <w:r w:rsidRPr="00711252">
        <w:rPr>
          <w:sz w:val="28"/>
          <w:szCs w:val="28"/>
        </w:rPr>
        <w:t xml:space="preserve">Social Epidemiology and Public Health Development </w:t>
      </w:r>
      <w:r w:rsidR="00F852F7" w:rsidRPr="00DE5C35">
        <w:rPr>
          <w:sz w:val="28"/>
          <w:szCs w:val="28"/>
        </w:rPr>
        <w:t>(LCHS700</w:t>
      </w:r>
      <w:r w:rsidR="00EF4B02">
        <w:rPr>
          <w:sz w:val="28"/>
          <w:szCs w:val="28"/>
        </w:rPr>
        <w:t>0</w:t>
      </w:r>
      <w:r w:rsidR="00F852F7" w:rsidRPr="00DE5C35">
        <w:rPr>
          <w:sz w:val="28"/>
          <w:szCs w:val="28"/>
        </w:rPr>
        <w:t>)</w:t>
      </w:r>
    </w:p>
    <w:p w14:paraId="7B625E3F" w14:textId="47A328F1" w:rsidR="00F852F7" w:rsidRPr="00DE5C35" w:rsidRDefault="007D1D62" w:rsidP="007D1D62">
      <w:pPr>
        <w:pStyle w:val="Title"/>
        <w:jc w:val="center"/>
        <w:rPr>
          <w:sz w:val="28"/>
          <w:szCs w:val="28"/>
        </w:rPr>
      </w:pPr>
      <w:r w:rsidRPr="007D1D62">
        <w:rPr>
          <w:sz w:val="28"/>
          <w:szCs w:val="28"/>
        </w:rPr>
        <w:t>Component 2</w:t>
      </w:r>
      <w:r>
        <w:rPr>
          <w:sz w:val="28"/>
          <w:szCs w:val="28"/>
        </w:rPr>
        <w:t xml:space="preserve"> </w:t>
      </w:r>
      <w:r w:rsidRPr="007D1D62">
        <w:rPr>
          <w:sz w:val="28"/>
          <w:szCs w:val="28"/>
        </w:rPr>
        <w:t>Analytical Report</w:t>
      </w:r>
    </w:p>
    <w:p w14:paraId="07C68E07" w14:textId="15B2D752" w:rsidR="00F852F7" w:rsidRPr="00DE5C35" w:rsidRDefault="00F852F7" w:rsidP="00F852F7">
      <w:pPr>
        <w:pStyle w:val="Title"/>
        <w:jc w:val="center"/>
        <w:rPr>
          <w:sz w:val="28"/>
          <w:szCs w:val="28"/>
        </w:rPr>
      </w:pPr>
      <w:r w:rsidRPr="00DE5C35">
        <w:rPr>
          <w:sz w:val="28"/>
          <w:szCs w:val="28"/>
        </w:rPr>
        <w:t>Student Name-</w:t>
      </w:r>
      <w:r w:rsidR="00C24DC3">
        <w:rPr>
          <w:sz w:val="28"/>
          <w:szCs w:val="28"/>
        </w:rPr>
        <w:t xml:space="preserve"> Ronak Yusuf Sheikh </w:t>
      </w:r>
    </w:p>
    <w:p w14:paraId="67434ED3" w14:textId="086DB840" w:rsidR="00F852F7" w:rsidRPr="00DE5C35" w:rsidRDefault="00F852F7" w:rsidP="00F852F7">
      <w:pPr>
        <w:pStyle w:val="Title"/>
        <w:jc w:val="center"/>
        <w:rPr>
          <w:sz w:val="28"/>
          <w:szCs w:val="28"/>
        </w:rPr>
      </w:pPr>
      <w:r w:rsidRPr="00DE5C35">
        <w:rPr>
          <w:sz w:val="28"/>
          <w:szCs w:val="28"/>
        </w:rPr>
        <w:t>Student ID-</w:t>
      </w:r>
      <w:r w:rsidR="00122329">
        <w:rPr>
          <w:sz w:val="28"/>
          <w:szCs w:val="28"/>
        </w:rPr>
        <w:t xml:space="preserve"> </w:t>
      </w:r>
      <w:r w:rsidR="00CD1F4A" w:rsidRPr="00CD1F4A">
        <w:rPr>
          <w:sz w:val="28"/>
          <w:szCs w:val="28"/>
        </w:rPr>
        <w:t>2436884</w:t>
      </w:r>
    </w:p>
    <w:p w14:paraId="1C33DBE8" w14:textId="601A6E30" w:rsidR="00F852F7" w:rsidRPr="00DE5C35" w:rsidRDefault="00F852F7" w:rsidP="00F852F7">
      <w:pPr>
        <w:pStyle w:val="Title"/>
        <w:jc w:val="center"/>
        <w:rPr>
          <w:sz w:val="28"/>
          <w:szCs w:val="28"/>
        </w:rPr>
      </w:pPr>
      <w:r w:rsidRPr="00DE5C35">
        <w:rPr>
          <w:sz w:val="28"/>
          <w:szCs w:val="28"/>
        </w:rPr>
        <w:t xml:space="preserve">Lecturer Name- </w:t>
      </w:r>
      <w:r w:rsidR="003F1059">
        <w:rPr>
          <w:sz w:val="28"/>
          <w:szCs w:val="28"/>
        </w:rPr>
        <w:t>Jolly Nwankwo</w:t>
      </w:r>
    </w:p>
    <w:p w14:paraId="0C88124D" w14:textId="396CC6F4" w:rsidR="00F852F7" w:rsidRPr="00DE5C35" w:rsidRDefault="00F852F7" w:rsidP="00F852F7">
      <w:pPr>
        <w:pStyle w:val="Title"/>
        <w:jc w:val="center"/>
        <w:rPr>
          <w:sz w:val="28"/>
          <w:szCs w:val="28"/>
        </w:rPr>
      </w:pPr>
      <w:r w:rsidRPr="00DE5C35">
        <w:rPr>
          <w:sz w:val="28"/>
          <w:szCs w:val="28"/>
        </w:rPr>
        <w:t xml:space="preserve">Word Count - </w:t>
      </w:r>
      <w:r w:rsidR="002A02F0">
        <w:rPr>
          <w:sz w:val="28"/>
          <w:szCs w:val="28"/>
        </w:rPr>
        <w:t>2400</w:t>
      </w:r>
    </w:p>
    <w:p w14:paraId="5B32BE3B" w14:textId="56F0F29B" w:rsidR="00F852F7" w:rsidRPr="00DE5C35" w:rsidRDefault="00F852F7" w:rsidP="00F852F7">
      <w:pPr>
        <w:pStyle w:val="Title"/>
        <w:jc w:val="center"/>
        <w:rPr>
          <w:sz w:val="28"/>
          <w:szCs w:val="28"/>
        </w:rPr>
      </w:pPr>
      <w:r w:rsidRPr="00DE5C35">
        <w:rPr>
          <w:sz w:val="28"/>
          <w:szCs w:val="28"/>
        </w:rPr>
        <w:t>Submission Date- 1</w:t>
      </w:r>
      <w:r w:rsidR="002F7323">
        <w:rPr>
          <w:sz w:val="28"/>
          <w:szCs w:val="28"/>
        </w:rPr>
        <w:t xml:space="preserve">9 </w:t>
      </w:r>
      <w:r w:rsidRPr="00DE5C35">
        <w:rPr>
          <w:sz w:val="28"/>
          <w:szCs w:val="28"/>
        </w:rPr>
        <w:t xml:space="preserve">December 2025 </w:t>
      </w:r>
    </w:p>
    <w:p w14:paraId="50A0BC8D" w14:textId="77777777" w:rsidR="0044417F" w:rsidRPr="0000298B" w:rsidRDefault="0044417F">
      <w:pPr>
        <w:rPr>
          <w:rFonts w:eastAsia="Times New Roman"/>
          <w:b/>
          <w:bCs/>
          <w:color w:val="000000" w:themeColor="text1"/>
        </w:rPr>
      </w:pPr>
      <w:r w:rsidRPr="0000298B">
        <w:rPr>
          <w:rFonts w:eastAsia="Times New Roman"/>
          <w:b/>
          <w:bCs/>
          <w:color w:val="000000" w:themeColor="text1"/>
        </w:rPr>
        <w:br w:type="page"/>
      </w:r>
    </w:p>
    <w:sdt>
      <w:sdtPr>
        <w:rPr>
          <w:rFonts w:ascii="Arial" w:eastAsia="Arial" w:hAnsi="Arial" w:cs="Arial"/>
          <w:color w:val="000000" w:themeColor="text1"/>
          <w:sz w:val="22"/>
          <w:szCs w:val="22"/>
        </w:rPr>
        <w:id w:val="-1053846185"/>
        <w:docPartObj>
          <w:docPartGallery w:val="Table of Contents"/>
          <w:docPartUnique/>
        </w:docPartObj>
      </w:sdtPr>
      <w:sdtEndPr>
        <w:rPr>
          <w:rFonts w:ascii="Times New Roman" w:hAnsi="Times New Roman" w:cs="Times New Roman"/>
          <w:b/>
          <w:bCs/>
          <w:sz w:val="24"/>
          <w:szCs w:val="24"/>
        </w:rPr>
      </w:sdtEndPr>
      <w:sdtContent>
        <w:p w14:paraId="724277AC" w14:textId="57B89E28" w:rsidR="0044417F" w:rsidRPr="0000298B" w:rsidRDefault="0044417F" w:rsidP="0044417F">
          <w:pPr>
            <w:pStyle w:val="TOCHeading"/>
            <w:spacing w:line="360" w:lineRule="auto"/>
            <w:jc w:val="center"/>
            <w:rPr>
              <w:rFonts w:ascii="Arial" w:hAnsi="Arial" w:cs="Arial"/>
              <w:b/>
              <w:bCs/>
              <w:color w:val="000000" w:themeColor="text1"/>
              <w:sz w:val="22"/>
              <w:szCs w:val="22"/>
            </w:rPr>
          </w:pPr>
          <w:r w:rsidRPr="0000298B">
            <w:rPr>
              <w:rFonts w:ascii="Arial" w:hAnsi="Arial" w:cs="Arial"/>
              <w:b/>
              <w:bCs/>
              <w:color w:val="000000" w:themeColor="text1"/>
              <w:sz w:val="22"/>
              <w:szCs w:val="22"/>
            </w:rPr>
            <w:t>Table of Contents</w:t>
          </w:r>
        </w:p>
        <w:p w14:paraId="78D1294B" w14:textId="548CCAEC" w:rsidR="0000298B" w:rsidRPr="0000298B" w:rsidRDefault="0044417F">
          <w:pPr>
            <w:pStyle w:val="TOC1"/>
            <w:tabs>
              <w:tab w:val="right" w:leader="dot" w:pos="9019"/>
            </w:tabs>
            <w:rPr>
              <w:rFonts w:eastAsiaTheme="minorEastAsia"/>
              <w:noProof/>
              <w:color w:val="000000" w:themeColor="text1"/>
              <w:kern w:val="2"/>
              <w:lang w:val="en-IN" w:eastAsia="en-IN" w:bidi="bn-IN"/>
              <w14:ligatures w14:val="standardContextual"/>
            </w:rPr>
          </w:pPr>
          <w:r w:rsidRPr="0000298B">
            <w:rPr>
              <w:color w:val="000000" w:themeColor="text1"/>
            </w:rPr>
            <w:fldChar w:fldCharType="begin"/>
          </w:r>
          <w:r w:rsidRPr="0000298B">
            <w:rPr>
              <w:color w:val="000000" w:themeColor="text1"/>
            </w:rPr>
            <w:instrText xml:space="preserve"> TOC \o "1-3" \h \z \u </w:instrText>
          </w:r>
          <w:r w:rsidRPr="0000298B">
            <w:rPr>
              <w:color w:val="000000" w:themeColor="text1"/>
            </w:rPr>
            <w:fldChar w:fldCharType="separate"/>
          </w:r>
          <w:hyperlink w:anchor="_Toc216956562" w:history="1">
            <w:r w:rsidR="0000298B" w:rsidRPr="0000298B">
              <w:rPr>
                <w:rStyle w:val="Hyperlink"/>
                <w:noProof/>
                <w:color w:val="000000" w:themeColor="text1"/>
              </w:rPr>
              <w:t>Task 1: Addressing Inequality in Disability and Health Among British Older Adults</w:t>
            </w:r>
            <w:r w:rsidR="0000298B" w:rsidRPr="0000298B">
              <w:rPr>
                <w:noProof/>
                <w:webHidden/>
                <w:color w:val="000000" w:themeColor="text1"/>
              </w:rPr>
              <w:tab/>
            </w:r>
            <w:r w:rsidR="0000298B" w:rsidRPr="0000298B">
              <w:rPr>
                <w:noProof/>
                <w:webHidden/>
                <w:color w:val="000000" w:themeColor="text1"/>
              </w:rPr>
              <w:fldChar w:fldCharType="begin"/>
            </w:r>
            <w:r w:rsidR="0000298B" w:rsidRPr="0000298B">
              <w:rPr>
                <w:noProof/>
                <w:webHidden/>
                <w:color w:val="000000" w:themeColor="text1"/>
              </w:rPr>
              <w:instrText xml:space="preserve"> PAGEREF _Toc216956562 \h </w:instrText>
            </w:r>
            <w:r w:rsidR="0000298B" w:rsidRPr="0000298B">
              <w:rPr>
                <w:noProof/>
                <w:webHidden/>
                <w:color w:val="000000" w:themeColor="text1"/>
              </w:rPr>
            </w:r>
            <w:r w:rsidR="0000298B" w:rsidRPr="0000298B">
              <w:rPr>
                <w:noProof/>
                <w:webHidden/>
                <w:color w:val="000000" w:themeColor="text1"/>
              </w:rPr>
              <w:fldChar w:fldCharType="separate"/>
            </w:r>
            <w:r w:rsidR="0000298B" w:rsidRPr="0000298B">
              <w:rPr>
                <w:noProof/>
                <w:webHidden/>
                <w:color w:val="000000" w:themeColor="text1"/>
              </w:rPr>
              <w:t>3</w:t>
            </w:r>
            <w:r w:rsidR="0000298B" w:rsidRPr="0000298B">
              <w:rPr>
                <w:noProof/>
                <w:webHidden/>
                <w:color w:val="000000" w:themeColor="text1"/>
              </w:rPr>
              <w:fldChar w:fldCharType="end"/>
            </w:r>
          </w:hyperlink>
        </w:p>
        <w:p w14:paraId="0B2A1DF5" w14:textId="2F633838" w:rsidR="0000298B" w:rsidRPr="0000298B" w:rsidRDefault="0000298B">
          <w:pPr>
            <w:pStyle w:val="TOC2"/>
            <w:tabs>
              <w:tab w:val="right" w:leader="dot" w:pos="9019"/>
            </w:tabs>
            <w:rPr>
              <w:rFonts w:eastAsiaTheme="minorEastAsia"/>
              <w:noProof/>
              <w:color w:val="000000" w:themeColor="text1"/>
              <w:kern w:val="2"/>
              <w:lang w:val="en-IN" w:eastAsia="en-IN" w:bidi="bn-IN"/>
              <w14:ligatures w14:val="standardContextual"/>
            </w:rPr>
          </w:pPr>
          <w:hyperlink w:anchor="_Toc216956563" w:history="1">
            <w:r w:rsidRPr="0000298B">
              <w:rPr>
                <w:rStyle w:val="Hyperlink"/>
                <w:noProof/>
                <w:color w:val="000000" w:themeColor="text1"/>
              </w:rPr>
              <w:t>1.0 Introduction</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_Toc216956563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3</w:t>
            </w:r>
            <w:r w:rsidRPr="0000298B">
              <w:rPr>
                <w:noProof/>
                <w:webHidden/>
                <w:color w:val="000000" w:themeColor="text1"/>
              </w:rPr>
              <w:fldChar w:fldCharType="end"/>
            </w:r>
          </w:hyperlink>
        </w:p>
        <w:p w14:paraId="69CBEF48" w14:textId="554A05BD" w:rsidR="0000298B" w:rsidRPr="0000298B" w:rsidRDefault="0000298B">
          <w:pPr>
            <w:pStyle w:val="TOC2"/>
            <w:tabs>
              <w:tab w:val="right" w:leader="dot" w:pos="9019"/>
            </w:tabs>
            <w:rPr>
              <w:rFonts w:eastAsiaTheme="minorEastAsia"/>
              <w:noProof/>
              <w:color w:val="000000" w:themeColor="text1"/>
              <w:kern w:val="2"/>
              <w:lang w:val="en-IN" w:eastAsia="en-IN" w:bidi="bn-IN"/>
              <w14:ligatures w14:val="standardContextual"/>
            </w:rPr>
          </w:pPr>
          <w:hyperlink w:anchor="_Toc216956564" w:history="1">
            <w:r w:rsidRPr="0000298B">
              <w:rPr>
                <w:rStyle w:val="Hyperlink"/>
                <w:noProof/>
                <w:color w:val="000000" w:themeColor="text1"/>
              </w:rPr>
              <w:t>2.0 Contextual background and underlying factors</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_Toc216956564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3</w:t>
            </w:r>
            <w:r w:rsidRPr="0000298B">
              <w:rPr>
                <w:noProof/>
                <w:webHidden/>
                <w:color w:val="000000" w:themeColor="text1"/>
              </w:rPr>
              <w:fldChar w:fldCharType="end"/>
            </w:r>
          </w:hyperlink>
        </w:p>
        <w:p w14:paraId="4FA78E99" w14:textId="6E1B4148" w:rsidR="0000298B" w:rsidRPr="0000298B" w:rsidRDefault="0000298B">
          <w:pPr>
            <w:pStyle w:val="TOC3"/>
            <w:tabs>
              <w:tab w:val="right" w:leader="dot" w:pos="9019"/>
            </w:tabs>
            <w:rPr>
              <w:rFonts w:eastAsiaTheme="minorEastAsia"/>
              <w:noProof/>
              <w:color w:val="000000" w:themeColor="text1"/>
              <w:kern w:val="2"/>
              <w:lang w:val="en-IN" w:eastAsia="en-IN" w:bidi="bn-IN"/>
              <w14:ligatures w14:val="standardContextual"/>
            </w:rPr>
          </w:pPr>
          <w:hyperlink w:anchor="_Toc216956565" w:history="1">
            <w:r w:rsidRPr="0000298B">
              <w:rPr>
                <w:rStyle w:val="Hyperlink"/>
                <w:noProof/>
                <w:color w:val="000000" w:themeColor="text1"/>
              </w:rPr>
              <w:t>2.1 Higher rates of Mental Health Issues</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_Toc216956565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3</w:t>
            </w:r>
            <w:r w:rsidRPr="0000298B">
              <w:rPr>
                <w:noProof/>
                <w:webHidden/>
                <w:color w:val="000000" w:themeColor="text1"/>
              </w:rPr>
              <w:fldChar w:fldCharType="end"/>
            </w:r>
          </w:hyperlink>
        </w:p>
        <w:p w14:paraId="6A165D92" w14:textId="08DF4B9F" w:rsidR="0000298B" w:rsidRPr="0000298B" w:rsidRDefault="0000298B">
          <w:pPr>
            <w:pStyle w:val="TOC3"/>
            <w:tabs>
              <w:tab w:val="right" w:leader="dot" w:pos="9019"/>
            </w:tabs>
            <w:rPr>
              <w:rFonts w:eastAsiaTheme="minorEastAsia"/>
              <w:noProof/>
              <w:color w:val="000000" w:themeColor="text1"/>
              <w:kern w:val="2"/>
              <w:lang w:val="en-IN" w:eastAsia="en-IN" w:bidi="bn-IN"/>
              <w14:ligatures w14:val="standardContextual"/>
            </w:rPr>
          </w:pPr>
          <w:hyperlink w:anchor="_Toc216956566" w:history="1">
            <w:r w:rsidRPr="0000298B">
              <w:rPr>
                <w:rStyle w:val="Hyperlink"/>
                <w:noProof/>
                <w:color w:val="000000" w:themeColor="text1"/>
              </w:rPr>
              <w:t>2.2 Low Rates of Access to Healthcare and Social Services</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_Toc216956566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4</w:t>
            </w:r>
            <w:r w:rsidRPr="0000298B">
              <w:rPr>
                <w:noProof/>
                <w:webHidden/>
                <w:color w:val="000000" w:themeColor="text1"/>
              </w:rPr>
              <w:fldChar w:fldCharType="end"/>
            </w:r>
          </w:hyperlink>
        </w:p>
        <w:p w14:paraId="771089A5" w14:textId="2C5D6995" w:rsidR="0000298B" w:rsidRPr="0000298B" w:rsidRDefault="0000298B">
          <w:pPr>
            <w:pStyle w:val="TOC3"/>
            <w:tabs>
              <w:tab w:val="right" w:leader="dot" w:pos="9019"/>
            </w:tabs>
            <w:rPr>
              <w:rFonts w:eastAsiaTheme="minorEastAsia"/>
              <w:noProof/>
              <w:color w:val="000000" w:themeColor="text1"/>
              <w:kern w:val="2"/>
              <w:lang w:val="en-IN" w:eastAsia="en-IN" w:bidi="bn-IN"/>
              <w14:ligatures w14:val="standardContextual"/>
            </w:rPr>
          </w:pPr>
          <w:hyperlink w:anchor="_Toc216956567" w:history="1">
            <w:r w:rsidRPr="0000298B">
              <w:rPr>
                <w:rStyle w:val="Hyperlink"/>
                <w:noProof/>
                <w:color w:val="000000" w:themeColor="text1"/>
              </w:rPr>
              <w:t>2.3 Mortality rates among the Elderly group</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_Toc216956567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4</w:t>
            </w:r>
            <w:r w:rsidRPr="0000298B">
              <w:rPr>
                <w:noProof/>
                <w:webHidden/>
                <w:color w:val="000000" w:themeColor="text1"/>
              </w:rPr>
              <w:fldChar w:fldCharType="end"/>
            </w:r>
          </w:hyperlink>
        </w:p>
        <w:p w14:paraId="507D7674" w14:textId="4DD23BD3" w:rsidR="0000298B" w:rsidRPr="0000298B" w:rsidRDefault="0000298B">
          <w:pPr>
            <w:pStyle w:val="TOC3"/>
            <w:tabs>
              <w:tab w:val="right" w:leader="dot" w:pos="9019"/>
            </w:tabs>
            <w:rPr>
              <w:rFonts w:eastAsiaTheme="minorEastAsia"/>
              <w:noProof/>
              <w:color w:val="000000" w:themeColor="text1"/>
              <w:kern w:val="2"/>
              <w:lang w:val="en-IN" w:eastAsia="en-IN" w:bidi="bn-IN"/>
              <w14:ligatures w14:val="standardContextual"/>
            </w:rPr>
          </w:pPr>
          <w:hyperlink w:anchor="_Toc216956568" w:history="1">
            <w:r w:rsidRPr="0000298B">
              <w:rPr>
                <w:rStyle w:val="Hyperlink"/>
                <w:noProof/>
                <w:color w:val="000000" w:themeColor="text1"/>
              </w:rPr>
              <w:t>2.4 Social Isolation and Loneliness</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_Toc216956568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4</w:t>
            </w:r>
            <w:r w:rsidRPr="0000298B">
              <w:rPr>
                <w:noProof/>
                <w:webHidden/>
                <w:color w:val="000000" w:themeColor="text1"/>
              </w:rPr>
              <w:fldChar w:fldCharType="end"/>
            </w:r>
          </w:hyperlink>
        </w:p>
        <w:p w14:paraId="78360F30" w14:textId="6815A5AF" w:rsidR="0000298B" w:rsidRPr="0000298B" w:rsidRDefault="0000298B">
          <w:pPr>
            <w:pStyle w:val="TOC3"/>
            <w:tabs>
              <w:tab w:val="right" w:leader="dot" w:pos="9019"/>
            </w:tabs>
            <w:rPr>
              <w:rFonts w:eastAsiaTheme="minorEastAsia"/>
              <w:noProof/>
              <w:color w:val="000000" w:themeColor="text1"/>
              <w:kern w:val="2"/>
              <w:lang w:val="en-IN" w:eastAsia="en-IN" w:bidi="bn-IN"/>
              <w14:ligatures w14:val="standardContextual"/>
            </w:rPr>
          </w:pPr>
          <w:hyperlink w:anchor="_Toc216956569" w:history="1">
            <w:r w:rsidRPr="0000298B">
              <w:rPr>
                <w:rStyle w:val="Hyperlink"/>
                <w:noProof/>
                <w:color w:val="000000" w:themeColor="text1"/>
              </w:rPr>
              <w:t>2.5 Poverty and Housing Issues</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_Toc216956569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5</w:t>
            </w:r>
            <w:r w:rsidRPr="0000298B">
              <w:rPr>
                <w:noProof/>
                <w:webHidden/>
                <w:color w:val="000000" w:themeColor="text1"/>
              </w:rPr>
              <w:fldChar w:fldCharType="end"/>
            </w:r>
          </w:hyperlink>
        </w:p>
        <w:p w14:paraId="4CF1967A" w14:textId="19B5A5B5" w:rsidR="0000298B" w:rsidRPr="0000298B" w:rsidRDefault="0000298B">
          <w:pPr>
            <w:pStyle w:val="TOC2"/>
            <w:tabs>
              <w:tab w:val="right" w:leader="dot" w:pos="9019"/>
            </w:tabs>
            <w:rPr>
              <w:rFonts w:eastAsiaTheme="minorEastAsia"/>
              <w:noProof/>
              <w:color w:val="000000" w:themeColor="text1"/>
              <w:kern w:val="2"/>
              <w:lang w:val="en-IN" w:eastAsia="en-IN" w:bidi="bn-IN"/>
              <w14:ligatures w14:val="standardContextual"/>
            </w:rPr>
          </w:pPr>
          <w:hyperlink w:anchor="_Toc216956570" w:history="1">
            <w:r w:rsidRPr="0000298B">
              <w:rPr>
                <w:rStyle w:val="Hyperlink"/>
                <w:noProof/>
                <w:color w:val="000000" w:themeColor="text1"/>
              </w:rPr>
              <w:t>3.0 National Response to Reduce Health Inequalities</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_Toc216956570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6</w:t>
            </w:r>
            <w:r w:rsidRPr="0000298B">
              <w:rPr>
                <w:noProof/>
                <w:webHidden/>
                <w:color w:val="000000" w:themeColor="text1"/>
              </w:rPr>
              <w:fldChar w:fldCharType="end"/>
            </w:r>
          </w:hyperlink>
        </w:p>
        <w:p w14:paraId="6B26B1D7" w14:textId="4BC129E4" w:rsidR="0000298B" w:rsidRPr="0000298B" w:rsidRDefault="0000298B">
          <w:pPr>
            <w:pStyle w:val="TOC2"/>
            <w:tabs>
              <w:tab w:val="right" w:leader="dot" w:pos="9019"/>
            </w:tabs>
            <w:rPr>
              <w:rFonts w:eastAsiaTheme="minorEastAsia"/>
              <w:noProof/>
              <w:color w:val="000000" w:themeColor="text1"/>
              <w:kern w:val="2"/>
              <w:lang w:val="en-IN" w:eastAsia="en-IN" w:bidi="bn-IN"/>
              <w14:ligatures w14:val="standardContextual"/>
            </w:rPr>
          </w:pPr>
          <w:hyperlink w:anchor="_Toc216956571" w:history="1">
            <w:r w:rsidRPr="0000298B">
              <w:rPr>
                <w:rStyle w:val="Hyperlink"/>
                <w:noProof/>
                <w:color w:val="000000" w:themeColor="text1"/>
              </w:rPr>
              <w:t>4.0 Organisations that Support Chosen Group</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_Toc216956571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6</w:t>
            </w:r>
            <w:r w:rsidRPr="0000298B">
              <w:rPr>
                <w:noProof/>
                <w:webHidden/>
                <w:color w:val="000000" w:themeColor="text1"/>
              </w:rPr>
              <w:fldChar w:fldCharType="end"/>
            </w:r>
          </w:hyperlink>
        </w:p>
        <w:p w14:paraId="4681780C" w14:textId="2556390D" w:rsidR="0000298B" w:rsidRPr="0000298B" w:rsidRDefault="0000298B">
          <w:pPr>
            <w:pStyle w:val="TOC2"/>
            <w:tabs>
              <w:tab w:val="right" w:leader="dot" w:pos="9019"/>
            </w:tabs>
            <w:rPr>
              <w:rFonts w:eastAsiaTheme="minorEastAsia"/>
              <w:noProof/>
              <w:color w:val="000000" w:themeColor="text1"/>
              <w:kern w:val="2"/>
              <w:lang w:val="en-IN" w:eastAsia="en-IN" w:bidi="bn-IN"/>
              <w14:ligatures w14:val="standardContextual"/>
            </w:rPr>
          </w:pPr>
          <w:hyperlink w:anchor="_Toc216956572" w:history="1">
            <w:r w:rsidRPr="0000298B">
              <w:rPr>
                <w:rStyle w:val="Hyperlink"/>
                <w:noProof/>
                <w:color w:val="000000" w:themeColor="text1"/>
              </w:rPr>
              <w:t>5.0 Conclusion</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_Toc216956572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6</w:t>
            </w:r>
            <w:r w:rsidRPr="0000298B">
              <w:rPr>
                <w:noProof/>
                <w:webHidden/>
                <w:color w:val="000000" w:themeColor="text1"/>
              </w:rPr>
              <w:fldChar w:fldCharType="end"/>
            </w:r>
          </w:hyperlink>
        </w:p>
        <w:p w14:paraId="6FE73069" w14:textId="1D707294" w:rsidR="0000298B" w:rsidRPr="0000298B" w:rsidRDefault="0000298B">
          <w:pPr>
            <w:pStyle w:val="TOC1"/>
            <w:tabs>
              <w:tab w:val="right" w:leader="dot" w:pos="9019"/>
            </w:tabs>
            <w:rPr>
              <w:rFonts w:eastAsiaTheme="minorEastAsia"/>
              <w:noProof/>
              <w:color w:val="000000" w:themeColor="text1"/>
              <w:kern w:val="2"/>
              <w:lang w:val="en-IN" w:eastAsia="en-IN" w:bidi="bn-IN"/>
              <w14:ligatures w14:val="standardContextual"/>
            </w:rPr>
          </w:pPr>
          <w:hyperlink w:anchor="_Toc216956573" w:history="1">
            <w:r w:rsidRPr="0000298B">
              <w:rPr>
                <w:rStyle w:val="Hyperlink"/>
                <w:noProof/>
                <w:color w:val="000000" w:themeColor="text1"/>
              </w:rPr>
              <w:t>Task 2: Epidemiological Analysis of Asthma Among Younger Adults aged 18 to 30 years in the London Borough of Lambeth</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_Toc216956573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7</w:t>
            </w:r>
            <w:r w:rsidRPr="0000298B">
              <w:rPr>
                <w:noProof/>
                <w:webHidden/>
                <w:color w:val="000000" w:themeColor="text1"/>
              </w:rPr>
              <w:fldChar w:fldCharType="end"/>
            </w:r>
          </w:hyperlink>
        </w:p>
        <w:p w14:paraId="13391400" w14:textId="569DB889" w:rsidR="0000298B" w:rsidRPr="0000298B" w:rsidRDefault="0000298B">
          <w:pPr>
            <w:pStyle w:val="TOC2"/>
            <w:tabs>
              <w:tab w:val="right" w:leader="dot" w:pos="9019"/>
            </w:tabs>
            <w:rPr>
              <w:rFonts w:eastAsiaTheme="minorEastAsia"/>
              <w:noProof/>
              <w:color w:val="000000" w:themeColor="text1"/>
              <w:kern w:val="2"/>
              <w:lang w:val="en-IN" w:eastAsia="en-IN" w:bidi="bn-IN"/>
              <w14:ligatures w14:val="standardContextual"/>
            </w:rPr>
          </w:pPr>
          <w:hyperlink w:anchor="_Toc216956574" w:history="1">
            <w:r w:rsidRPr="0000298B">
              <w:rPr>
                <w:rStyle w:val="Hyperlink"/>
                <w:noProof/>
                <w:color w:val="000000" w:themeColor="text1"/>
              </w:rPr>
              <w:t>1.0 Introduction</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_Toc216956574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7</w:t>
            </w:r>
            <w:r w:rsidRPr="0000298B">
              <w:rPr>
                <w:noProof/>
                <w:webHidden/>
                <w:color w:val="000000" w:themeColor="text1"/>
              </w:rPr>
              <w:fldChar w:fldCharType="end"/>
            </w:r>
          </w:hyperlink>
        </w:p>
        <w:p w14:paraId="0FC0EE30" w14:textId="2682D9E5" w:rsidR="0000298B" w:rsidRPr="0000298B" w:rsidRDefault="0000298B">
          <w:pPr>
            <w:pStyle w:val="TOC3"/>
            <w:tabs>
              <w:tab w:val="right" w:leader="dot" w:pos="9019"/>
            </w:tabs>
            <w:rPr>
              <w:rFonts w:eastAsiaTheme="minorEastAsia"/>
              <w:noProof/>
              <w:color w:val="000000" w:themeColor="text1"/>
              <w:kern w:val="2"/>
              <w:lang w:val="en-IN" w:eastAsia="en-IN" w:bidi="bn-IN"/>
              <w14:ligatures w14:val="standardContextual"/>
            </w:rPr>
          </w:pPr>
          <w:hyperlink w:anchor="_Toc216956575" w:history="1">
            <w:r w:rsidRPr="0000298B">
              <w:rPr>
                <w:rStyle w:val="Hyperlink"/>
                <w:noProof/>
                <w:color w:val="000000" w:themeColor="text1"/>
              </w:rPr>
              <w:t>1.1 Overview</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_Toc216956575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7</w:t>
            </w:r>
            <w:r w:rsidRPr="0000298B">
              <w:rPr>
                <w:noProof/>
                <w:webHidden/>
                <w:color w:val="000000" w:themeColor="text1"/>
              </w:rPr>
              <w:fldChar w:fldCharType="end"/>
            </w:r>
          </w:hyperlink>
        </w:p>
        <w:p w14:paraId="777E6507" w14:textId="387B907A" w:rsidR="0000298B" w:rsidRPr="0000298B" w:rsidRDefault="0000298B">
          <w:pPr>
            <w:pStyle w:val="TOC3"/>
            <w:tabs>
              <w:tab w:val="right" w:leader="dot" w:pos="9019"/>
            </w:tabs>
            <w:rPr>
              <w:rFonts w:eastAsiaTheme="minorEastAsia"/>
              <w:noProof/>
              <w:color w:val="000000" w:themeColor="text1"/>
              <w:kern w:val="2"/>
              <w:lang w:val="en-IN" w:eastAsia="en-IN" w:bidi="bn-IN"/>
              <w14:ligatures w14:val="standardContextual"/>
            </w:rPr>
          </w:pPr>
          <w:hyperlink w:anchor="_Toc216956576" w:history="1">
            <w:r w:rsidRPr="0000298B">
              <w:rPr>
                <w:rStyle w:val="Hyperlink"/>
                <w:noProof/>
                <w:color w:val="000000" w:themeColor="text1"/>
              </w:rPr>
              <w:t>1.2 Definition and Consequences</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_Toc216956576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7</w:t>
            </w:r>
            <w:r w:rsidRPr="0000298B">
              <w:rPr>
                <w:noProof/>
                <w:webHidden/>
                <w:color w:val="000000" w:themeColor="text1"/>
              </w:rPr>
              <w:fldChar w:fldCharType="end"/>
            </w:r>
          </w:hyperlink>
        </w:p>
        <w:p w14:paraId="46F6A338" w14:textId="1604A91B" w:rsidR="0000298B" w:rsidRPr="0000298B" w:rsidRDefault="0000298B">
          <w:pPr>
            <w:pStyle w:val="TOC3"/>
            <w:tabs>
              <w:tab w:val="right" w:leader="dot" w:pos="9019"/>
            </w:tabs>
            <w:rPr>
              <w:rFonts w:eastAsiaTheme="minorEastAsia"/>
              <w:noProof/>
              <w:color w:val="000000" w:themeColor="text1"/>
              <w:kern w:val="2"/>
              <w:lang w:val="en-IN" w:eastAsia="en-IN" w:bidi="bn-IN"/>
              <w14:ligatures w14:val="standardContextual"/>
            </w:rPr>
          </w:pPr>
          <w:hyperlink w:anchor="_Toc216956577" w:history="1">
            <w:r w:rsidRPr="0000298B">
              <w:rPr>
                <w:rStyle w:val="Hyperlink"/>
                <w:noProof/>
                <w:color w:val="000000" w:themeColor="text1"/>
              </w:rPr>
              <w:t>1.3 Incidence and Prevalence</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_Toc216956577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7</w:t>
            </w:r>
            <w:r w:rsidRPr="0000298B">
              <w:rPr>
                <w:noProof/>
                <w:webHidden/>
                <w:color w:val="000000" w:themeColor="text1"/>
              </w:rPr>
              <w:fldChar w:fldCharType="end"/>
            </w:r>
          </w:hyperlink>
        </w:p>
        <w:p w14:paraId="7EE087E9" w14:textId="3E67D105" w:rsidR="0000298B" w:rsidRPr="0000298B" w:rsidRDefault="0000298B">
          <w:pPr>
            <w:pStyle w:val="TOC2"/>
            <w:tabs>
              <w:tab w:val="right" w:leader="dot" w:pos="9019"/>
            </w:tabs>
            <w:rPr>
              <w:rFonts w:eastAsiaTheme="minorEastAsia"/>
              <w:noProof/>
              <w:color w:val="000000" w:themeColor="text1"/>
              <w:kern w:val="2"/>
              <w:lang w:val="en-IN" w:eastAsia="en-IN" w:bidi="bn-IN"/>
              <w14:ligatures w14:val="standardContextual"/>
            </w:rPr>
          </w:pPr>
          <w:hyperlink w:anchor="_Toc216956578" w:history="1">
            <w:r w:rsidRPr="0000298B">
              <w:rPr>
                <w:rStyle w:val="Hyperlink"/>
                <w:noProof/>
                <w:color w:val="000000" w:themeColor="text1"/>
              </w:rPr>
              <w:t>2.0 Main Body</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_Toc216956578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8</w:t>
            </w:r>
            <w:r w:rsidRPr="0000298B">
              <w:rPr>
                <w:noProof/>
                <w:webHidden/>
                <w:color w:val="000000" w:themeColor="text1"/>
              </w:rPr>
              <w:fldChar w:fldCharType="end"/>
            </w:r>
          </w:hyperlink>
        </w:p>
        <w:p w14:paraId="06CAFD6B" w14:textId="05D68124" w:rsidR="0000298B" w:rsidRPr="0000298B" w:rsidRDefault="0000298B">
          <w:pPr>
            <w:pStyle w:val="TOC3"/>
            <w:tabs>
              <w:tab w:val="right" w:leader="dot" w:pos="9019"/>
            </w:tabs>
            <w:rPr>
              <w:rFonts w:eastAsiaTheme="minorEastAsia"/>
              <w:noProof/>
              <w:color w:val="000000" w:themeColor="text1"/>
              <w:kern w:val="2"/>
              <w:lang w:val="en-IN" w:eastAsia="en-IN" w:bidi="bn-IN"/>
              <w14:ligatures w14:val="standardContextual"/>
            </w:rPr>
          </w:pPr>
          <w:hyperlink w:anchor="_Toc216956579" w:history="1">
            <w:r w:rsidRPr="0000298B">
              <w:rPr>
                <w:rStyle w:val="Hyperlink"/>
                <w:noProof/>
                <w:color w:val="000000" w:themeColor="text1"/>
              </w:rPr>
              <w:t>2.1 Public Health Measures</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_Toc216956579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8</w:t>
            </w:r>
            <w:r w:rsidRPr="0000298B">
              <w:rPr>
                <w:noProof/>
                <w:webHidden/>
                <w:color w:val="000000" w:themeColor="text1"/>
              </w:rPr>
              <w:fldChar w:fldCharType="end"/>
            </w:r>
          </w:hyperlink>
        </w:p>
        <w:p w14:paraId="3468AA71" w14:textId="51B39CD8" w:rsidR="0000298B" w:rsidRPr="0000298B" w:rsidRDefault="0000298B">
          <w:pPr>
            <w:pStyle w:val="TOC3"/>
            <w:tabs>
              <w:tab w:val="right" w:leader="dot" w:pos="9019"/>
            </w:tabs>
            <w:rPr>
              <w:rFonts w:eastAsiaTheme="minorEastAsia"/>
              <w:noProof/>
              <w:color w:val="000000" w:themeColor="text1"/>
              <w:kern w:val="2"/>
              <w:lang w:val="en-IN" w:eastAsia="en-IN" w:bidi="bn-IN"/>
              <w14:ligatures w14:val="standardContextual"/>
            </w:rPr>
          </w:pPr>
          <w:hyperlink w:anchor="_Toc216956580" w:history="1">
            <w:r w:rsidRPr="0000298B">
              <w:rPr>
                <w:rStyle w:val="Hyperlink"/>
                <w:noProof/>
                <w:color w:val="000000" w:themeColor="text1"/>
              </w:rPr>
              <w:t>2.2 Risk Factors associated to the Disease</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_Toc216956580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8</w:t>
            </w:r>
            <w:r w:rsidRPr="0000298B">
              <w:rPr>
                <w:noProof/>
                <w:webHidden/>
                <w:color w:val="000000" w:themeColor="text1"/>
              </w:rPr>
              <w:fldChar w:fldCharType="end"/>
            </w:r>
          </w:hyperlink>
        </w:p>
        <w:p w14:paraId="2E5F9036" w14:textId="55D0B351" w:rsidR="0000298B" w:rsidRPr="0000298B" w:rsidRDefault="0000298B">
          <w:pPr>
            <w:pStyle w:val="TOC3"/>
            <w:tabs>
              <w:tab w:val="right" w:leader="dot" w:pos="9019"/>
            </w:tabs>
            <w:rPr>
              <w:rFonts w:eastAsiaTheme="minorEastAsia"/>
              <w:noProof/>
              <w:color w:val="000000" w:themeColor="text1"/>
              <w:kern w:val="2"/>
              <w:lang w:val="en-IN" w:eastAsia="en-IN" w:bidi="bn-IN"/>
              <w14:ligatures w14:val="standardContextual"/>
            </w:rPr>
          </w:pPr>
          <w:hyperlink w:anchor="_Toc216956581" w:history="1">
            <w:r w:rsidRPr="0000298B">
              <w:rPr>
                <w:rStyle w:val="Hyperlink"/>
                <w:noProof/>
                <w:color w:val="000000" w:themeColor="text1"/>
              </w:rPr>
              <w:t>2.3 Epidemiological Studies and a Health Needs Assessment</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_Toc216956581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9</w:t>
            </w:r>
            <w:r w:rsidRPr="0000298B">
              <w:rPr>
                <w:noProof/>
                <w:webHidden/>
                <w:color w:val="000000" w:themeColor="text1"/>
              </w:rPr>
              <w:fldChar w:fldCharType="end"/>
            </w:r>
          </w:hyperlink>
        </w:p>
        <w:p w14:paraId="232C3552" w14:textId="2D6E5757" w:rsidR="0000298B" w:rsidRPr="0000298B" w:rsidRDefault="0000298B">
          <w:pPr>
            <w:pStyle w:val="TOC3"/>
            <w:tabs>
              <w:tab w:val="right" w:leader="dot" w:pos="9019"/>
            </w:tabs>
            <w:rPr>
              <w:rFonts w:eastAsiaTheme="minorEastAsia"/>
              <w:noProof/>
              <w:color w:val="000000" w:themeColor="text1"/>
              <w:kern w:val="2"/>
              <w:lang w:val="en-IN" w:eastAsia="en-IN" w:bidi="bn-IN"/>
              <w14:ligatures w14:val="standardContextual"/>
            </w:rPr>
          </w:pPr>
          <w:hyperlink w:anchor="_Toc216956582" w:history="1">
            <w:r w:rsidRPr="0000298B">
              <w:rPr>
                <w:rStyle w:val="Hyperlink"/>
                <w:noProof/>
                <w:color w:val="000000" w:themeColor="text1"/>
              </w:rPr>
              <w:t>2.4 Public Health Approaches and Strategies</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_Toc216956582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9</w:t>
            </w:r>
            <w:r w:rsidRPr="0000298B">
              <w:rPr>
                <w:noProof/>
                <w:webHidden/>
                <w:color w:val="000000" w:themeColor="text1"/>
              </w:rPr>
              <w:fldChar w:fldCharType="end"/>
            </w:r>
          </w:hyperlink>
        </w:p>
        <w:p w14:paraId="72064C20" w14:textId="5185A197" w:rsidR="0000298B" w:rsidRPr="0000298B" w:rsidRDefault="0000298B">
          <w:pPr>
            <w:pStyle w:val="TOC3"/>
            <w:tabs>
              <w:tab w:val="right" w:leader="dot" w:pos="9019"/>
            </w:tabs>
            <w:rPr>
              <w:rFonts w:eastAsiaTheme="minorEastAsia"/>
              <w:noProof/>
              <w:color w:val="000000" w:themeColor="text1"/>
              <w:kern w:val="2"/>
              <w:lang w:val="en-IN" w:eastAsia="en-IN" w:bidi="bn-IN"/>
              <w14:ligatures w14:val="standardContextual"/>
            </w:rPr>
          </w:pPr>
          <w:hyperlink w:anchor="_Toc216956583" w:history="1">
            <w:r w:rsidRPr="0000298B">
              <w:rPr>
                <w:rStyle w:val="Hyperlink"/>
                <w:noProof/>
                <w:color w:val="000000" w:themeColor="text1"/>
              </w:rPr>
              <w:t>2.5 Impact Assessment</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_Toc216956583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10</w:t>
            </w:r>
            <w:r w:rsidRPr="0000298B">
              <w:rPr>
                <w:noProof/>
                <w:webHidden/>
                <w:color w:val="000000" w:themeColor="text1"/>
              </w:rPr>
              <w:fldChar w:fldCharType="end"/>
            </w:r>
          </w:hyperlink>
        </w:p>
        <w:p w14:paraId="76A35072" w14:textId="07649182" w:rsidR="0000298B" w:rsidRPr="0000298B" w:rsidRDefault="0000298B">
          <w:pPr>
            <w:pStyle w:val="TOC3"/>
            <w:tabs>
              <w:tab w:val="right" w:leader="dot" w:pos="9019"/>
            </w:tabs>
            <w:rPr>
              <w:rFonts w:eastAsiaTheme="minorEastAsia"/>
              <w:noProof/>
              <w:color w:val="000000" w:themeColor="text1"/>
              <w:kern w:val="2"/>
              <w:lang w:val="en-IN" w:eastAsia="en-IN" w:bidi="bn-IN"/>
              <w14:ligatures w14:val="standardContextual"/>
            </w:rPr>
          </w:pPr>
          <w:hyperlink w:anchor="_Toc216956584" w:history="1">
            <w:r w:rsidRPr="0000298B">
              <w:rPr>
                <w:rStyle w:val="Hyperlink"/>
                <w:noProof/>
                <w:color w:val="000000" w:themeColor="text1"/>
              </w:rPr>
              <w:t>2.6 Health Intervention Programme</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_Toc216956584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10</w:t>
            </w:r>
            <w:r w:rsidRPr="0000298B">
              <w:rPr>
                <w:noProof/>
                <w:webHidden/>
                <w:color w:val="000000" w:themeColor="text1"/>
              </w:rPr>
              <w:fldChar w:fldCharType="end"/>
            </w:r>
          </w:hyperlink>
        </w:p>
        <w:p w14:paraId="72522A1C" w14:textId="781FA087" w:rsidR="0000298B" w:rsidRPr="0000298B" w:rsidRDefault="0000298B">
          <w:pPr>
            <w:pStyle w:val="TOC2"/>
            <w:tabs>
              <w:tab w:val="right" w:leader="dot" w:pos="9019"/>
            </w:tabs>
            <w:rPr>
              <w:rFonts w:eastAsiaTheme="minorEastAsia"/>
              <w:noProof/>
              <w:color w:val="000000" w:themeColor="text1"/>
              <w:kern w:val="2"/>
              <w:lang w:val="en-IN" w:eastAsia="en-IN" w:bidi="bn-IN"/>
              <w14:ligatures w14:val="standardContextual"/>
            </w:rPr>
          </w:pPr>
          <w:hyperlink w:anchor="_Toc216956585" w:history="1">
            <w:r w:rsidRPr="0000298B">
              <w:rPr>
                <w:rStyle w:val="Hyperlink"/>
                <w:noProof/>
                <w:color w:val="000000" w:themeColor="text1"/>
              </w:rPr>
              <w:t>2.7 Conclusion</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_Toc216956585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11</w:t>
            </w:r>
            <w:r w:rsidRPr="0000298B">
              <w:rPr>
                <w:noProof/>
                <w:webHidden/>
                <w:color w:val="000000" w:themeColor="text1"/>
              </w:rPr>
              <w:fldChar w:fldCharType="end"/>
            </w:r>
          </w:hyperlink>
        </w:p>
        <w:p w14:paraId="55266862" w14:textId="6B307C0D" w:rsidR="0000298B" w:rsidRPr="0000298B" w:rsidRDefault="0000298B">
          <w:pPr>
            <w:pStyle w:val="TOC2"/>
            <w:tabs>
              <w:tab w:val="right" w:leader="dot" w:pos="9019"/>
            </w:tabs>
            <w:rPr>
              <w:rFonts w:eastAsiaTheme="minorEastAsia"/>
              <w:noProof/>
              <w:color w:val="000000" w:themeColor="text1"/>
              <w:kern w:val="2"/>
              <w:lang w:val="en-IN" w:eastAsia="en-IN" w:bidi="bn-IN"/>
              <w14:ligatures w14:val="standardContextual"/>
            </w:rPr>
          </w:pPr>
          <w:hyperlink w:anchor="_Toc216956586" w:history="1">
            <w:r w:rsidRPr="0000298B">
              <w:rPr>
                <w:rStyle w:val="Hyperlink"/>
                <w:noProof/>
                <w:color w:val="000000" w:themeColor="text1"/>
              </w:rPr>
              <w:t>References</w:t>
            </w:r>
            <w:r w:rsidRPr="0000298B">
              <w:rPr>
                <w:noProof/>
                <w:webHidden/>
                <w:color w:val="000000" w:themeColor="text1"/>
              </w:rPr>
              <w:tab/>
            </w:r>
            <w:r w:rsidRPr="0000298B">
              <w:rPr>
                <w:noProof/>
                <w:webHidden/>
                <w:color w:val="000000" w:themeColor="text1"/>
              </w:rPr>
              <w:fldChar w:fldCharType="begin"/>
            </w:r>
            <w:r w:rsidRPr="0000298B">
              <w:rPr>
                <w:noProof/>
                <w:webHidden/>
                <w:color w:val="000000" w:themeColor="text1"/>
              </w:rPr>
              <w:instrText xml:space="preserve"> PAGEREF _Toc216956586 \h </w:instrText>
            </w:r>
            <w:r w:rsidRPr="0000298B">
              <w:rPr>
                <w:noProof/>
                <w:webHidden/>
                <w:color w:val="000000" w:themeColor="text1"/>
              </w:rPr>
            </w:r>
            <w:r w:rsidRPr="0000298B">
              <w:rPr>
                <w:noProof/>
                <w:webHidden/>
                <w:color w:val="000000" w:themeColor="text1"/>
              </w:rPr>
              <w:fldChar w:fldCharType="separate"/>
            </w:r>
            <w:r w:rsidRPr="0000298B">
              <w:rPr>
                <w:noProof/>
                <w:webHidden/>
                <w:color w:val="000000" w:themeColor="text1"/>
              </w:rPr>
              <w:t>12</w:t>
            </w:r>
            <w:r w:rsidRPr="0000298B">
              <w:rPr>
                <w:noProof/>
                <w:webHidden/>
                <w:color w:val="000000" w:themeColor="text1"/>
              </w:rPr>
              <w:fldChar w:fldCharType="end"/>
            </w:r>
          </w:hyperlink>
        </w:p>
        <w:p w14:paraId="276C9A52" w14:textId="3D7F6D50" w:rsidR="0044417F" w:rsidRPr="0044417F" w:rsidRDefault="0044417F" w:rsidP="0044417F">
          <w:pPr>
            <w:spacing w:line="360" w:lineRule="auto"/>
            <w:jc w:val="both"/>
            <w:rPr>
              <w:rFonts w:ascii="Times New Roman" w:hAnsi="Times New Roman" w:cs="Times New Roman"/>
              <w:color w:val="000000" w:themeColor="text1"/>
              <w:sz w:val="24"/>
              <w:szCs w:val="24"/>
            </w:rPr>
          </w:pPr>
          <w:r w:rsidRPr="0000298B">
            <w:rPr>
              <w:b/>
              <w:bCs/>
              <w:color w:val="000000" w:themeColor="text1"/>
            </w:rPr>
            <w:fldChar w:fldCharType="end"/>
          </w:r>
        </w:p>
      </w:sdtContent>
    </w:sdt>
    <w:p w14:paraId="45ABA310" w14:textId="77777777" w:rsidR="00E82CE9" w:rsidRDefault="00E82CE9">
      <w:pPr>
        <w:rPr>
          <w:rFonts w:ascii="Times New Roman" w:hAnsi="Times New Roman"/>
          <w:b/>
          <w:color w:val="000000" w:themeColor="text1"/>
          <w:sz w:val="28"/>
          <w:szCs w:val="40"/>
        </w:rPr>
      </w:pPr>
      <w:r>
        <w:rPr>
          <w:color w:val="000000" w:themeColor="text1"/>
        </w:rPr>
        <w:br w:type="page"/>
      </w:r>
    </w:p>
    <w:p w14:paraId="0D7B2A01" w14:textId="6D147A7B" w:rsidR="003E55CC" w:rsidRPr="00E82CE9" w:rsidRDefault="008B3BA2" w:rsidP="00E82CE9">
      <w:pPr>
        <w:pStyle w:val="Heading1"/>
        <w:spacing w:before="240" w:after="240" w:line="360" w:lineRule="auto"/>
        <w:jc w:val="both"/>
        <w:rPr>
          <w:rFonts w:ascii="Arial" w:hAnsi="Arial"/>
          <w:color w:val="000000" w:themeColor="text1"/>
          <w:sz w:val="22"/>
          <w:szCs w:val="22"/>
        </w:rPr>
      </w:pPr>
      <w:bookmarkStart w:id="0" w:name="_Toc216956562"/>
      <w:r w:rsidRPr="00E82CE9">
        <w:rPr>
          <w:rFonts w:ascii="Arial" w:hAnsi="Arial"/>
          <w:color w:val="000000" w:themeColor="text1"/>
          <w:sz w:val="22"/>
          <w:szCs w:val="22"/>
        </w:rPr>
        <w:t>Task 1: Addressing Inequality in Disability and Health Among British Older Adults</w:t>
      </w:r>
      <w:bookmarkEnd w:id="0"/>
      <w:r w:rsidRPr="00E82CE9">
        <w:rPr>
          <w:rFonts w:ascii="Arial" w:hAnsi="Arial"/>
          <w:color w:val="000000" w:themeColor="text1"/>
          <w:sz w:val="22"/>
          <w:szCs w:val="22"/>
        </w:rPr>
        <w:t xml:space="preserve">  </w:t>
      </w:r>
    </w:p>
    <w:p w14:paraId="49071492" w14:textId="0F63F674" w:rsidR="003E55CC" w:rsidRPr="00E82CE9" w:rsidRDefault="008B3BA2" w:rsidP="00E82CE9">
      <w:pPr>
        <w:pStyle w:val="Heading2"/>
        <w:spacing w:before="240" w:after="240" w:line="360" w:lineRule="auto"/>
        <w:jc w:val="both"/>
        <w:rPr>
          <w:rFonts w:ascii="Arial" w:hAnsi="Arial"/>
          <w:color w:val="000000" w:themeColor="text1"/>
          <w:sz w:val="22"/>
          <w:szCs w:val="22"/>
        </w:rPr>
      </w:pPr>
      <w:bookmarkStart w:id="1" w:name="_Toc216956563"/>
      <w:r w:rsidRPr="00E82CE9">
        <w:rPr>
          <w:rFonts w:ascii="Arial" w:hAnsi="Arial"/>
          <w:color w:val="000000" w:themeColor="text1"/>
          <w:sz w:val="22"/>
          <w:szCs w:val="22"/>
        </w:rPr>
        <w:t>1.0 Introduction</w:t>
      </w:r>
      <w:bookmarkEnd w:id="1"/>
      <w:r w:rsidRPr="00E82CE9">
        <w:rPr>
          <w:rFonts w:ascii="Arial" w:hAnsi="Arial"/>
          <w:color w:val="000000" w:themeColor="text1"/>
          <w:sz w:val="22"/>
          <w:szCs w:val="22"/>
        </w:rPr>
        <w:t xml:space="preserve"> </w:t>
      </w:r>
    </w:p>
    <w:p w14:paraId="2FAD0553" w14:textId="1788A334" w:rsidR="003E55CC" w:rsidRPr="00E82CE9" w:rsidRDefault="008B3BA2" w:rsidP="00E82CE9">
      <w:pPr>
        <w:spacing w:before="240" w:after="240" w:line="360" w:lineRule="auto"/>
        <w:jc w:val="both"/>
        <w:rPr>
          <w:rFonts w:eastAsia="Times New Roman"/>
          <w:color w:val="000000" w:themeColor="text1"/>
        </w:rPr>
      </w:pPr>
      <w:r w:rsidRPr="00E82CE9">
        <w:rPr>
          <w:rFonts w:eastAsia="Times New Roman"/>
          <w:color w:val="000000" w:themeColor="text1"/>
        </w:rPr>
        <w:t>The prevalence of inequalities related to disabilities and health is quite common among the population of the British older adults. The target age group for the study is from the age of 60 to 80 years. The disabilities among the older adults increase due to chronic illness and degenerative diseases</w:t>
      </w:r>
      <w:r w:rsidR="00926A4F">
        <w:rPr>
          <w:rFonts w:eastAsia="Times New Roman"/>
          <w:color w:val="000000" w:themeColor="text1"/>
        </w:rPr>
        <w:t xml:space="preserve"> (</w:t>
      </w:r>
      <w:r w:rsidR="00926A4F" w:rsidRPr="00926A4F">
        <w:rPr>
          <w:rFonts w:eastAsia="Times New Roman"/>
          <w:color w:val="000000" w:themeColor="text1"/>
        </w:rPr>
        <w:t>Thomson</w:t>
      </w:r>
      <w:r w:rsidR="00926A4F">
        <w:rPr>
          <w:rFonts w:eastAsia="Times New Roman"/>
          <w:color w:val="000000" w:themeColor="text1"/>
        </w:rPr>
        <w:t xml:space="preserve"> </w:t>
      </w:r>
      <w:r w:rsidR="00A15905" w:rsidRPr="00A15905">
        <w:rPr>
          <w:rFonts w:eastAsia="Times New Roman"/>
          <w:i/>
          <w:iCs/>
          <w:color w:val="000000" w:themeColor="text1"/>
        </w:rPr>
        <w:t>et al.,</w:t>
      </w:r>
      <w:r w:rsidR="00926A4F">
        <w:rPr>
          <w:rFonts w:eastAsia="Times New Roman"/>
          <w:color w:val="000000" w:themeColor="text1"/>
        </w:rPr>
        <w:t xml:space="preserve"> 2021)</w:t>
      </w:r>
      <w:r w:rsidRPr="00E82CE9">
        <w:rPr>
          <w:rFonts w:eastAsia="Times New Roman"/>
          <w:color w:val="000000" w:themeColor="text1"/>
        </w:rPr>
        <w:t>. The older adults with disabilities encounter higher risk of health inequalities as compared to those without disabilities. This is because the people with disabilities are completely dependent on care givers and often suffer from negligence</w:t>
      </w:r>
      <w:r w:rsidR="00926A4F">
        <w:rPr>
          <w:rFonts w:eastAsia="Times New Roman"/>
          <w:color w:val="000000" w:themeColor="text1"/>
        </w:rPr>
        <w:t xml:space="preserve"> (</w:t>
      </w:r>
      <w:r w:rsidR="00926A4F" w:rsidRPr="00926A4F">
        <w:rPr>
          <w:rFonts w:eastAsia="Times New Roman"/>
          <w:color w:val="000000" w:themeColor="text1"/>
        </w:rPr>
        <w:t>Choi</w:t>
      </w:r>
      <w:r w:rsidR="00926A4F">
        <w:rPr>
          <w:rFonts w:eastAsia="Times New Roman"/>
          <w:color w:val="000000" w:themeColor="text1"/>
        </w:rPr>
        <w:t xml:space="preserve"> </w:t>
      </w:r>
      <w:r w:rsidR="00A15905" w:rsidRPr="00A15905">
        <w:rPr>
          <w:rFonts w:eastAsia="Times New Roman"/>
          <w:i/>
          <w:iCs/>
          <w:color w:val="000000" w:themeColor="text1"/>
        </w:rPr>
        <w:t>et al.,</w:t>
      </w:r>
      <w:r w:rsidR="00926A4F">
        <w:rPr>
          <w:rFonts w:eastAsia="Times New Roman"/>
          <w:color w:val="000000" w:themeColor="text1"/>
        </w:rPr>
        <w:t xml:space="preserve"> 2022)</w:t>
      </w:r>
      <w:r w:rsidRPr="00E82CE9">
        <w:rPr>
          <w:rFonts w:eastAsia="Times New Roman"/>
          <w:color w:val="000000" w:themeColor="text1"/>
        </w:rPr>
        <w:t xml:space="preserve">. This study thus addresses the disability and health inequalities faced by the British Older adults. </w:t>
      </w:r>
    </w:p>
    <w:p w14:paraId="1BB2044A" w14:textId="4B242D09" w:rsidR="003E55CC" w:rsidRPr="00E82CE9" w:rsidRDefault="008B3BA2" w:rsidP="00E82CE9">
      <w:pPr>
        <w:pStyle w:val="Heading2"/>
        <w:spacing w:before="240" w:after="240" w:line="360" w:lineRule="auto"/>
        <w:jc w:val="both"/>
        <w:rPr>
          <w:rFonts w:ascii="Arial" w:hAnsi="Arial"/>
          <w:color w:val="000000" w:themeColor="text1"/>
          <w:sz w:val="22"/>
          <w:szCs w:val="22"/>
        </w:rPr>
      </w:pPr>
      <w:bookmarkStart w:id="2" w:name="_Toc216956564"/>
      <w:r w:rsidRPr="00E82CE9">
        <w:rPr>
          <w:rFonts w:ascii="Arial" w:hAnsi="Arial"/>
          <w:color w:val="000000" w:themeColor="text1"/>
          <w:sz w:val="22"/>
          <w:szCs w:val="22"/>
        </w:rPr>
        <w:t>2.0 Contextual background and underlying factors</w:t>
      </w:r>
      <w:bookmarkEnd w:id="2"/>
      <w:r w:rsidRPr="00E82CE9">
        <w:rPr>
          <w:rFonts w:ascii="Arial" w:hAnsi="Arial"/>
          <w:color w:val="000000" w:themeColor="text1"/>
          <w:sz w:val="22"/>
          <w:szCs w:val="22"/>
        </w:rPr>
        <w:t xml:space="preserve"> </w:t>
      </w:r>
    </w:p>
    <w:p w14:paraId="175B5B22" w14:textId="77777777" w:rsidR="003E55CC" w:rsidRPr="00E82CE9" w:rsidRDefault="008B3BA2" w:rsidP="00E82CE9">
      <w:pPr>
        <w:pStyle w:val="Heading3"/>
        <w:spacing w:before="240" w:after="240" w:line="360" w:lineRule="auto"/>
        <w:jc w:val="both"/>
        <w:rPr>
          <w:rFonts w:ascii="Arial" w:hAnsi="Arial"/>
          <w:sz w:val="22"/>
          <w:szCs w:val="22"/>
        </w:rPr>
      </w:pPr>
      <w:bookmarkStart w:id="3" w:name="_Toc216956565"/>
      <w:r w:rsidRPr="00E82CE9">
        <w:rPr>
          <w:rFonts w:ascii="Arial" w:hAnsi="Arial"/>
          <w:sz w:val="22"/>
          <w:szCs w:val="22"/>
        </w:rPr>
        <w:t>2.1 Higher rates of Mental Health Issues</w:t>
      </w:r>
      <w:bookmarkEnd w:id="3"/>
      <w:r w:rsidRPr="00E82CE9">
        <w:rPr>
          <w:rFonts w:ascii="Arial" w:hAnsi="Arial"/>
          <w:sz w:val="22"/>
          <w:szCs w:val="22"/>
        </w:rPr>
        <w:t xml:space="preserve"> </w:t>
      </w:r>
    </w:p>
    <w:p w14:paraId="26C3EF6F" w14:textId="7327B118" w:rsidR="003E55CC" w:rsidRPr="00E82CE9" w:rsidRDefault="008B3BA2" w:rsidP="00E82CE9">
      <w:pPr>
        <w:spacing w:before="240" w:after="240" w:line="360" w:lineRule="auto"/>
        <w:jc w:val="both"/>
        <w:rPr>
          <w:rFonts w:eastAsia="Times New Roman"/>
          <w:color w:val="000000" w:themeColor="text1"/>
        </w:rPr>
      </w:pPr>
      <w:r w:rsidRPr="00E82CE9">
        <w:rPr>
          <w:rFonts w:eastAsia="Times New Roman"/>
          <w:color w:val="000000" w:themeColor="text1"/>
        </w:rPr>
        <w:t xml:space="preserve">The adults with disabilities belonging to the age group of 60 to 80 years are prone to mental health problems such as anxiety and depression. The disabled adults living with chronic </w:t>
      </w:r>
      <w:r w:rsidR="00AD0FD2" w:rsidRPr="00E82CE9">
        <w:rPr>
          <w:rFonts w:eastAsia="Times New Roman"/>
          <w:color w:val="000000" w:themeColor="text1"/>
        </w:rPr>
        <w:t>diseases have</w:t>
      </w:r>
      <w:r w:rsidRPr="00E82CE9">
        <w:rPr>
          <w:rFonts w:eastAsia="Times New Roman"/>
          <w:color w:val="000000" w:themeColor="text1"/>
        </w:rPr>
        <w:t xml:space="preserve"> lesser life satisfaction and more anxiety as compared to the </w:t>
      </w:r>
      <w:r w:rsidR="0044417F" w:rsidRPr="00E82CE9">
        <w:rPr>
          <w:rFonts w:eastAsia="Times New Roman"/>
          <w:color w:val="000000" w:themeColor="text1"/>
        </w:rPr>
        <w:t>non-disabled</w:t>
      </w:r>
      <w:r w:rsidRPr="00E82CE9">
        <w:rPr>
          <w:rFonts w:eastAsia="Times New Roman"/>
          <w:color w:val="000000" w:themeColor="text1"/>
        </w:rPr>
        <w:t xml:space="preserve"> people. These disabled people are at risks of developing mental health diseases as they are highly neglected by their care givers and are abandoned</w:t>
      </w:r>
      <w:r w:rsidR="00926A4F">
        <w:rPr>
          <w:rFonts w:eastAsia="Times New Roman"/>
          <w:color w:val="000000" w:themeColor="text1"/>
        </w:rPr>
        <w:t xml:space="preserve"> (</w:t>
      </w:r>
      <w:r w:rsidR="00926A4F" w:rsidRPr="00926A4F">
        <w:rPr>
          <w:rFonts w:eastAsia="Times New Roman"/>
          <w:color w:val="000000" w:themeColor="text1"/>
        </w:rPr>
        <w:t>Buffel</w:t>
      </w:r>
      <w:r w:rsidR="00926A4F">
        <w:rPr>
          <w:rFonts w:eastAsia="Times New Roman"/>
          <w:color w:val="000000" w:themeColor="text1"/>
        </w:rPr>
        <w:t xml:space="preserve"> </w:t>
      </w:r>
      <w:r w:rsidR="00A15905" w:rsidRPr="00A15905">
        <w:rPr>
          <w:rFonts w:eastAsia="Times New Roman"/>
          <w:i/>
          <w:iCs/>
          <w:color w:val="000000" w:themeColor="text1"/>
        </w:rPr>
        <w:t>et al.,</w:t>
      </w:r>
      <w:r w:rsidR="00926A4F">
        <w:rPr>
          <w:rFonts w:eastAsia="Times New Roman"/>
          <w:color w:val="000000" w:themeColor="text1"/>
        </w:rPr>
        <w:t xml:space="preserve"> 2023)</w:t>
      </w:r>
      <w:r w:rsidRPr="00E82CE9">
        <w:rPr>
          <w:rFonts w:eastAsia="Times New Roman"/>
          <w:color w:val="000000" w:themeColor="text1"/>
        </w:rPr>
        <w:t xml:space="preserve">. The loss of independence and untreated conditions leads to higher rates of mental health illness. As per the data of NHS UK, nearly half of the adults in the UK over the age of 55 are suffering depression (7.7 million) and anxiety (7.3 million). The patient care models for these people must be transformed such that friendly interactions can reduce their depression and anxiety (NHS UK, 2023b). </w:t>
      </w:r>
    </w:p>
    <w:p w14:paraId="45C5451F" w14:textId="77777777" w:rsidR="003E55CC" w:rsidRPr="00E82CE9" w:rsidRDefault="008B3BA2" w:rsidP="00E267B3">
      <w:pPr>
        <w:spacing w:before="240" w:after="240" w:line="360" w:lineRule="auto"/>
        <w:jc w:val="center"/>
        <w:rPr>
          <w:rFonts w:eastAsia="Times New Roman"/>
          <w:color w:val="000000" w:themeColor="text1"/>
        </w:rPr>
      </w:pPr>
      <w:r w:rsidRPr="00E82CE9">
        <w:rPr>
          <w:rFonts w:eastAsia="Times New Roman"/>
          <w:noProof/>
          <w:color w:val="000000" w:themeColor="text1"/>
        </w:rPr>
        <w:drawing>
          <wp:inline distT="114300" distB="114300" distL="114300" distR="114300" wp14:anchorId="6475C766" wp14:editId="156F9370">
            <wp:extent cx="4173175" cy="2252960"/>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173175" cy="2252960"/>
                    </a:xfrm>
                    <a:prstGeom prst="rect">
                      <a:avLst/>
                    </a:prstGeom>
                    <a:ln w="12700">
                      <a:solidFill>
                        <a:srgbClr val="000000"/>
                      </a:solidFill>
                      <a:prstDash val="solid"/>
                    </a:ln>
                  </pic:spPr>
                </pic:pic>
              </a:graphicData>
            </a:graphic>
          </wp:inline>
        </w:drawing>
      </w:r>
    </w:p>
    <w:p w14:paraId="3BF9A143" w14:textId="1AF5485F" w:rsidR="003E55CC" w:rsidRPr="00E82CE9" w:rsidRDefault="008B3BA2" w:rsidP="00E267B3">
      <w:pPr>
        <w:spacing w:before="240" w:after="240" w:line="360" w:lineRule="auto"/>
        <w:jc w:val="center"/>
        <w:rPr>
          <w:rFonts w:eastAsia="Times New Roman"/>
          <w:b/>
          <w:bCs/>
          <w:color w:val="000000" w:themeColor="text1"/>
        </w:rPr>
      </w:pPr>
      <w:r w:rsidRPr="00E82CE9">
        <w:rPr>
          <w:rFonts w:eastAsia="Times New Roman"/>
          <w:b/>
          <w:bCs/>
          <w:color w:val="000000" w:themeColor="text1"/>
        </w:rPr>
        <w:t xml:space="preserve">Figure 1: Variation in rates of life satisfaction and anxiety among disabled and </w:t>
      </w:r>
      <w:r w:rsidR="0044417F" w:rsidRPr="00E82CE9">
        <w:rPr>
          <w:rFonts w:eastAsia="Times New Roman"/>
          <w:b/>
          <w:bCs/>
          <w:color w:val="000000" w:themeColor="text1"/>
        </w:rPr>
        <w:t>non-disabled</w:t>
      </w:r>
      <w:r w:rsidRPr="00E82CE9">
        <w:rPr>
          <w:rFonts w:eastAsia="Times New Roman"/>
          <w:b/>
          <w:bCs/>
          <w:color w:val="000000" w:themeColor="text1"/>
        </w:rPr>
        <w:t xml:space="preserve"> older adults</w:t>
      </w:r>
    </w:p>
    <w:p w14:paraId="6E33D12A" w14:textId="22C014DB" w:rsidR="003E55CC" w:rsidRPr="00E82CE9" w:rsidRDefault="008B3BA2" w:rsidP="00E267B3">
      <w:pPr>
        <w:spacing w:before="240" w:after="240" w:line="360" w:lineRule="auto"/>
        <w:jc w:val="center"/>
        <w:rPr>
          <w:rFonts w:eastAsia="Times New Roman"/>
          <w:color w:val="000000" w:themeColor="text1"/>
        </w:rPr>
      </w:pPr>
      <w:r w:rsidRPr="00E82CE9">
        <w:rPr>
          <w:rFonts w:eastAsia="Times New Roman"/>
          <w:color w:val="000000" w:themeColor="text1"/>
        </w:rPr>
        <w:t>(Source: Foubert, 2021)</w:t>
      </w:r>
    </w:p>
    <w:p w14:paraId="54EC2295" w14:textId="77777777" w:rsidR="003E55CC" w:rsidRPr="00E82CE9" w:rsidRDefault="008B3BA2" w:rsidP="00E82CE9">
      <w:pPr>
        <w:pStyle w:val="Heading3"/>
        <w:spacing w:before="240" w:after="240" w:line="360" w:lineRule="auto"/>
        <w:jc w:val="both"/>
        <w:rPr>
          <w:rFonts w:ascii="Arial" w:hAnsi="Arial"/>
          <w:sz w:val="22"/>
          <w:szCs w:val="22"/>
        </w:rPr>
      </w:pPr>
      <w:bookmarkStart w:id="4" w:name="_Toc216956566"/>
      <w:r w:rsidRPr="00E82CE9">
        <w:rPr>
          <w:rFonts w:ascii="Arial" w:hAnsi="Arial"/>
          <w:sz w:val="22"/>
          <w:szCs w:val="22"/>
        </w:rPr>
        <w:t>2.2 Low Rates of Access to Healthcare and Social Services</w:t>
      </w:r>
      <w:bookmarkEnd w:id="4"/>
    </w:p>
    <w:p w14:paraId="01F77E62" w14:textId="2CDAE947" w:rsidR="003E55CC" w:rsidRPr="00E82CE9" w:rsidRDefault="008B3BA2" w:rsidP="00E82CE9">
      <w:pPr>
        <w:spacing w:before="240" w:after="240" w:line="360" w:lineRule="auto"/>
        <w:jc w:val="both"/>
        <w:rPr>
          <w:rFonts w:eastAsia="Times New Roman"/>
          <w:color w:val="000000" w:themeColor="text1"/>
        </w:rPr>
      </w:pPr>
      <w:r w:rsidRPr="00E82CE9">
        <w:rPr>
          <w:rFonts w:eastAsia="Times New Roman"/>
          <w:color w:val="000000" w:themeColor="text1"/>
        </w:rPr>
        <w:t>The older adults with mobility impairments in the UK are reported to miss their appointments. About one this of the older adult population faces problems for getting future appointments. Moreover, 56% of the disabled old adults receive medical inter</w:t>
      </w:r>
      <w:r w:rsidR="0044417F" w:rsidRPr="00E82CE9">
        <w:rPr>
          <w:rFonts w:eastAsia="Times New Roman"/>
          <w:color w:val="000000" w:themeColor="text1"/>
        </w:rPr>
        <w:t>ventions</w:t>
      </w:r>
      <w:r w:rsidRPr="00E82CE9">
        <w:rPr>
          <w:rFonts w:eastAsia="Times New Roman"/>
          <w:color w:val="000000" w:themeColor="text1"/>
        </w:rPr>
        <w:t xml:space="preserve"> while the number stands at 72% for the non-disabled elders</w:t>
      </w:r>
      <w:r w:rsidR="00926A4F">
        <w:rPr>
          <w:rFonts w:eastAsia="Times New Roman"/>
          <w:color w:val="000000" w:themeColor="text1"/>
        </w:rPr>
        <w:t xml:space="preserve"> (</w:t>
      </w:r>
      <w:r w:rsidR="00926A4F" w:rsidRPr="00926A4F">
        <w:rPr>
          <w:rFonts w:eastAsia="Times New Roman"/>
          <w:color w:val="000000" w:themeColor="text1"/>
        </w:rPr>
        <w:t>Aitken</w:t>
      </w:r>
      <w:r w:rsidR="00926A4F">
        <w:rPr>
          <w:rFonts w:eastAsia="Times New Roman"/>
          <w:color w:val="000000" w:themeColor="text1"/>
        </w:rPr>
        <w:t xml:space="preserve"> </w:t>
      </w:r>
      <w:r w:rsidR="00A15905" w:rsidRPr="00A15905">
        <w:rPr>
          <w:rFonts w:eastAsia="Times New Roman"/>
          <w:i/>
          <w:iCs/>
          <w:color w:val="000000" w:themeColor="text1"/>
        </w:rPr>
        <w:t>et al.,</w:t>
      </w:r>
      <w:r w:rsidR="00926A4F">
        <w:rPr>
          <w:rFonts w:eastAsia="Times New Roman"/>
          <w:color w:val="000000" w:themeColor="text1"/>
        </w:rPr>
        <w:t xml:space="preserve"> 2022)</w:t>
      </w:r>
      <w:r w:rsidRPr="00E82CE9">
        <w:rPr>
          <w:rFonts w:eastAsia="Times New Roman"/>
          <w:color w:val="000000" w:themeColor="text1"/>
        </w:rPr>
        <w:t>. As per the study of Cabañero-Garcia</w:t>
      </w:r>
      <w:r w:rsidRPr="00E82CE9">
        <w:rPr>
          <w:rFonts w:eastAsia="Times New Roman"/>
          <w:i/>
          <w:iCs/>
          <w:color w:val="000000" w:themeColor="text1"/>
        </w:rPr>
        <w:t xml:space="preserve"> et al.</w:t>
      </w:r>
      <w:r w:rsidRPr="00E82CE9">
        <w:rPr>
          <w:rFonts w:eastAsia="Times New Roman"/>
          <w:color w:val="000000" w:themeColor="text1"/>
        </w:rPr>
        <w:t xml:space="preserve"> (2025), the barriers faced by the older adults for healthcare services include poor health outcomes, delayed treatment and unmet healthcare needs. The integrated service models which combine both healthcare and social services can be probable solutions. </w:t>
      </w:r>
    </w:p>
    <w:p w14:paraId="0EB81753" w14:textId="77777777" w:rsidR="003E55CC" w:rsidRPr="00E82CE9" w:rsidRDefault="008B3BA2" w:rsidP="00E82CE9">
      <w:pPr>
        <w:pStyle w:val="Heading3"/>
        <w:spacing w:before="240" w:after="240" w:line="360" w:lineRule="auto"/>
        <w:jc w:val="both"/>
        <w:rPr>
          <w:rFonts w:ascii="Arial" w:hAnsi="Arial"/>
          <w:sz w:val="22"/>
          <w:szCs w:val="22"/>
        </w:rPr>
      </w:pPr>
      <w:bookmarkStart w:id="5" w:name="_Toc216956567"/>
      <w:r w:rsidRPr="00E82CE9">
        <w:rPr>
          <w:rFonts w:ascii="Arial" w:hAnsi="Arial"/>
          <w:sz w:val="22"/>
          <w:szCs w:val="22"/>
        </w:rPr>
        <w:t>2.3 Mortality rates among the Elderly group</w:t>
      </w:r>
      <w:bookmarkEnd w:id="5"/>
      <w:r w:rsidRPr="00E82CE9">
        <w:rPr>
          <w:rFonts w:ascii="Arial" w:hAnsi="Arial"/>
          <w:sz w:val="22"/>
          <w:szCs w:val="22"/>
        </w:rPr>
        <w:t xml:space="preserve"> </w:t>
      </w:r>
    </w:p>
    <w:p w14:paraId="47637497" w14:textId="37963239" w:rsidR="003E55CC" w:rsidRPr="00E82CE9" w:rsidRDefault="008B3BA2" w:rsidP="00E82CE9">
      <w:pPr>
        <w:spacing w:before="240" w:after="240" w:line="360" w:lineRule="auto"/>
        <w:jc w:val="both"/>
        <w:rPr>
          <w:rFonts w:eastAsia="Times New Roman"/>
          <w:color w:val="000000" w:themeColor="text1"/>
        </w:rPr>
      </w:pPr>
      <w:r w:rsidRPr="00E82CE9">
        <w:rPr>
          <w:rFonts w:eastAsia="Times New Roman"/>
          <w:color w:val="000000" w:themeColor="text1"/>
        </w:rPr>
        <w:t xml:space="preserve">The mortality rates vary among the disabled and </w:t>
      </w:r>
      <w:r w:rsidR="0044417F" w:rsidRPr="00E82CE9">
        <w:rPr>
          <w:rFonts w:eastAsia="Times New Roman"/>
          <w:color w:val="000000" w:themeColor="text1"/>
        </w:rPr>
        <w:t>non-disabled</w:t>
      </w:r>
      <w:r w:rsidRPr="00E82CE9">
        <w:rPr>
          <w:rFonts w:eastAsia="Times New Roman"/>
          <w:color w:val="000000" w:themeColor="text1"/>
        </w:rPr>
        <w:t xml:space="preserve"> older adults in the United Kingdom. The disabled older adults show higher mortality rates due to poor monitoring and care provided by the health care professionals (Kuper </w:t>
      </w:r>
      <w:r w:rsidR="00A15905" w:rsidRPr="00A15905">
        <w:rPr>
          <w:rFonts w:eastAsia="Times New Roman"/>
          <w:i/>
          <w:iCs/>
          <w:color w:val="000000" w:themeColor="text1"/>
        </w:rPr>
        <w:t>et al.,</w:t>
      </w:r>
      <w:r w:rsidRPr="00E82CE9">
        <w:rPr>
          <w:rFonts w:eastAsia="Times New Roman"/>
          <w:color w:val="000000" w:themeColor="text1"/>
        </w:rPr>
        <w:t xml:space="preserve"> 2024). The </w:t>
      </w:r>
      <w:r w:rsidR="0044417F" w:rsidRPr="00E82CE9">
        <w:rPr>
          <w:rFonts w:eastAsia="Times New Roman"/>
          <w:color w:val="000000" w:themeColor="text1"/>
        </w:rPr>
        <w:t>socio-economic</w:t>
      </w:r>
      <w:r w:rsidRPr="00E82CE9">
        <w:rPr>
          <w:rFonts w:eastAsia="Times New Roman"/>
          <w:color w:val="000000" w:themeColor="text1"/>
        </w:rPr>
        <w:t xml:space="preserve"> status of the older people also influences the kind of treatment they receive and thus their mortality rate is affected. The regular assessment of the patients can reduce the mortality rates among the elderly group</w:t>
      </w:r>
      <w:r w:rsidR="00926A4F">
        <w:rPr>
          <w:rFonts w:eastAsia="Times New Roman"/>
          <w:color w:val="000000" w:themeColor="text1"/>
        </w:rPr>
        <w:t xml:space="preserve"> (</w:t>
      </w:r>
      <w:r w:rsidR="00926A4F" w:rsidRPr="00926A4F">
        <w:rPr>
          <w:rFonts w:eastAsia="Times New Roman"/>
          <w:color w:val="000000" w:themeColor="text1"/>
        </w:rPr>
        <w:t>Goodwin</w:t>
      </w:r>
      <w:r w:rsidR="00926A4F">
        <w:rPr>
          <w:rFonts w:eastAsia="Times New Roman"/>
          <w:color w:val="000000" w:themeColor="text1"/>
        </w:rPr>
        <w:t xml:space="preserve"> </w:t>
      </w:r>
      <w:r w:rsidR="00A15905" w:rsidRPr="00A15905">
        <w:rPr>
          <w:rFonts w:eastAsia="Times New Roman"/>
          <w:i/>
          <w:iCs/>
          <w:color w:val="000000" w:themeColor="text1"/>
        </w:rPr>
        <w:t>et al.,</w:t>
      </w:r>
      <w:r w:rsidR="00926A4F">
        <w:rPr>
          <w:rFonts w:eastAsia="Times New Roman"/>
          <w:color w:val="000000" w:themeColor="text1"/>
        </w:rPr>
        <w:t xml:space="preserve"> 2023)</w:t>
      </w:r>
      <w:r w:rsidRPr="00E82CE9">
        <w:rPr>
          <w:rFonts w:eastAsia="Times New Roman"/>
          <w:color w:val="000000" w:themeColor="text1"/>
        </w:rPr>
        <w:t xml:space="preserve">. </w:t>
      </w:r>
    </w:p>
    <w:p w14:paraId="4D7CA07E" w14:textId="77777777" w:rsidR="003E55CC" w:rsidRPr="00E82CE9" w:rsidRDefault="008B3BA2" w:rsidP="00E82CE9">
      <w:pPr>
        <w:pStyle w:val="Heading3"/>
        <w:spacing w:before="240" w:after="240" w:line="360" w:lineRule="auto"/>
        <w:jc w:val="both"/>
        <w:rPr>
          <w:rFonts w:ascii="Arial" w:hAnsi="Arial"/>
          <w:sz w:val="22"/>
          <w:szCs w:val="22"/>
        </w:rPr>
      </w:pPr>
      <w:bookmarkStart w:id="6" w:name="_Toc216956568"/>
      <w:r w:rsidRPr="00E82CE9">
        <w:rPr>
          <w:rFonts w:ascii="Arial" w:hAnsi="Arial"/>
          <w:sz w:val="22"/>
          <w:szCs w:val="22"/>
        </w:rPr>
        <w:t>2.4 Social Isolation and Loneliness</w:t>
      </w:r>
      <w:bookmarkEnd w:id="6"/>
      <w:r w:rsidRPr="00E82CE9">
        <w:rPr>
          <w:rFonts w:ascii="Arial" w:hAnsi="Arial"/>
          <w:sz w:val="22"/>
          <w:szCs w:val="22"/>
        </w:rPr>
        <w:t xml:space="preserve"> </w:t>
      </w:r>
    </w:p>
    <w:p w14:paraId="4125E13B" w14:textId="70B6AF25" w:rsidR="003E55CC" w:rsidRPr="00E82CE9" w:rsidRDefault="008B3BA2" w:rsidP="00E82CE9">
      <w:pPr>
        <w:spacing w:before="240" w:after="240" w:line="360" w:lineRule="auto"/>
        <w:jc w:val="both"/>
        <w:rPr>
          <w:rFonts w:eastAsia="Times New Roman"/>
          <w:color w:val="000000" w:themeColor="text1"/>
        </w:rPr>
      </w:pPr>
      <w:r w:rsidRPr="00E82CE9">
        <w:rPr>
          <w:rFonts w:eastAsia="Times New Roman"/>
          <w:color w:val="000000" w:themeColor="text1"/>
        </w:rPr>
        <w:t xml:space="preserve">There are various factors </w:t>
      </w:r>
      <w:r w:rsidR="00E267B3" w:rsidRPr="00E82CE9">
        <w:rPr>
          <w:rFonts w:eastAsia="Times New Roman"/>
          <w:color w:val="000000" w:themeColor="text1"/>
        </w:rPr>
        <w:t>which lead</w:t>
      </w:r>
      <w:r w:rsidRPr="00E82CE9">
        <w:rPr>
          <w:rFonts w:eastAsia="Times New Roman"/>
          <w:color w:val="000000" w:themeColor="text1"/>
        </w:rPr>
        <w:t xml:space="preserve"> to social isolation and loneliness of the older adults with disabilities. These factors include loss of hearing and vision leads to decrease in communication (Huo and Kim, 2022). </w:t>
      </w:r>
      <w:r w:rsidR="0044417F" w:rsidRPr="00E82CE9">
        <w:rPr>
          <w:rFonts w:eastAsia="Times New Roman"/>
          <w:color w:val="000000" w:themeColor="text1"/>
        </w:rPr>
        <w:t>Thus,</w:t>
      </w:r>
      <w:r w:rsidRPr="00E82CE9">
        <w:rPr>
          <w:rFonts w:eastAsia="Times New Roman"/>
          <w:color w:val="000000" w:themeColor="text1"/>
        </w:rPr>
        <w:t xml:space="preserve"> the older adults withdraw themselves from participation in social environments. The support from friends and families can help this situation and they can recover from their loneliness</w:t>
      </w:r>
      <w:r w:rsidR="00926A4F">
        <w:rPr>
          <w:rFonts w:eastAsia="Times New Roman"/>
          <w:color w:val="000000" w:themeColor="text1"/>
        </w:rPr>
        <w:t xml:space="preserve"> (</w:t>
      </w:r>
      <w:r w:rsidR="00926A4F" w:rsidRPr="00926A4F">
        <w:rPr>
          <w:rFonts w:eastAsia="Times New Roman"/>
          <w:color w:val="000000" w:themeColor="text1"/>
        </w:rPr>
        <w:t>Emerson</w:t>
      </w:r>
      <w:r w:rsidR="00926A4F">
        <w:rPr>
          <w:rFonts w:eastAsia="Times New Roman"/>
          <w:color w:val="000000" w:themeColor="text1"/>
        </w:rPr>
        <w:t xml:space="preserve"> </w:t>
      </w:r>
      <w:r w:rsidR="00A15905" w:rsidRPr="00A15905">
        <w:rPr>
          <w:rFonts w:eastAsia="Times New Roman"/>
          <w:i/>
          <w:iCs/>
          <w:color w:val="000000" w:themeColor="text1"/>
        </w:rPr>
        <w:t>et al.,</w:t>
      </w:r>
      <w:r w:rsidR="00926A4F">
        <w:rPr>
          <w:rFonts w:eastAsia="Times New Roman"/>
          <w:color w:val="000000" w:themeColor="text1"/>
        </w:rPr>
        <w:t xml:space="preserve"> 2021)</w:t>
      </w:r>
      <w:r w:rsidRPr="00E82CE9">
        <w:rPr>
          <w:rFonts w:eastAsia="Times New Roman"/>
          <w:color w:val="000000" w:themeColor="text1"/>
        </w:rPr>
        <w:t xml:space="preserve">. </w:t>
      </w:r>
    </w:p>
    <w:p w14:paraId="653E7E01" w14:textId="77777777" w:rsidR="003E55CC" w:rsidRPr="00E82CE9" w:rsidRDefault="008B3BA2" w:rsidP="00C90AA3">
      <w:pPr>
        <w:spacing w:before="240" w:after="240" w:line="360" w:lineRule="auto"/>
        <w:jc w:val="center"/>
        <w:rPr>
          <w:rFonts w:eastAsia="Times New Roman"/>
          <w:color w:val="000000" w:themeColor="text1"/>
        </w:rPr>
      </w:pPr>
      <w:r w:rsidRPr="00E82CE9">
        <w:rPr>
          <w:rFonts w:eastAsia="Times New Roman"/>
          <w:noProof/>
          <w:color w:val="000000" w:themeColor="text1"/>
        </w:rPr>
        <w:drawing>
          <wp:inline distT="114300" distB="114300" distL="114300" distR="114300" wp14:anchorId="7477DB11" wp14:editId="351C21E6">
            <wp:extent cx="4881563" cy="2667831"/>
            <wp:effectExtent l="12700" t="12700" r="12700" b="127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881563" cy="2667831"/>
                    </a:xfrm>
                    <a:prstGeom prst="rect">
                      <a:avLst/>
                    </a:prstGeom>
                    <a:ln w="12700">
                      <a:solidFill>
                        <a:srgbClr val="000000"/>
                      </a:solidFill>
                      <a:prstDash val="solid"/>
                    </a:ln>
                  </pic:spPr>
                </pic:pic>
              </a:graphicData>
            </a:graphic>
          </wp:inline>
        </w:drawing>
      </w:r>
    </w:p>
    <w:p w14:paraId="2974E9F2" w14:textId="441D2FD2" w:rsidR="003E55CC" w:rsidRPr="00E82CE9" w:rsidRDefault="008B3BA2" w:rsidP="00C90AA3">
      <w:pPr>
        <w:spacing w:before="240" w:after="240" w:line="360" w:lineRule="auto"/>
        <w:jc w:val="center"/>
        <w:rPr>
          <w:rFonts w:eastAsia="Times New Roman"/>
          <w:b/>
          <w:bCs/>
          <w:color w:val="000000" w:themeColor="text1"/>
        </w:rPr>
      </w:pPr>
      <w:r w:rsidRPr="00E82CE9">
        <w:rPr>
          <w:rFonts w:eastAsia="Times New Roman"/>
          <w:b/>
          <w:bCs/>
          <w:color w:val="000000" w:themeColor="text1"/>
        </w:rPr>
        <w:t>Figure 2: Social Isolation and Loneliness of Older Adults in the UK</w:t>
      </w:r>
    </w:p>
    <w:p w14:paraId="053FACE1" w14:textId="77777777" w:rsidR="003E55CC" w:rsidRPr="00E82CE9" w:rsidRDefault="008B3BA2" w:rsidP="00C90AA3">
      <w:pPr>
        <w:spacing w:before="240" w:after="240" w:line="360" w:lineRule="auto"/>
        <w:jc w:val="center"/>
        <w:rPr>
          <w:rFonts w:eastAsia="Times New Roman"/>
          <w:color w:val="000000" w:themeColor="text1"/>
        </w:rPr>
      </w:pPr>
      <w:r w:rsidRPr="00E82CE9">
        <w:rPr>
          <w:rFonts w:eastAsia="Times New Roman"/>
          <w:color w:val="000000" w:themeColor="text1"/>
        </w:rPr>
        <w:t>(Source: Foubert, 2021)</w:t>
      </w:r>
    </w:p>
    <w:p w14:paraId="525B2B56" w14:textId="77777777" w:rsidR="003E55CC" w:rsidRPr="00E82CE9" w:rsidRDefault="008B3BA2" w:rsidP="00E82CE9">
      <w:pPr>
        <w:pStyle w:val="Heading3"/>
        <w:spacing w:before="240" w:after="240" w:line="360" w:lineRule="auto"/>
        <w:jc w:val="both"/>
        <w:rPr>
          <w:rFonts w:ascii="Arial" w:hAnsi="Arial"/>
          <w:sz w:val="22"/>
          <w:szCs w:val="22"/>
        </w:rPr>
      </w:pPr>
      <w:bookmarkStart w:id="7" w:name="_Toc216956569"/>
      <w:r w:rsidRPr="00E82CE9">
        <w:rPr>
          <w:rFonts w:ascii="Arial" w:hAnsi="Arial"/>
          <w:sz w:val="22"/>
          <w:szCs w:val="22"/>
        </w:rPr>
        <w:t>2.5 Poverty and Housing Issues</w:t>
      </w:r>
      <w:bookmarkEnd w:id="7"/>
      <w:r w:rsidRPr="00E82CE9">
        <w:rPr>
          <w:rFonts w:ascii="Arial" w:hAnsi="Arial"/>
          <w:sz w:val="22"/>
          <w:szCs w:val="22"/>
        </w:rPr>
        <w:t xml:space="preserve"> </w:t>
      </w:r>
    </w:p>
    <w:p w14:paraId="0E9A563D" w14:textId="216E4E62" w:rsidR="003E55CC" w:rsidRPr="00E82CE9" w:rsidRDefault="008B3BA2" w:rsidP="00E82CE9">
      <w:pPr>
        <w:spacing w:before="240" w:after="240" w:line="360" w:lineRule="auto"/>
        <w:jc w:val="both"/>
        <w:rPr>
          <w:rFonts w:eastAsia="Times New Roman"/>
          <w:color w:val="000000" w:themeColor="text1"/>
        </w:rPr>
      </w:pPr>
      <w:r w:rsidRPr="00E82CE9">
        <w:rPr>
          <w:rFonts w:eastAsia="Times New Roman"/>
          <w:color w:val="000000" w:themeColor="text1"/>
        </w:rPr>
        <w:t xml:space="preserve">The poverty and housing issues are more prevalent among the </w:t>
      </w:r>
      <w:r w:rsidR="0044417F" w:rsidRPr="00E82CE9">
        <w:rPr>
          <w:rFonts w:eastAsia="Times New Roman"/>
          <w:color w:val="000000" w:themeColor="text1"/>
        </w:rPr>
        <w:t>non-disabled</w:t>
      </w:r>
      <w:r w:rsidRPr="00E82CE9">
        <w:rPr>
          <w:rFonts w:eastAsia="Times New Roman"/>
          <w:color w:val="000000" w:themeColor="text1"/>
        </w:rPr>
        <w:t xml:space="preserve"> people than disabled older adults in the United Kingdom</w:t>
      </w:r>
      <w:r w:rsidR="00926A4F">
        <w:rPr>
          <w:rFonts w:eastAsia="Times New Roman"/>
          <w:color w:val="000000" w:themeColor="text1"/>
        </w:rPr>
        <w:t xml:space="preserve"> (</w:t>
      </w:r>
      <w:r w:rsidR="00926A4F" w:rsidRPr="00926A4F">
        <w:rPr>
          <w:rFonts w:eastAsia="Times New Roman"/>
          <w:color w:val="000000" w:themeColor="text1"/>
        </w:rPr>
        <w:t>Goodwin</w:t>
      </w:r>
      <w:r w:rsidR="00926A4F">
        <w:rPr>
          <w:rFonts w:eastAsia="Times New Roman"/>
          <w:color w:val="000000" w:themeColor="text1"/>
        </w:rPr>
        <w:t xml:space="preserve"> </w:t>
      </w:r>
      <w:r w:rsidR="00A15905" w:rsidRPr="00A15905">
        <w:rPr>
          <w:rFonts w:eastAsia="Times New Roman"/>
          <w:i/>
          <w:iCs/>
          <w:color w:val="000000" w:themeColor="text1"/>
        </w:rPr>
        <w:t>et al.,</w:t>
      </w:r>
      <w:r w:rsidR="00926A4F">
        <w:rPr>
          <w:rFonts w:eastAsia="Times New Roman"/>
          <w:color w:val="000000" w:themeColor="text1"/>
        </w:rPr>
        <w:t xml:space="preserve"> 2023)</w:t>
      </w:r>
      <w:r w:rsidRPr="00E82CE9">
        <w:rPr>
          <w:rFonts w:eastAsia="Times New Roman"/>
          <w:color w:val="000000" w:themeColor="text1"/>
        </w:rPr>
        <w:t xml:space="preserve">. This is because the people with disabilities often </w:t>
      </w:r>
      <w:r w:rsidR="0044417F" w:rsidRPr="00E82CE9">
        <w:rPr>
          <w:rFonts w:eastAsia="Times New Roman"/>
          <w:color w:val="000000" w:themeColor="text1"/>
        </w:rPr>
        <w:t>make sure,</w:t>
      </w:r>
      <w:r w:rsidRPr="00E82CE9">
        <w:rPr>
          <w:rFonts w:eastAsia="Times New Roman"/>
          <w:color w:val="000000" w:themeColor="text1"/>
        </w:rPr>
        <w:t xml:space="preserve"> they are not deprived of their homes with the help of legal procedures. However quite a good number of disabled adults suffer from this problem (Huo and Kim, 2022). The UK government must take initiative to ensure that the disabled people are not deprived of their shelter. </w:t>
      </w:r>
    </w:p>
    <w:p w14:paraId="51EB2D63" w14:textId="77777777" w:rsidR="003E55CC" w:rsidRPr="00E82CE9" w:rsidRDefault="008B3BA2" w:rsidP="00C25008">
      <w:pPr>
        <w:spacing w:before="240" w:after="240" w:line="360" w:lineRule="auto"/>
        <w:jc w:val="center"/>
        <w:rPr>
          <w:rFonts w:eastAsia="Times New Roman"/>
          <w:color w:val="000000" w:themeColor="text1"/>
        </w:rPr>
      </w:pPr>
      <w:r w:rsidRPr="00E82CE9">
        <w:rPr>
          <w:rFonts w:eastAsia="Times New Roman"/>
          <w:noProof/>
          <w:color w:val="000000" w:themeColor="text1"/>
        </w:rPr>
        <w:drawing>
          <wp:inline distT="114300" distB="114300" distL="114300" distR="114300" wp14:anchorId="134D3ED0" wp14:editId="156F6544">
            <wp:extent cx="5731200" cy="3035300"/>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1200" cy="3035300"/>
                    </a:xfrm>
                    <a:prstGeom prst="rect">
                      <a:avLst/>
                    </a:prstGeom>
                    <a:ln w="12700">
                      <a:solidFill>
                        <a:srgbClr val="000000"/>
                      </a:solidFill>
                      <a:prstDash val="solid"/>
                    </a:ln>
                  </pic:spPr>
                </pic:pic>
              </a:graphicData>
            </a:graphic>
          </wp:inline>
        </w:drawing>
      </w:r>
    </w:p>
    <w:p w14:paraId="463916E4" w14:textId="77777777" w:rsidR="003E55CC" w:rsidRPr="00E82CE9" w:rsidRDefault="003E55CC" w:rsidP="00C25008">
      <w:pPr>
        <w:spacing w:before="240" w:after="240" w:line="360" w:lineRule="auto"/>
        <w:jc w:val="center"/>
        <w:rPr>
          <w:rFonts w:eastAsia="Times New Roman"/>
          <w:color w:val="000000" w:themeColor="text1"/>
        </w:rPr>
      </w:pPr>
    </w:p>
    <w:p w14:paraId="17300033" w14:textId="218A0849" w:rsidR="003E55CC" w:rsidRPr="00E82CE9" w:rsidRDefault="008B3BA2" w:rsidP="00C25008">
      <w:pPr>
        <w:spacing w:before="240" w:after="240" w:line="360" w:lineRule="auto"/>
        <w:jc w:val="center"/>
        <w:rPr>
          <w:rFonts w:eastAsia="Times New Roman"/>
          <w:b/>
          <w:bCs/>
          <w:color w:val="000000" w:themeColor="text1"/>
        </w:rPr>
      </w:pPr>
      <w:r w:rsidRPr="00E82CE9">
        <w:rPr>
          <w:rFonts w:eastAsia="Times New Roman"/>
          <w:b/>
          <w:bCs/>
          <w:color w:val="000000" w:themeColor="text1"/>
        </w:rPr>
        <w:t xml:space="preserve">Figure 3: Variation in poverty and housing issues among disabled and </w:t>
      </w:r>
      <w:r w:rsidR="0044417F" w:rsidRPr="00E82CE9">
        <w:rPr>
          <w:rFonts w:eastAsia="Times New Roman"/>
          <w:b/>
          <w:bCs/>
          <w:color w:val="000000" w:themeColor="text1"/>
        </w:rPr>
        <w:t>non-disabled</w:t>
      </w:r>
      <w:r w:rsidRPr="00E82CE9">
        <w:rPr>
          <w:rFonts w:eastAsia="Times New Roman"/>
          <w:b/>
          <w:bCs/>
          <w:color w:val="000000" w:themeColor="text1"/>
        </w:rPr>
        <w:t xml:space="preserve"> adults</w:t>
      </w:r>
    </w:p>
    <w:p w14:paraId="27845010" w14:textId="77777777" w:rsidR="003E55CC" w:rsidRPr="00E82CE9" w:rsidRDefault="008B3BA2" w:rsidP="00C25008">
      <w:pPr>
        <w:spacing w:before="240" w:after="240" w:line="360" w:lineRule="auto"/>
        <w:jc w:val="center"/>
        <w:rPr>
          <w:rFonts w:eastAsia="Times New Roman"/>
          <w:color w:val="000000" w:themeColor="text1"/>
        </w:rPr>
      </w:pPr>
      <w:r w:rsidRPr="00E82CE9">
        <w:rPr>
          <w:rFonts w:eastAsia="Times New Roman"/>
          <w:color w:val="000000" w:themeColor="text1"/>
        </w:rPr>
        <w:t>(Source: Foubert, 2021)</w:t>
      </w:r>
    </w:p>
    <w:p w14:paraId="1A003DBF" w14:textId="182A531B" w:rsidR="003E55CC" w:rsidRPr="00E82CE9" w:rsidRDefault="008B3BA2" w:rsidP="00E82CE9">
      <w:pPr>
        <w:pStyle w:val="Heading2"/>
        <w:spacing w:before="240" w:after="240" w:line="360" w:lineRule="auto"/>
        <w:jc w:val="both"/>
        <w:rPr>
          <w:rFonts w:ascii="Arial" w:hAnsi="Arial"/>
          <w:color w:val="000000" w:themeColor="text1"/>
          <w:sz w:val="22"/>
          <w:szCs w:val="22"/>
        </w:rPr>
      </w:pPr>
      <w:bookmarkStart w:id="8" w:name="_Toc216956570"/>
      <w:r w:rsidRPr="00E82CE9">
        <w:rPr>
          <w:rFonts w:ascii="Arial" w:hAnsi="Arial"/>
          <w:color w:val="000000" w:themeColor="text1"/>
          <w:sz w:val="22"/>
          <w:szCs w:val="22"/>
        </w:rPr>
        <w:t>3.0 National Response to Reduce Health Inequalities</w:t>
      </w:r>
      <w:bookmarkEnd w:id="8"/>
      <w:r w:rsidRPr="00E82CE9">
        <w:rPr>
          <w:rFonts w:ascii="Arial" w:hAnsi="Arial"/>
          <w:color w:val="000000" w:themeColor="text1"/>
          <w:sz w:val="22"/>
          <w:szCs w:val="22"/>
        </w:rPr>
        <w:t xml:space="preserve"> </w:t>
      </w:r>
    </w:p>
    <w:p w14:paraId="37BD8621" w14:textId="3D217F05" w:rsidR="003E55CC" w:rsidRPr="00E82CE9" w:rsidRDefault="008B3BA2" w:rsidP="00E82CE9">
      <w:pPr>
        <w:spacing w:before="240" w:after="240" w:line="360" w:lineRule="auto"/>
        <w:jc w:val="both"/>
        <w:rPr>
          <w:rFonts w:eastAsia="Times New Roman"/>
          <w:color w:val="000000" w:themeColor="text1"/>
        </w:rPr>
      </w:pPr>
      <w:r w:rsidRPr="00E82CE9">
        <w:rPr>
          <w:rFonts w:eastAsia="Times New Roman"/>
          <w:color w:val="000000" w:themeColor="text1"/>
        </w:rPr>
        <w:t>The UK government and the NHS UK develop a range of coordinated national strategies and programmes to address the health inequalities faced by the disabled older adults in the UK</w:t>
      </w:r>
      <w:r w:rsidR="00926A4F">
        <w:rPr>
          <w:rFonts w:eastAsia="Times New Roman"/>
          <w:color w:val="000000" w:themeColor="text1"/>
        </w:rPr>
        <w:t xml:space="preserve"> (</w:t>
      </w:r>
      <w:r w:rsidR="00926A4F" w:rsidRPr="00926A4F">
        <w:rPr>
          <w:rFonts w:eastAsia="Times New Roman"/>
          <w:color w:val="000000" w:themeColor="text1"/>
        </w:rPr>
        <w:t>Ramsey</w:t>
      </w:r>
      <w:r w:rsidR="00926A4F">
        <w:rPr>
          <w:rFonts w:eastAsia="Times New Roman"/>
          <w:color w:val="000000" w:themeColor="text1"/>
        </w:rPr>
        <w:t xml:space="preserve"> </w:t>
      </w:r>
      <w:r w:rsidR="00A15905" w:rsidRPr="00A15905">
        <w:rPr>
          <w:rFonts w:eastAsia="Times New Roman"/>
          <w:i/>
          <w:iCs/>
          <w:color w:val="000000" w:themeColor="text1"/>
        </w:rPr>
        <w:t>et al.,</w:t>
      </w:r>
      <w:r w:rsidR="00926A4F">
        <w:rPr>
          <w:rFonts w:eastAsia="Times New Roman"/>
          <w:color w:val="000000" w:themeColor="text1"/>
        </w:rPr>
        <w:t xml:space="preserve"> 2022)</w:t>
      </w:r>
      <w:r w:rsidRPr="00E82CE9">
        <w:rPr>
          <w:rFonts w:eastAsia="Times New Roman"/>
          <w:color w:val="000000" w:themeColor="text1"/>
        </w:rPr>
        <w:t xml:space="preserve">. The </w:t>
      </w:r>
      <w:r w:rsidR="0044417F" w:rsidRPr="00E82CE9">
        <w:rPr>
          <w:rFonts w:eastAsia="Times New Roman"/>
          <w:color w:val="000000" w:themeColor="text1"/>
        </w:rPr>
        <w:t>long-term</w:t>
      </w:r>
      <w:r w:rsidRPr="00E82CE9">
        <w:rPr>
          <w:rFonts w:eastAsia="Times New Roman"/>
          <w:color w:val="000000" w:themeColor="text1"/>
        </w:rPr>
        <w:t xml:space="preserve"> care plan by the NHS ensures that the disabled older adults are given proper care and treatment by the health care professionals (Nicholls </w:t>
      </w:r>
      <w:r w:rsidR="00A15905" w:rsidRPr="00A15905">
        <w:rPr>
          <w:rFonts w:eastAsia="Times New Roman"/>
          <w:i/>
          <w:iCs/>
          <w:color w:val="000000" w:themeColor="text1"/>
        </w:rPr>
        <w:t>et al.,</w:t>
      </w:r>
      <w:r w:rsidRPr="00E82CE9">
        <w:rPr>
          <w:rFonts w:eastAsia="Times New Roman"/>
          <w:i/>
          <w:iCs/>
          <w:color w:val="000000" w:themeColor="text1"/>
        </w:rPr>
        <w:t xml:space="preserve"> </w:t>
      </w:r>
      <w:r w:rsidRPr="00E82CE9">
        <w:rPr>
          <w:rFonts w:eastAsia="Times New Roman"/>
          <w:color w:val="000000" w:themeColor="text1"/>
        </w:rPr>
        <w:t>2024). The Health and Care Act 2022 has been developed to ensure the care systems for the disabled people remain integrated and they get the best quality of treatment</w:t>
      </w:r>
      <w:r w:rsidR="00926A4F">
        <w:rPr>
          <w:rFonts w:eastAsia="Times New Roman"/>
          <w:color w:val="000000" w:themeColor="text1"/>
        </w:rPr>
        <w:t xml:space="preserve"> (</w:t>
      </w:r>
      <w:r w:rsidR="00926A4F" w:rsidRPr="00926A4F">
        <w:rPr>
          <w:rFonts w:eastAsia="Times New Roman"/>
          <w:color w:val="000000" w:themeColor="text1"/>
        </w:rPr>
        <w:t>Sinclair</w:t>
      </w:r>
      <w:r w:rsidR="00926A4F">
        <w:rPr>
          <w:rFonts w:eastAsia="Times New Roman"/>
          <w:color w:val="000000" w:themeColor="text1"/>
        </w:rPr>
        <w:t xml:space="preserve"> </w:t>
      </w:r>
      <w:r w:rsidR="00A15905" w:rsidRPr="00A15905">
        <w:rPr>
          <w:rFonts w:eastAsia="Times New Roman"/>
          <w:i/>
          <w:iCs/>
          <w:color w:val="000000" w:themeColor="text1"/>
        </w:rPr>
        <w:t>et al.,</w:t>
      </w:r>
      <w:r w:rsidR="00926A4F">
        <w:rPr>
          <w:rFonts w:eastAsia="Times New Roman"/>
          <w:color w:val="000000" w:themeColor="text1"/>
        </w:rPr>
        <w:t xml:space="preserve"> 2022)</w:t>
      </w:r>
      <w:r w:rsidRPr="00E82CE9">
        <w:rPr>
          <w:rFonts w:eastAsia="Times New Roman"/>
          <w:color w:val="000000" w:themeColor="text1"/>
        </w:rPr>
        <w:t xml:space="preserve">. </w:t>
      </w:r>
    </w:p>
    <w:p w14:paraId="7CCF6166" w14:textId="1DFD4CD4" w:rsidR="003E55CC" w:rsidRPr="00E82CE9" w:rsidRDefault="008B3BA2" w:rsidP="00E82CE9">
      <w:pPr>
        <w:pStyle w:val="Heading2"/>
        <w:spacing w:before="240" w:after="240" w:line="360" w:lineRule="auto"/>
        <w:jc w:val="both"/>
        <w:rPr>
          <w:rFonts w:ascii="Arial" w:hAnsi="Arial"/>
          <w:color w:val="000000" w:themeColor="text1"/>
          <w:sz w:val="22"/>
          <w:szCs w:val="22"/>
        </w:rPr>
      </w:pPr>
      <w:bookmarkStart w:id="9" w:name="_Toc216956571"/>
      <w:r w:rsidRPr="00E82CE9">
        <w:rPr>
          <w:rFonts w:ascii="Arial" w:hAnsi="Arial"/>
          <w:color w:val="000000" w:themeColor="text1"/>
          <w:sz w:val="22"/>
          <w:szCs w:val="22"/>
        </w:rPr>
        <w:t>4.0 Organisations that Support Chosen Group</w:t>
      </w:r>
      <w:bookmarkEnd w:id="9"/>
      <w:r w:rsidRPr="00E82CE9">
        <w:rPr>
          <w:rFonts w:ascii="Arial" w:hAnsi="Arial"/>
          <w:color w:val="000000" w:themeColor="text1"/>
          <w:sz w:val="22"/>
          <w:szCs w:val="22"/>
        </w:rPr>
        <w:t xml:space="preserve"> </w:t>
      </w:r>
    </w:p>
    <w:p w14:paraId="3AD875D9" w14:textId="228A6148" w:rsidR="003E55CC" w:rsidRPr="00E82CE9" w:rsidRDefault="008B3BA2" w:rsidP="00E82CE9">
      <w:pPr>
        <w:spacing w:before="240" w:after="240" w:line="360" w:lineRule="auto"/>
        <w:jc w:val="both"/>
        <w:rPr>
          <w:rFonts w:eastAsia="Times New Roman"/>
          <w:color w:val="000000" w:themeColor="text1"/>
        </w:rPr>
      </w:pPr>
      <w:r w:rsidRPr="00E82CE9">
        <w:rPr>
          <w:rFonts w:eastAsia="Times New Roman"/>
          <w:color w:val="000000" w:themeColor="text1"/>
        </w:rPr>
        <w:t>The organisations such as Age UK and Disabled Living Foundation provide support to the older disabled adults in the United Kingdom. These organisations ensure that the community support is provided and the health inequalities are reduced (Nicholls</w:t>
      </w:r>
      <w:r w:rsidRPr="00E82CE9">
        <w:rPr>
          <w:rFonts w:eastAsia="Times New Roman"/>
          <w:i/>
          <w:iCs/>
          <w:color w:val="000000" w:themeColor="text1"/>
        </w:rPr>
        <w:t xml:space="preserve"> </w:t>
      </w:r>
      <w:r w:rsidR="00A15905" w:rsidRPr="00A15905">
        <w:rPr>
          <w:rFonts w:eastAsia="Times New Roman"/>
          <w:i/>
          <w:iCs/>
          <w:color w:val="000000" w:themeColor="text1"/>
        </w:rPr>
        <w:t>et al.,</w:t>
      </w:r>
      <w:r w:rsidRPr="00E82CE9">
        <w:rPr>
          <w:rFonts w:eastAsia="Times New Roman"/>
          <w:i/>
          <w:iCs/>
          <w:color w:val="000000" w:themeColor="text1"/>
        </w:rPr>
        <w:t xml:space="preserve"> </w:t>
      </w:r>
      <w:r w:rsidRPr="00E82CE9">
        <w:rPr>
          <w:rFonts w:eastAsia="Times New Roman"/>
          <w:color w:val="000000" w:themeColor="text1"/>
        </w:rPr>
        <w:t xml:space="preserve">2024). They furthermore look after the fact that the patients are given adequate care and treatment. The National UK Charity provides free advice to the families and care givers of the disabled patients. </w:t>
      </w:r>
      <w:r w:rsidR="0044417F" w:rsidRPr="00E82CE9">
        <w:rPr>
          <w:rFonts w:eastAsia="Times New Roman"/>
          <w:color w:val="000000" w:themeColor="text1"/>
        </w:rPr>
        <w:t>Moreover,</w:t>
      </w:r>
      <w:r w:rsidRPr="00E82CE9">
        <w:rPr>
          <w:rFonts w:eastAsia="Times New Roman"/>
          <w:color w:val="000000" w:themeColor="text1"/>
        </w:rPr>
        <w:t xml:space="preserve"> the public health organisations such as NHS UK ensure the prevalence of integrated care systems to reduce healthcare barriers</w:t>
      </w:r>
      <w:r w:rsidR="00926A4F">
        <w:rPr>
          <w:rFonts w:eastAsia="Times New Roman"/>
          <w:color w:val="000000" w:themeColor="text1"/>
        </w:rPr>
        <w:t xml:space="preserve"> (</w:t>
      </w:r>
      <w:r w:rsidR="00926A4F" w:rsidRPr="00926A4F">
        <w:rPr>
          <w:rFonts w:eastAsia="Times New Roman"/>
          <w:color w:val="000000" w:themeColor="text1"/>
        </w:rPr>
        <w:t>Kavanagh</w:t>
      </w:r>
      <w:r w:rsidR="00926A4F">
        <w:rPr>
          <w:rFonts w:eastAsia="Times New Roman"/>
          <w:color w:val="000000" w:themeColor="text1"/>
        </w:rPr>
        <w:t xml:space="preserve"> </w:t>
      </w:r>
      <w:r w:rsidR="00A15905" w:rsidRPr="00A15905">
        <w:rPr>
          <w:rFonts w:eastAsia="Times New Roman"/>
          <w:i/>
          <w:iCs/>
          <w:color w:val="000000" w:themeColor="text1"/>
        </w:rPr>
        <w:t>et al.,</w:t>
      </w:r>
      <w:r w:rsidR="00926A4F">
        <w:rPr>
          <w:rFonts w:eastAsia="Times New Roman"/>
          <w:color w:val="000000" w:themeColor="text1"/>
        </w:rPr>
        <w:t xml:space="preserve"> 2022)</w:t>
      </w:r>
      <w:r w:rsidRPr="00E82CE9">
        <w:rPr>
          <w:rFonts w:eastAsia="Times New Roman"/>
          <w:color w:val="000000" w:themeColor="text1"/>
        </w:rPr>
        <w:t xml:space="preserve">. </w:t>
      </w:r>
    </w:p>
    <w:p w14:paraId="1D2DDFF9" w14:textId="671F3355" w:rsidR="003E55CC" w:rsidRPr="00E82CE9" w:rsidRDefault="008B3BA2" w:rsidP="00E82CE9">
      <w:pPr>
        <w:pStyle w:val="Heading2"/>
        <w:spacing w:before="240" w:after="240" w:line="360" w:lineRule="auto"/>
        <w:jc w:val="both"/>
        <w:rPr>
          <w:rFonts w:ascii="Arial" w:hAnsi="Arial"/>
          <w:color w:val="000000" w:themeColor="text1"/>
          <w:sz w:val="22"/>
          <w:szCs w:val="22"/>
        </w:rPr>
      </w:pPr>
      <w:bookmarkStart w:id="10" w:name="_Toc216956572"/>
      <w:r w:rsidRPr="00E82CE9">
        <w:rPr>
          <w:rFonts w:ascii="Arial" w:hAnsi="Arial"/>
          <w:color w:val="000000" w:themeColor="text1"/>
          <w:sz w:val="22"/>
          <w:szCs w:val="22"/>
        </w:rPr>
        <w:t>5.0 Conclusion</w:t>
      </w:r>
      <w:bookmarkEnd w:id="10"/>
      <w:r w:rsidRPr="00E82CE9">
        <w:rPr>
          <w:rFonts w:ascii="Arial" w:hAnsi="Arial"/>
          <w:color w:val="000000" w:themeColor="text1"/>
          <w:sz w:val="22"/>
          <w:szCs w:val="22"/>
        </w:rPr>
        <w:t xml:space="preserve"> </w:t>
      </w:r>
    </w:p>
    <w:p w14:paraId="03F61AA5" w14:textId="77777777" w:rsidR="003E55CC" w:rsidRPr="00E82CE9" w:rsidRDefault="008B3BA2" w:rsidP="00E82CE9">
      <w:pPr>
        <w:spacing w:before="240" w:after="240" w:line="360" w:lineRule="auto"/>
        <w:jc w:val="both"/>
        <w:rPr>
          <w:rFonts w:eastAsia="Times New Roman"/>
          <w:color w:val="000000" w:themeColor="text1"/>
        </w:rPr>
      </w:pPr>
      <w:r w:rsidRPr="00E82CE9">
        <w:rPr>
          <w:rFonts w:eastAsia="Times New Roman"/>
          <w:color w:val="000000" w:themeColor="text1"/>
        </w:rPr>
        <w:t>The older adults in the United Kingdom face significant inequalities in health and disability, particularly those aged 60 to 80 years. Factors such as higher rates of mental health issues, limited access to healthcare and social services, social isolation, and poverty contribute to these disparities. The national response through NHS strategies, the Health and Care Act 2022, and support from organisations like Age UK and the Disabled Living Foundation plays a vital role in addressing these challenges. Ensuring integrated care, community support, and targeted interventions can improve wellbeing and reduce inequalities among the older disabled population in the UK.</w:t>
      </w:r>
    </w:p>
    <w:p w14:paraId="4EE3563D" w14:textId="77777777" w:rsidR="0044417F" w:rsidRPr="00E82CE9" w:rsidRDefault="0044417F" w:rsidP="00E82CE9">
      <w:pPr>
        <w:spacing w:before="240" w:after="240" w:line="360" w:lineRule="auto"/>
        <w:jc w:val="both"/>
        <w:rPr>
          <w:rFonts w:eastAsia="Times New Roman"/>
          <w:b/>
          <w:bCs/>
          <w:color w:val="000000" w:themeColor="text1"/>
        </w:rPr>
      </w:pPr>
      <w:r w:rsidRPr="00E82CE9">
        <w:rPr>
          <w:rFonts w:eastAsia="Times New Roman"/>
          <w:b/>
          <w:bCs/>
          <w:color w:val="000000" w:themeColor="text1"/>
        </w:rPr>
        <w:br w:type="page"/>
      </w:r>
    </w:p>
    <w:p w14:paraId="1368CE7D" w14:textId="33012B35" w:rsidR="003E55CC" w:rsidRPr="00E82CE9" w:rsidRDefault="008B3BA2" w:rsidP="00E82CE9">
      <w:pPr>
        <w:pStyle w:val="Heading1"/>
        <w:spacing w:before="240" w:after="240" w:line="360" w:lineRule="auto"/>
        <w:jc w:val="both"/>
        <w:rPr>
          <w:rFonts w:ascii="Arial" w:hAnsi="Arial"/>
          <w:color w:val="000000" w:themeColor="text1"/>
          <w:sz w:val="22"/>
          <w:szCs w:val="22"/>
        </w:rPr>
      </w:pPr>
      <w:bookmarkStart w:id="11" w:name="_Toc216956573"/>
      <w:r w:rsidRPr="00E82CE9">
        <w:rPr>
          <w:rFonts w:ascii="Arial" w:hAnsi="Arial"/>
          <w:color w:val="000000" w:themeColor="text1"/>
          <w:sz w:val="22"/>
          <w:szCs w:val="22"/>
        </w:rPr>
        <w:t>Task 2: Epidemiological Analysis of Asthma Among Younger Adults aged 18 to 30 years in the London Borough of Lambeth</w:t>
      </w:r>
      <w:bookmarkEnd w:id="11"/>
      <w:r w:rsidRPr="00E82CE9">
        <w:rPr>
          <w:rFonts w:ascii="Arial" w:hAnsi="Arial"/>
          <w:color w:val="000000" w:themeColor="text1"/>
          <w:sz w:val="22"/>
          <w:szCs w:val="22"/>
        </w:rPr>
        <w:t xml:space="preserve"> </w:t>
      </w:r>
    </w:p>
    <w:p w14:paraId="36C63AC5" w14:textId="77777777" w:rsidR="003E55CC" w:rsidRPr="00E82CE9" w:rsidRDefault="008B3BA2" w:rsidP="00E82CE9">
      <w:pPr>
        <w:pStyle w:val="Heading2"/>
        <w:spacing w:before="240" w:after="240" w:line="360" w:lineRule="auto"/>
        <w:jc w:val="both"/>
        <w:rPr>
          <w:rFonts w:ascii="Arial" w:hAnsi="Arial"/>
          <w:color w:val="000000" w:themeColor="text1"/>
          <w:sz w:val="22"/>
          <w:szCs w:val="22"/>
        </w:rPr>
      </w:pPr>
      <w:bookmarkStart w:id="12" w:name="_Toc216956574"/>
      <w:r w:rsidRPr="00E82CE9">
        <w:rPr>
          <w:rFonts w:ascii="Arial" w:hAnsi="Arial"/>
          <w:color w:val="000000" w:themeColor="text1"/>
          <w:sz w:val="22"/>
          <w:szCs w:val="22"/>
        </w:rPr>
        <w:t>1.0 Introduction</w:t>
      </w:r>
      <w:bookmarkEnd w:id="12"/>
      <w:r w:rsidRPr="00E82CE9">
        <w:rPr>
          <w:rFonts w:ascii="Arial" w:hAnsi="Arial"/>
          <w:color w:val="000000" w:themeColor="text1"/>
          <w:sz w:val="22"/>
          <w:szCs w:val="22"/>
        </w:rPr>
        <w:t xml:space="preserve"> </w:t>
      </w:r>
    </w:p>
    <w:p w14:paraId="6DC97B98" w14:textId="77777777" w:rsidR="003E55CC" w:rsidRPr="00E82CE9" w:rsidRDefault="008B3BA2" w:rsidP="00E82CE9">
      <w:pPr>
        <w:pStyle w:val="Heading3"/>
        <w:spacing w:before="240" w:after="240" w:line="360" w:lineRule="auto"/>
        <w:jc w:val="both"/>
        <w:rPr>
          <w:rFonts w:ascii="Arial" w:hAnsi="Arial"/>
          <w:sz w:val="22"/>
          <w:szCs w:val="22"/>
        </w:rPr>
      </w:pPr>
      <w:bookmarkStart w:id="13" w:name="_Toc216956575"/>
      <w:r w:rsidRPr="00E82CE9">
        <w:rPr>
          <w:rFonts w:ascii="Arial" w:hAnsi="Arial"/>
          <w:sz w:val="22"/>
          <w:szCs w:val="22"/>
        </w:rPr>
        <w:t>1.1 Overview</w:t>
      </w:r>
      <w:bookmarkEnd w:id="13"/>
    </w:p>
    <w:p w14:paraId="659762DD" w14:textId="1A419F34" w:rsidR="003E55CC" w:rsidRPr="00E82CE9" w:rsidRDefault="008B3BA2" w:rsidP="00E82CE9">
      <w:pPr>
        <w:spacing w:before="240" w:after="240" w:line="360" w:lineRule="auto"/>
        <w:jc w:val="both"/>
        <w:rPr>
          <w:rFonts w:eastAsia="Times New Roman"/>
          <w:color w:val="000000" w:themeColor="text1"/>
        </w:rPr>
      </w:pPr>
      <w:r w:rsidRPr="00E82CE9">
        <w:rPr>
          <w:rFonts w:eastAsia="Times New Roman"/>
          <w:color w:val="000000" w:themeColor="text1"/>
        </w:rPr>
        <w:t xml:space="preserve">The London Borough of Lambeth is a densely populated area in South London and is bounded by the River Thames. Since the area is inhabited by a huge population, the air becomes quite polluted. </w:t>
      </w:r>
      <w:r w:rsidR="00C25008" w:rsidRPr="00E82CE9">
        <w:rPr>
          <w:rFonts w:eastAsia="Times New Roman"/>
          <w:color w:val="000000" w:themeColor="text1"/>
        </w:rPr>
        <w:t>Consequently</w:t>
      </w:r>
      <w:r w:rsidRPr="00E82CE9">
        <w:rPr>
          <w:rFonts w:eastAsia="Times New Roman"/>
          <w:color w:val="000000" w:themeColor="text1"/>
        </w:rPr>
        <w:t>, most people, particularly the young adults belonging to the age group of 18 to 30 years develop asthma</w:t>
      </w:r>
      <w:r w:rsidR="00A15905">
        <w:rPr>
          <w:rFonts w:eastAsia="Times New Roman"/>
          <w:color w:val="000000" w:themeColor="text1"/>
        </w:rPr>
        <w:t xml:space="preserve"> (</w:t>
      </w:r>
      <w:r w:rsidR="00A15905" w:rsidRPr="00A15905">
        <w:rPr>
          <w:rFonts w:eastAsia="Times New Roman"/>
          <w:color w:val="000000" w:themeColor="text1"/>
        </w:rPr>
        <w:t>Ashworth</w:t>
      </w:r>
      <w:r w:rsidR="00A15905">
        <w:rPr>
          <w:rFonts w:eastAsia="Times New Roman"/>
          <w:color w:val="000000" w:themeColor="text1"/>
        </w:rPr>
        <w:t xml:space="preserve"> </w:t>
      </w:r>
      <w:r w:rsidR="00A15905" w:rsidRPr="00A15905">
        <w:rPr>
          <w:rFonts w:eastAsia="Times New Roman"/>
          <w:i/>
          <w:iCs/>
          <w:color w:val="000000" w:themeColor="text1"/>
        </w:rPr>
        <w:t>et al.,</w:t>
      </w:r>
      <w:r w:rsidR="00A15905">
        <w:rPr>
          <w:rFonts w:eastAsia="Times New Roman"/>
          <w:color w:val="000000" w:themeColor="text1"/>
        </w:rPr>
        <w:t xml:space="preserve"> 2021)</w:t>
      </w:r>
      <w:r w:rsidRPr="00E82CE9">
        <w:rPr>
          <w:rFonts w:eastAsia="Times New Roman"/>
          <w:color w:val="000000" w:themeColor="text1"/>
        </w:rPr>
        <w:t xml:space="preserve">. This section will focus on the epidemiological analysis of asthma for this </w:t>
      </w:r>
      <w:r w:rsidR="00C02757" w:rsidRPr="00E82CE9">
        <w:rPr>
          <w:rFonts w:eastAsia="Times New Roman"/>
          <w:color w:val="000000" w:themeColor="text1"/>
        </w:rPr>
        <w:t>age</w:t>
      </w:r>
      <w:r w:rsidRPr="00E82CE9">
        <w:rPr>
          <w:rFonts w:eastAsia="Times New Roman"/>
          <w:color w:val="000000" w:themeColor="text1"/>
        </w:rPr>
        <w:t xml:space="preserve"> cohort. </w:t>
      </w:r>
    </w:p>
    <w:p w14:paraId="7BB8A0CF" w14:textId="77777777" w:rsidR="003E55CC" w:rsidRPr="00E82CE9" w:rsidRDefault="008B3BA2" w:rsidP="00E82CE9">
      <w:pPr>
        <w:pStyle w:val="Heading3"/>
        <w:spacing w:before="240" w:after="240" w:line="360" w:lineRule="auto"/>
        <w:jc w:val="both"/>
        <w:rPr>
          <w:rFonts w:ascii="Arial" w:hAnsi="Arial"/>
          <w:sz w:val="22"/>
          <w:szCs w:val="22"/>
        </w:rPr>
      </w:pPr>
      <w:bookmarkStart w:id="14" w:name="_Toc216956576"/>
      <w:r w:rsidRPr="00E82CE9">
        <w:rPr>
          <w:rFonts w:ascii="Arial" w:hAnsi="Arial"/>
          <w:sz w:val="22"/>
          <w:szCs w:val="22"/>
        </w:rPr>
        <w:t>1.2 Definition and Consequences</w:t>
      </w:r>
      <w:bookmarkEnd w:id="14"/>
      <w:r w:rsidRPr="00E82CE9">
        <w:rPr>
          <w:rFonts w:ascii="Arial" w:hAnsi="Arial"/>
          <w:sz w:val="22"/>
          <w:szCs w:val="22"/>
        </w:rPr>
        <w:t xml:space="preserve"> </w:t>
      </w:r>
    </w:p>
    <w:p w14:paraId="74FE0DF2" w14:textId="2D2C64B1" w:rsidR="003E55CC" w:rsidRPr="00E82CE9" w:rsidRDefault="008B3BA2" w:rsidP="00E82CE9">
      <w:pPr>
        <w:spacing w:before="240" w:after="240" w:line="360" w:lineRule="auto"/>
        <w:jc w:val="both"/>
        <w:rPr>
          <w:rFonts w:eastAsia="Times New Roman"/>
          <w:color w:val="000000" w:themeColor="text1"/>
        </w:rPr>
      </w:pPr>
      <w:r w:rsidRPr="00E82CE9">
        <w:rPr>
          <w:rFonts w:eastAsia="Times New Roman"/>
          <w:color w:val="000000" w:themeColor="text1"/>
        </w:rPr>
        <w:t xml:space="preserve">Asthma is defined </w:t>
      </w:r>
      <w:r w:rsidR="00152D3F" w:rsidRPr="00E82CE9">
        <w:rPr>
          <w:rFonts w:eastAsia="Times New Roman"/>
          <w:color w:val="000000" w:themeColor="text1"/>
        </w:rPr>
        <w:t>as long</w:t>
      </w:r>
      <w:r w:rsidRPr="00E82CE9">
        <w:rPr>
          <w:rFonts w:eastAsia="Times New Roman"/>
          <w:color w:val="000000" w:themeColor="text1"/>
        </w:rPr>
        <w:t xml:space="preserve"> term non communicable disease which involves airway hyperresponsiveness and chronic inflammation. It basically occurs due to poor quality of air and inhalation of toxic gases and excessive smoking tobacco</w:t>
      </w:r>
      <w:r w:rsidR="00A15905">
        <w:rPr>
          <w:rFonts w:eastAsia="Times New Roman"/>
          <w:color w:val="000000" w:themeColor="text1"/>
        </w:rPr>
        <w:t xml:space="preserve"> (</w:t>
      </w:r>
      <w:r w:rsidR="00A15905" w:rsidRPr="00A15905">
        <w:rPr>
          <w:rFonts w:eastAsia="Times New Roman"/>
          <w:color w:val="000000" w:themeColor="text1"/>
        </w:rPr>
        <w:t>Ledwaba-Chapman</w:t>
      </w:r>
      <w:r w:rsidR="00A15905">
        <w:rPr>
          <w:rFonts w:eastAsia="Times New Roman"/>
          <w:color w:val="000000" w:themeColor="text1"/>
        </w:rPr>
        <w:t xml:space="preserve"> </w:t>
      </w:r>
      <w:r w:rsidR="00A15905" w:rsidRPr="00A15905">
        <w:rPr>
          <w:rFonts w:eastAsia="Times New Roman"/>
          <w:i/>
          <w:iCs/>
          <w:color w:val="000000" w:themeColor="text1"/>
        </w:rPr>
        <w:t>et al.,</w:t>
      </w:r>
      <w:r w:rsidR="00A15905">
        <w:rPr>
          <w:rFonts w:eastAsia="Times New Roman"/>
          <w:color w:val="000000" w:themeColor="text1"/>
        </w:rPr>
        <w:t xml:space="preserve"> 2021)</w:t>
      </w:r>
      <w:r w:rsidRPr="00E82CE9">
        <w:rPr>
          <w:rFonts w:eastAsia="Times New Roman"/>
          <w:color w:val="000000" w:themeColor="text1"/>
        </w:rPr>
        <w:t xml:space="preserve">. The consequences of asthma include limiting daily activities, chest tightness, coughing and shortness of </w:t>
      </w:r>
      <w:r w:rsidR="0044417F" w:rsidRPr="00E82CE9">
        <w:rPr>
          <w:rFonts w:eastAsia="Times New Roman"/>
          <w:color w:val="000000" w:themeColor="text1"/>
        </w:rPr>
        <w:t>breath</w:t>
      </w:r>
      <w:r w:rsidRPr="00E82CE9">
        <w:rPr>
          <w:rFonts w:eastAsia="Times New Roman"/>
          <w:color w:val="000000" w:themeColor="text1"/>
        </w:rPr>
        <w:t xml:space="preserve"> and often leads to life threatening conditions.</w:t>
      </w:r>
    </w:p>
    <w:p w14:paraId="5169FAB8" w14:textId="77777777" w:rsidR="003E55CC" w:rsidRPr="00E82CE9" w:rsidRDefault="008B3BA2" w:rsidP="00E82CE9">
      <w:pPr>
        <w:pStyle w:val="Heading3"/>
        <w:spacing w:before="240" w:after="240" w:line="360" w:lineRule="auto"/>
        <w:jc w:val="both"/>
        <w:rPr>
          <w:rFonts w:ascii="Arial" w:hAnsi="Arial"/>
          <w:sz w:val="22"/>
          <w:szCs w:val="22"/>
        </w:rPr>
      </w:pPr>
      <w:bookmarkStart w:id="15" w:name="_Toc216956577"/>
      <w:r w:rsidRPr="00E82CE9">
        <w:rPr>
          <w:rFonts w:ascii="Arial" w:hAnsi="Arial"/>
          <w:sz w:val="22"/>
          <w:szCs w:val="22"/>
        </w:rPr>
        <w:t>1.3 Incidence and Prevalence</w:t>
      </w:r>
      <w:bookmarkEnd w:id="15"/>
      <w:r w:rsidRPr="00E82CE9">
        <w:rPr>
          <w:rFonts w:ascii="Arial" w:hAnsi="Arial"/>
          <w:sz w:val="22"/>
          <w:szCs w:val="22"/>
        </w:rPr>
        <w:t xml:space="preserve"> </w:t>
      </w:r>
    </w:p>
    <w:p w14:paraId="69C43DC8" w14:textId="77777777" w:rsidR="003E55CC" w:rsidRPr="00E82CE9" w:rsidRDefault="008B3BA2" w:rsidP="00E82CE9">
      <w:pPr>
        <w:spacing w:before="240" w:after="240" w:line="360" w:lineRule="auto"/>
        <w:jc w:val="both"/>
        <w:rPr>
          <w:rFonts w:eastAsia="Times New Roman"/>
          <w:color w:val="000000" w:themeColor="text1"/>
        </w:rPr>
      </w:pPr>
      <w:r w:rsidRPr="00E82CE9">
        <w:rPr>
          <w:rFonts w:eastAsia="Times New Roman"/>
          <w:color w:val="000000" w:themeColor="text1"/>
        </w:rPr>
        <w:t xml:space="preserve">As per the Health Profile for Lambeth 2022, asthma is recognised as one of the most common causes of mortality among the younger population in the area. It is observed that around 5% of young people are suffering from asthma in Lambeth. The data of WHO indicates that around 262 million people worldwide suffer from asthma.  </w:t>
      </w:r>
    </w:p>
    <w:p w14:paraId="288312CD" w14:textId="77777777" w:rsidR="003E55CC" w:rsidRPr="00E82CE9" w:rsidRDefault="008B3BA2" w:rsidP="00283665">
      <w:pPr>
        <w:spacing w:before="240" w:after="240" w:line="360" w:lineRule="auto"/>
        <w:jc w:val="center"/>
        <w:rPr>
          <w:rFonts w:eastAsia="Times New Roman"/>
          <w:color w:val="000000" w:themeColor="text1"/>
        </w:rPr>
      </w:pPr>
      <w:r w:rsidRPr="00E82CE9">
        <w:rPr>
          <w:rFonts w:eastAsia="Times New Roman"/>
          <w:noProof/>
          <w:color w:val="000000" w:themeColor="text1"/>
        </w:rPr>
        <w:drawing>
          <wp:inline distT="114300" distB="114300" distL="114300" distR="114300" wp14:anchorId="6D8CA1EA" wp14:editId="472C8166">
            <wp:extent cx="4381500" cy="3086100"/>
            <wp:effectExtent l="12700" t="12700" r="12700" b="127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381500" cy="3086100"/>
                    </a:xfrm>
                    <a:prstGeom prst="rect">
                      <a:avLst/>
                    </a:prstGeom>
                    <a:ln w="12700">
                      <a:solidFill>
                        <a:srgbClr val="000000"/>
                      </a:solidFill>
                      <a:prstDash val="solid"/>
                    </a:ln>
                  </pic:spPr>
                </pic:pic>
              </a:graphicData>
            </a:graphic>
          </wp:inline>
        </w:drawing>
      </w:r>
    </w:p>
    <w:p w14:paraId="47750097" w14:textId="099F85CC" w:rsidR="003E55CC" w:rsidRPr="00E82CE9" w:rsidRDefault="008B3BA2" w:rsidP="00283665">
      <w:pPr>
        <w:spacing w:before="240" w:after="240" w:line="360" w:lineRule="auto"/>
        <w:jc w:val="center"/>
        <w:rPr>
          <w:rFonts w:eastAsia="Times New Roman"/>
          <w:b/>
          <w:bCs/>
          <w:color w:val="000000" w:themeColor="text1"/>
        </w:rPr>
      </w:pPr>
      <w:r w:rsidRPr="00E82CE9">
        <w:rPr>
          <w:rFonts w:eastAsia="Times New Roman"/>
          <w:b/>
          <w:bCs/>
          <w:color w:val="000000" w:themeColor="text1"/>
        </w:rPr>
        <w:t>Figure 4: Common causes of death worldwide</w:t>
      </w:r>
    </w:p>
    <w:p w14:paraId="6EA46A95" w14:textId="299F42A4" w:rsidR="003E55CC" w:rsidRPr="00E82CE9" w:rsidRDefault="008B3BA2" w:rsidP="00283665">
      <w:pPr>
        <w:spacing w:before="240" w:after="240" w:line="360" w:lineRule="auto"/>
        <w:jc w:val="center"/>
        <w:rPr>
          <w:rFonts w:eastAsia="Times New Roman"/>
          <w:color w:val="000000" w:themeColor="text1"/>
        </w:rPr>
      </w:pPr>
      <w:r w:rsidRPr="00E82CE9">
        <w:rPr>
          <w:rFonts w:eastAsia="Times New Roman"/>
          <w:color w:val="000000" w:themeColor="text1"/>
        </w:rPr>
        <w:t xml:space="preserve">(Source: Kuper </w:t>
      </w:r>
      <w:r w:rsidR="00A15905" w:rsidRPr="00A15905">
        <w:rPr>
          <w:rFonts w:eastAsia="Times New Roman"/>
          <w:i/>
          <w:iCs/>
          <w:color w:val="000000" w:themeColor="text1"/>
        </w:rPr>
        <w:t>et al.,</w:t>
      </w:r>
      <w:r w:rsidRPr="00E82CE9">
        <w:rPr>
          <w:rFonts w:eastAsia="Times New Roman"/>
          <w:color w:val="000000" w:themeColor="text1"/>
        </w:rPr>
        <w:t xml:space="preserve"> 2024)</w:t>
      </w:r>
    </w:p>
    <w:p w14:paraId="0B395E38" w14:textId="77777777" w:rsidR="003E55CC" w:rsidRPr="00E82CE9" w:rsidRDefault="008B3BA2" w:rsidP="00E82CE9">
      <w:pPr>
        <w:pStyle w:val="Heading2"/>
        <w:spacing w:before="240" w:after="240" w:line="360" w:lineRule="auto"/>
        <w:jc w:val="both"/>
        <w:rPr>
          <w:rFonts w:ascii="Arial" w:hAnsi="Arial"/>
          <w:color w:val="000000" w:themeColor="text1"/>
          <w:sz w:val="22"/>
          <w:szCs w:val="22"/>
        </w:rPr>
      </w:pPr>
      <w:bookmarkStart w:id="16" w:name="_Toc216956578"/>
      <w:r w:rsidRPr="00E82CE9">
        <w:rPr>
          <w:rFonts w:ascii="Arial" w:hAnsi="Arial"/>
          <w:color w:val="000000" w:themeColor="text1"/>
          <w:sz w:val="22"/>
          <w:szCs w:val="22"/>
        </w:rPr>
        <w:t>2.0 Main Body</w:t>
      </w:r>
      <w:bookmarkEnd w:id="16"/>
      <w:r w:rsidRPr="00E82CE9">
        <w:rPr>
          <w:rFonts w:ascii="Arial" w:hAnsi="Arial"/>
          <w:color w:val="000000" w:themeColor="text1"/>
          <w:sz w:val="22"/>
          <w:szCs w:val="22"/>
        </w:rPr>
        <w:t xml:space="preserve"> </w:t>
      </w:r>
    </w:p>
    <w:p w14:paraId="32E0355B" w14:textId="77777777" w:rsidR="003E55CC" w:rsidRPr="00E82CE9" w:rsidRDefault="008B3BA2" w:rsidP="00E82CE9">
      <w:pPr>
        <w:pStyle w:val="Heading3"/>
        <w:spacing w:before="240" w:after="240" w:line="360" w:lineRule="auto"/>
        <w:jc w:val="both"/>
        <w:rPr>
          <w:rFonts w:ascii="Arial" w:hAnsi="Arial"/>
          <w:sz w:val="22"/>
          <w:szCs w:val="22"/>
        </w:rPr>
      </w:pPr>
      <w:bookmarkStart w:id="17" w:name="_Toc216956579"/>
      <w:r w:rsidRPr="00E82CE9">
        <w:rPr>
          <w:rFonts w:ascii="Arial" w:hAnsi="Arial"/>
          <w:sz w:val="22"/>
          <w:szCs w:val="22"/>
        </w:rPr>
        <w:t>2.1 Public Health Measures</w:t>
      </w:r>
      <w:bookmarkEnd w:id="17"/>
      <w:r w:rsidRPr="00E82CE9">
        <w:rPr>
          <w:rFonts w:ascii="Arial" w:hAnsi="Arial"/>
          <w:sz w:val="22"/>
          <w:szCs w:val="22"/>
        </w:rPr>
        <w:t xml:space="preserve"> </w:t>
      </w:r>
    </w:p>
    <w:p w14:paraId="6222631C" w14:textId="52D75459" w:rsidR="003E55CC" w:rsidRPr="00E82CE9" w:rsidRDefault="008B3BA2" w:rsidP="00E82CE9">
      <w:pPr>
        <w:spacing w:before="240" w:after="240" w:line="360" w:lineRule="auto"/>
        <w:jc w:val="both"/>
        <w:rPr>
          <w:rFonts w:eastAsia="Times New Roman"/>
          <w:color w:val="000000" w:themeColor="text1"/>
        </w:rPr>
      </w:pPr>
      <w:r w:rsidRPr="00E82CE9">
        <w:rPr>
          <w:rFonts w:eastAsia="Times New Roman"/>
          <w:color w:val="000000" w:themeColor="text1"/>
        </w:rPr>
        <w:t>The various public health measures which are taken up by the healthcare organisation to reduce the prevalence of asthma among the young population in Lambeth includes tobacco control and smoking cessation policies and development of clear air zones. The other measures include public awareness campaigns and vaccination campaigns. Smoking tobacco</w:t>
      </w:r>
      <w:r w:rsidR="00A15905">
        <w:rPr>
          <w:rFonts w:eastAsia="Times New Roman"/>
          <w:color w:val="000000" w:themeColor="text1"/>
        </w:rPr>
        <w:t xml:space="preserve"> </w:t>
      </w:r>
      <w:r w:rsidRPr="00E82CE9">
        <w:rPr>
          <w:rFonts w:eastAsia="Times New Roman"/>
          <w:color w:val="000000" w:themeColor="text1"/>
        </w:rPr>
        <w:t>is one of the significant reasons for asthma among the young people in Lambeth</w:t>
      </w:r>
      <w:r w:rsidR="00A15905">
        <w:rPr>
          <w:rFonts w:eastAsia="Times New Roman"/>
          <w:color w:val="000000" w:themeColor="text1"/>
        </w:rPr>
        <w:t xml:space="preserve"> (</w:t>
      </w:r>
      <w:r w:rsidR="00A15905" w:rsidRPr="00A15905">
        <w:rPr>
          <w:rFonts w:eastAsia="Times New Roman"/>
          <w:color w:val="000000" w:themeColor="text1"/>
        </w:rPr>
        <w:t>Ronaldson</w:t>
      </w:r>
      <w:r w:rsidR="00A15905">
        <w:rPr>
          <w:rFonts w:eastAsia="Times New Roman"/>
          <w:color w:val="000000" w:themeColor="text1"/>
        </w:rPr>
        <w:t xml:space="preserve"> </w:t>
      </w:r>
      <w:r w:rsidR="00A15905" w:rsidRPr="00A15905">
        <w:rPr>
          <w:rFonts w:eastAsia="Times New Roman"/>
          <w:i/>
          <w:iCs/>
          <w:color w:val="000000" w:themeColor="text1"/>
        </w:rPr>
        <w:t>et al.,</w:t>
      </w:r>
      <w:r w:rsidR="00A15905">
        <w:rPr>
          <w:rFonts w:eastAsia="Times New Roman"/>
          <w:color w:val="000000" w:themeColor="text1"/>
        </w:rPr>
        <w:t xml:space="preserve"> 2023)</w:t>
      </w:r>
      <w:r w:rsidRPr="00E82CE9">
        <w:rPr>
          <w:rFonts w:eastAsia="Times New Roman"/>
          <w:color w:val="000000" w:themeColor="text1"/>
        </w:rPr>
        <w:t xml:space="preserve">. The health organisation develops policies for no smoking as per the guidelines given by WHO. Moreover, the enforcement of smoke </w:t>
      </w:r>
      <w:r w:rsidR="00ED4C82" w:rsidRPr="00E82CE9">
        <w:rPr>
          <w:rFonts w:eastAsia="Times New Roman"/>
          <w:color w:val="000000" w:themeColor="text1"/>
        </w:rPr>
        <w:t>free indoor</w:t>
      </w:r>
      <w:r w:rsidRPr="00E82CE9">
        <w:rPr>
          <w:rFonts w:eastAsia="Times New Roman"/>
          <w:color w:val="000000" w:themeColor="text1"/>
        </w:rPr>
        <w:t xml:space="preserve"> public places is another public health initiative in this regard. The clean air zones are developed through planting of trees in the university campuses and workplaces (Lu </w:t>
      </w:r>
      <w:r w:rsidR="00A15905" w:rsidRPr="00A15905">
        <w:rPr>
          <w:rFonts w:eastAsia="Times New Roman"/>
          <w:i/>
          <w:iCs/>
          <w:color w:val="000000" w:themeColor="text1"/>
        </w:rPr>
        <w:t>et al.,</w:t>
      </w:r>
      <w:r w:rsidRPr="00E82CE9">
        <w:rPr>
          <w:rFonts w:eastAsia="Times New Roman"/>
          <w:color w:val="000000" w:themeColor="text1"/>
        </w:rPr>
        <w:t xml:space="preserve"> 2025). The awareness and vaccination campaigns are conducted in Lambeth after regular intervals of time. The young people are made aware of the consequences of smoking tobacco which readily leads to development of asthma</w:t>
      </w:r>
      <w:r w:rsidR="00A15905">
        <w:rPr>
          <w:rFonts w:eastAsia="Times New Roman"/>
          <w:color w:val="000000" w:themeColor="text1"/>
        </w:rPr>
        <w:t xml:space="preserve"> (</w:t>
      </w:r>
      <w:r w:rsidR="00A15905" w:rsidRPr="00A15905">
        <w:rPr>
          <w:rFonts w:eastAsia="Times New Roman"/>
          <w:color w:val="000000" w:themeColor="text1"/>
        </w:rPr>
        <w:t>Ma</w:t>
      </w:r>
      <w:r w:rsidR="00A15905">
        <w:rPr>
          <w:rFonts w:eastAsia="Times New Roman"/>
          <w:color w:val="000000" w:themeColor="text1"/>
        </w:rPr>
        <w:t xml:space="preserve"> </w:t>
      </w:r>
      <w:r w:rsidR="00A15905" w:rsidRPr="00A15905">
        <w:rPr>
          <w:rFonts w:eastAsia="Times New Roman"/>
          <w:i/>
          <w:iCs/>
          <w:color w:val="000000" w:themeColor="text1"/>
        </w:rPr>
        <w:t>et al.,</w:t>
      </w:r>
      <w:r w:rsidR="00A15905">
        <w:rPr>
          <w:rFonts w:eastAsia="Times New Roman"/>
          <w:color w:val="000000" w:themeColor="text1"/>
        </w:rPr>
        <w:t xml:space="preserve"> 2023)</w:t>
      </w:r>
      <w:r w:rsidRPr="00E82CE9">
        <w:rPr>
          <w:rFonts w:eastAsia="Times New Roman"/>
          <w:color w:val="000000" w:themeColor="text1"/>
        </w:rPr>
        <w:t xml:space="preserve">. </w:t>
      </w:r>
    </w:p>
    <w:p w14:paraId="5C4119CA" w14:textId="77777777" w:rsidR="003E55CC" w:rsidRPr="00E82CE9" w:rsidRDefault="008B3BA2" w:rsidP="00E82CE9">
      <w:pPr>
        <w:pStyle w:val="Heading3"/>
        <w:spacing w:before="240" w:after="240" w:line="360" w:lineRule="auto"/>
        <w:jc w:val="both"/>
        <w:rPr>
          <w:rFonts w:ascii="Arial" w:hAnsi="Arial"/>
          <w:sz w:val="22"/>
          <w:szCs w:val="22"/>
        </w:rPr>
      </w:pPr>
      <w:bookmarkStart w:id="18" w:name="_Toc216956580"/>
      <w:r w:rsidRPr="00E82CE9">
        <w:rPr>
          <w:rFonts w:ascii="Arial" w:hAnsi="Arial"/>
          <w:sz w:val="22"/>
          <w:szCs w:val="22"/>
        </w:rPr>
        <w:t>2.2 Risk Factors associated to the Disease</w:t>
      </w:r>
      <w:bookmarkEnd w:id="18"/>
    </w:p>
    <w:p w14:paraId="48873472" w14:textId="150AE47B" w:rsidR="003E55CC" w:rsidRPr="00E82CE9" w:rsidRDefault="008B3BA2" w:rsidP="00E82CE9">
      <w:pPr>
        <w:spacing w:before="240" w:after="240" w:line="360" w:lineRule="auto"/>
        <w:jc w:val="both"/>
        <w:rPr>
          <w:rFonts w:eastAsia="Times New Roman"/>
          <w:color w:val="000000" w:themeColor="text1"/>
        </w:rPr>
      </w:pPr>
      <w:r w:rsidRPr="00E82CE9">
        <w:rPr>
          <w:rFonts w:eastAsia="Times New Roman"/>
          <w:color w:val="000000" w:themeColor="text1"/>
        </w:rPr>
        <w:t xml:space="preserve">The various risk factors associated with asthma include air pollution, smoking, lifestyle of the young adults, psychological factors and </w:t>
      </w:r>
      <w:r w:rsidR="0044417F" w:rsidRPr="00E82CE9">
        <w:rPr>
          <w:rFonts w:eastAsia="Times New Roman"/>
          <w:color w:val="000000" w:themeColor="text1"/>
        </w:rPr>
        <w:t>socio-economic</w:t>
      </w:r>
      <w:r w:rsidRPr="00E82CE9">
        <w:rPr>
          <w:rFonts w:eastAsia="Times New Roman"/>
          <w:color w:val="000000" w:themeColor="text1"/>
        </w:rPr>
        <w:t xml:space="preserve"> status of the people. The exposure to particulate matter (PM</w:t>
      </w:r>
      <w:r w:rsidRPr="00E82CE9">
        <w:rPr>
          <w:rFonts w:eastAsia="Times New Roman"/>
          <w:color w:val="000000" w:themeColor="text1"/>
          <w:vertAlign w:val="subscript"/>
        </w:rPr>
        <w:t>2.5</w:t>
      </w:r>
      <w:r w:rsidRPr="00E82CE9">
        <w:rPr>
          <w:rFonts w:eastAsia="Times New Roman"/>
          <w:color w:val="000000" w:themeColor="text1"/>
        </w:rPr>
        <w:t xml:space="preserve">) is quite high in Lambeth which leads to onset of asthma among the younger adult population. </w:t>
      </w:r>
      <w:r w:rsidR="0044417F" w:rsidRPr="00E82CE9">
        <w:rPr>
          <w:rFonts w:eastAsia="Times New Roman"/>
          <w:color w:val="000000" w:themeColor="text1"/>
        </w:rPr>
        <w:t>Moreover,</w:t>
      </w:r>
      <w:r w:rsidRPr="00E82CE9">
        <w:rPr>
          <w:rFonts w:eastAsia="Times New Roman"/>
          <w:color w:val="000000" w:themeColor="text1"/>
        </w:rPr>
        <w:t xml:space="preserve"> active and passive smoking are popular among the targeted age group. It must be noticed that passive smoking at times causes more damage than personal smoking (He </w:t>
      </w:r>
      <w:r w:rsidR="00A15905" w:rsidRPr="00A15905">
        <w:rPr>
          <w:rFonts w:eastAsia="Times New Roman"/>
          <w:i/>
          <w:iCs/>
          <w:color w:val="000000" w:themeColor="text1"/>
        </w:rPr>
        <w:t>et al.,</w:t>
      </w:r>
      <w:r w:rsidRPr="00E82CE9">
        <w:rPr>
          <w:rFonts w:eastAsia="Times New Roman"/>
          <w:i/>
          <w:iCs/>
          <w:color w:val="000000" w:themeColor="text1"/>
        </w:rPr>
        <w:t xml:space="preserve"> </w:t>
      </w:r>
      <w:r w:rsidRPr="00E82CE9">
        <w:rPr>
          <w:rFonts w:eastAsia="Times New Roman"/>
          <w:color w:val="000000" w:themeColor="text1"/>
        </w:rPr>
        <w:t xml:space="preserve">2024). </w:t>
      </w:r>
      <w:r w:rsidR="0044417F" w:rsidRPr="00E82CE9">
        <w:rPr>
          <w:rFonts w:eastAsia="Times New Roman"/>
          <w:color w:val="000000" w:themeColor="text1"/>
        </w:rPr>
        <w:t>Moreover,</w:t>
      </w:r>
      <w:r w:rsidRPr="00E82CE9">
        <w:rPr>
          <w:rFonts w:eastAsia="Times New Roman"/>
          <w:color w:val="000000" w:themeColor="text1"/>
        </w:rPr>
        <w:t xml:space="preserve"> the eating habits, casual lifestyle, and obesity are significant risk factors.  The higher body fat percentages increase airway irritation and inflammation leading to asthma. Furthermore, the young people from weaker </w:t>
      </w:r>
      <w:r w:rsidR="0044417F" w:rsidRPr="00E82CE9">
        <w:rPr>
          <w:rFonts w:eastAsia="Times New Roman"/>
          <w:color w:val="000000" w:themeColor="text1"/>
        </w:rPr>
        <w:t>socio-economic</w:t>
      </w:r>
      <w:r w:rsidRPr="00E82CE9">
        <w:rPr>
          <w:rFonts w:eastAsia="Times New Roman"/>
          <w:color w:val="000000" w:themeColor="text1"/>
        </w:rPr>
        <w:t xml:space="preserve"> groups are at higher risks of developing the disease as they have limited access to healthcare facilities. The young people who suffer from mental health problems neglect their medical conditions and continue with excessive smoking</w:t>
      </w:r>
      <w:r w:rsidR="00A15905">
        <w:rPr>
          <w:rFonts w:eastAsia="Times New Roman"/>
          <w:color w:val="000000" w:themeColor="text1"/>
        </w:rPr>
        <w:t xml:space="preserve"> (</w:t>
      </w:r>
      <w:r w:rsidR="00A15905" w:rsidRPr="00A15905">
        <w:rPr>
          <w:rFonts w:eastAsia="Times New Roman"/>
          <w:color w:val="000000" w:themeColor="text1"/>
        </w:rPr>
        <w:t>Shetty</w:t>
      </w:r>
      <w:r w:rsidR="00A15905">
        <w:rPr>
          <w:rFonts w:eastAsia="Times New Roman"/>
          <w:color w:val="000000" w:themeColor="text1"/>
        </w:rPr>
        <w:t xml:space="preserve"> </w:t>
      </w:r>
      <w:r w:rsidR="00A15905" w:rsidRPr="00A15905">
        <w:rPr>
          <w:rFonts w:eastAsia="Times New Roman"/>
          <w:i/>
          <w:iCs/>
          <w:color w:val="000000" w:themeColor="text1"/>
        </w:rPr>
        <w:t>et al.,</w:t>
      </w:r>
      <w:r w:rsidR="00A15905">
        <w:rPr>
          <w:rFonts w:eastAsia="Times New Roman"/>
          <w:color w:val="000000" w:themeColor="text1"/>
        </w:rPr>
        <w:t xml:space="preserve"> 2025)</w:t>
      </w:r>
      <w:r w:rsidRPr="00E82CE9">
        <w:rPr>
          <w:rFonts w:eastAsia="Times New Roman"/>
          <w:color w:val="000000" w:themeColor="text1"/>
        </w:rPr>
        <w:t xml:space="preserve">. Hence </w:t>
      </w:r>
      <w:r w:rsidR="0044417F" w:rsidRPr="00E82CE9">
        <w:rPr>
          <w:rFonts w:eastAsia="Times New Roman"/>
          <w:color w:val="000000" w:themeColor="text1"/>
        </w:rPr>
        <w:t>this risk</w:t>
      </w:r>
      <w:r w:rsidRPr="00E82CE9">
        <w:rPr>
          <w:rFonts w:eastAsia="Times New Roman"/>
          <w:color w:val="000000" w:themeColor="text1"/>
        </w:rPr>
        <w:t xml:space="preserve"> factors associated with asthma must be taken care of by the healthcare organisations in the London Borough of Lambeth. </w:t>
      </w:r>
    </w:p>
    <w:p w14:paraId="05F3DFFF" w14:textId="77777777" w:rsidR="003E55CC" w:rsidRPr="00E82CE9" w:rsidRDefault="008B3BA2" w:rsidP="00E82CE9">
      <w:pPr>
        <w:pStyle w:val="Heading3"/>
        <w:spacing w:before="240" w:after="240" w:line="360" w:lineRule="auto"/>
        <w:jc w:val="both"/>
        <w:rPr>
          <w:rFonts w:ascii="Arial" w:hAnsi="Arial"/>
          <w:sz w:val="22"/>
          <w:szCs w:val="22"/>
        </w:rPr>
      </w:pPr>
      <w:bookmarkStart w:id="19" w:name="_Toc216956581"/>
      <w:r w:rsidRPr="00E82CE9">
        <w:rPr>
          <w:rFonts w:ascii="Arial" w:hAnsi="Arial"/>
          <w:sz w:val="22"/>
          <w:szCs w:val="22"/>
        </w:rPr>
        <w:t>2.3 Epidemiological Studies and a Health Needs Assessment</w:t>
      </w:r>
      <w:bookmarkEnd w:id="19"/>
      <w:r w:rsidRPr="00E82CE9">
        <w:rPr>
          <w:rFonts w:ascii="Arial" w:hAnsi="Arial"/>
          <w:sz w:val="22"/>
          <w:szCs w:val="22"/>
        </w:rPr>
        <w:t xml:space="preserve"> </w:t>
      </w:r>
    </w:p>
    <w:p w14:paraId="77E4E04C" w14:textId="5FF7348D" w:rsidR="003E55CC" w:rsidRPr="00E82CE9" w:rsidRDefault="008B3BA2" w:rsidP="00E82CE9">
      <w:pPr>
        <w:spacing w:before="240" w:after="240" w:line="360" w:lineRule="auto"/>
        <w:jc w:val="both"/>
        <w:rPr>
          <w:rFonts w:eastAsia="Times New Roman"/>
          <w:color w:val="000000" w:themeColor="text1"/>
        </w:rPr>
      </w:pPr>
      <w:r w:rsidRPr="00E82CE9">
        <w:rPr>
          <w:rFonts w:eastAsia="Times New Roman"/>
          <w:color w:val="000000" w:themeColor="text1"/>
        </w:rPr>
        <w:t xml:space="preserve">The study of Simms-Williams </w:t>
      </w:r>
      <w:r w:rsidR="00A15905" w:rsidRPr="00A15905">
        <w:rPr>
          <w:rFonts w:eastAsia="Times New Roman"/>
          <w:i/>
          <w:iCs/>
          <w:color w:val="000000" w:themeColor="text1"/>
        </w:rPr>
        <w:t>et al.,</w:t>
      </w:r>
      <w:r w:rsidRPr="00E82CE9">
        <w:rPr>
          <w:rFonts w:eastAsia="Times New Roman"/>
          <w:i/>
          <w:iCs/>
          <w:color w:val="000000" w:themeColor="text1"/>
        </w:rPr>
        <w:t xml:space="preserve"> </w:t>
      </w:r>
      <w:r w:rsidRPr="00E82CE9">
        <w:rPr>
          <w:rFonts w:eastAsia="Times New Roman"/>
          <w:color w:val="000000" w:themeColor="text1"/>
        </w:rPr>
        <w:t xml:space="preserve">(2024) reveals that asthma related hospital admissions have increased dramatically from 2017 to 2023. </w:t>
      </w:r>
      <w:r w:rsidR="0044417F" w:rsidRPr="00E82CE9">
        <w:rPr>
          <w:rFonts w:eastAsia="Times New Roman"/>
          <w:color w:val="000000" w:themeColor="text1"/>
        </w:rPr>
        <w:t>Moreover,</w:t>
      </w:r>
      <w:r w:rsidRPr="00E82CE9">
        <w:rPr>
          <w:rFonts w:eastAsia="Times New Roman"/>
          <w:color w:val="000000" w:themeColor="text1"/>
        </w:rPr>
        <w:t xml:space="preserve"> it is observed that 1.3 million patients in the age group 18 to 30 years suffer from asthma worldwide. In Lambeth, the female young adults are more frequently affected by the disease than the males. Particularly the younger adults from the lower </w:t>
      </w:r>
      <w:r w:rsidR="0044417F" w:rsidRPr="00E82CE9">
        <w:rPr>
          <w:rFonts w:eastAsia="Times New Roman"/>
          <w:color w:val="000000" w:themeColor="text1"/>
        </w:rPr>
        <w:t>socio-economic</w:t>
      </w:r>
      <w:r w:rsidRPr="00E82CE9">
        <w:rPr>
          <w:rFonts w:eastAsia="Times New Roman"/>
          <w:color w:val="000000" w:themeColor="text1"/>
        </w:rPr>
        <w:t xml:space="preserve"> backgrounds are more prone to the risk factors. The underlying health inequalities are one of the major reasons for such conditions. In recent years, with the advent of urbanisation, the air pollution has also increased in Lambeth</w:t>
      </w:r>
      <w:r w:rsidR="00A15905">
        <w:rPr>
          <w:rFonts w:eastAsia="Times New Roman"/>
          <w:color w:val="000000" w:themeColor="text1"/>
        </w:rPr>
        <w:t xml:space="preserve"> (</w:t>
      </w:r>
      <w:r w:rsidR="00A15905" w:rsidRPr="00A15905">
        <w:rPr>
          <w:rFonts w:eastAsia="Times New Roman"/>
          <w:color w:val="000000" w:themeColor="text1"/>
        </w:rPr>
        <w:t>Jayesinghe</w:t>
      </w:r>
      <w:r w:rsidR="00A15905">
        <w:rPr>
          <w:rFonts w:eastAsia="Times New Roman"/>
          <w:color w:val="000000" w:themeColor="text1"/>
        </w:rPr>
        <w:t xml:space="preserve"> </w:t>
      </w:r>
      <w:r w:rsidR="00A15905" w:rsidRPr="00A15905">
        <w:rPr>
          <w:rFonts w:eastAsia="Times New Roman"/>
          <w:i/>
          <w:iCs/>
          <w:color w:val="000000" w:themeColor="text1"/>
        </w:rPr>
        <w:t>et al.,</w:t>
      </w:r>
      <w:r w:rsidR="00A15905">
        <w:rPr>
          <w:rFonts w:eastAsia="Times New Roman"/>
          <w:color w:val="000000" w:themeColor="text1"/>
        </w:rPr>
        <w:t xml:space="preserve"> 2022)</w:t>
      </w:r>
      <w:r w:rsidRPr="00E82CE9">
        <w:rPr>
          <w:rFonts w:eastAsia="Times New Roman"/>
          <w:color w:val="000000" w:themeColor="text1"/>
        </w:rPr>
        <w:t xml:space="preserve">. The risk factors are not well managed by the healthcare organisations which leads to more prevalence of asthma in the area. The findings of this study indicates that the growing demand for the local health needs assessments in the urban conditions of Lambeth. The various risk factors must be taken into account and possible prevention measures must be implemented (Simms-Williams </w:t>
      </w:r>
      <w:r w:rsidR="00A15905" w:rsidRPr="00A15905">
        <w:rPr>
          <w:rFonts w:eastAsia="Times New Roman"/>
          <w:i/>
          <w:iCs/>
          <w:color w:val="000000" w:themeColor="text1"/>
        </w:rPr>
        <w:t>et al.,</w:t>
      </w:r>
      <w:r w:rsidRPr="00E82CE9">
        <w:rPr>
          <w:rFonts w:eastAsia="Times New Roman"/>
          <w:color w:val="000000" w:themeColor="text1"/>
        </w:rPr>
        <w:t xml:space="preserve"> 2024). </w:t>
      </w:r>
      <w:r w:rsidR="0044417F" w:rsidRPr="00E82CE9">
        <w:rPr>
          <w:rFonts w:eastAsia="Times New Roman"/>
          <w:color w:val="000000" w:themeColor="text1"/>
        </w:rPr>
        <w:t>Moreover,</w:t>
      </w:r>
      <w:r w:rsidRPr="00E82CE9">
        <w:rPr>
          <w:rFonts w:eastAsia="Times New Roman"/>
          <w:color w:val="000000" w:themeColor="text1"/>
        </w:rPr>
        <w:t xml:space="preserve"> the demographic diversity, socio economic challenges and environmental exposures for the younger adult population must be considered in this regard. Furthermore, the needs assessment will include analysis of the primary care for asthma, hospital admissions data and sociodemographic patterns of the young people aged 18 to 30 years of age. </w:t>
      </w:r>
    </w:p>
    <w:p w14:paraId="227DB953" w14:textId="77777777" w:rsidR="003E55CC" w:rsidRPr="00E82CE9" w:rsidRDefault="008B3BA2" w:rsidP="00E82CE9">
      <w:pPr>
        <w:pStyle w:val="Heading3"/>
        <w:spacing w:before="240" w:after="240" w:line="360" w:lineRule="auto"/>
        <w:jc w:val="both"/>
        <w:rPr>
          <w:rFonts w:ascii="Arial" w:hAnsi="Arial"/>
          <w:sz w:val="22"/>
          <w:szCs w:val="22"/>
        </w:rPr>
      </w:pPr>
      <w:bookmarkStart w:id="20" w:name="_Toc216956582"/>
      <w:r w:rsidRPr="00E82CE9">
        <w:rPr>
          <w:rFonts w:ascii="Arial" w:hAnsi="Arial"/>
          <w:sz w:val="22"/>
          <w:szCs w:val="22"/>
        </w:rPr>
        <w:t>2.4 Public Health Approaches and Strategies</w:t>
      </w:r>
      <w:bookmarkEnd w:id="20"/>
    </w:p>
    <w:p w14:paraId="4C3B666A" w14:textId="0A39DFEA" w:rsidR="003E55CC" w:rsidRPr="00E82CE9" w:rsidRDefault="008B3BA2" w:rsidP="00E82CE9">
      <w:pPr>
        <w:spacing w:before="240" w:after="240" w:line="360" w:lineRule="auto"/>
        <w:jc w:val="both"/>
        <w:rPr>
          <w:rFonts w:eastAsia="Times New Roman"/>
          <w:color w:val="000000" w:themeColor="text1"/>
        </w:rPr>
      </w:pPr>
      <w:r w:rsidRPr="00E82CE9">
        <w:rPr>
          <w:rFonts w:eastAsia="Times New Roman"/>
          <w:color w:val="000000" w:themeColor="text1"/>
        </w:rPr>
        <w:t xml:space="preserve">The public health approaches and strategies which must be adhered to for reducing the prevalence of asthma among the young adults in Lambeth includes prevention focused primary care management, patient education and </w:t>
      </w:r>
      <w:r w:rsidR="0044417F" w:rsidRPr="00E82CE9">
        <w:rPr>
          <w:rFonts w:eastAsia="Times New Roman"/>
          <w:color w:val="000000" w:themeColor="text1"/>
        </w:rPr>
        <w:t>self-care</w:t>
      </w:r>
      <w:r w:rsidRPr="00E82CE9">
        <w:rPr>
          <w:rFonts w:eastAsia="Times New Roman"/>
          <w:color w:val="000000" w:themeColor="text1"/>
        </w:rPr>
        <w:t xml:space="preserve"> management. The other strategies include correct inhaler techniques and adherence to medication, integrated patient care models and development of policies to reduce smoking practices (Skolnik </w:t>
      </w:r>
      <w:r w:rsidR="00A15905" w:rsidRPr="00A15905">
        <w:rPr>
          <w:rFonts w:eastAsia="Times New Roman"/>
          <w:i/>
          <w:iCs/>
          <w:color w:val="000000" w:themeColor="text1"/>
        </w:rPr>
        <w:t>et al.,</w:t>
      </w:r>
      <w:r w:rsidRPr="00E82CE9">
        <w:rPr>
          <w:rFonts w:eastAsia="Times New Roman"/>
          <w:color w:val="000000" w:themeColor="text1"/>
        </w:rPr>
        <w:t xml:space="preserve"> 2024).  A key public health strategy which can be implemented in Lambeth is structured patient education such that the younger </w:t>
      </w:r>
      <w:r w:rsidR="0044417F" w:rsidRPr="00E82CE9">
        <w:rPr>
          <w:rFonts w:eastAsia="Times New Roman"/>
          <w:color w:val="000000" w:themeColor="text1"/>
        </w:rPr>
        <w:t>adult’s</w:t>
      </w:r>
      <w:r w:rsidRPr="00E82CE9">
        <w:rPr>
          <w:rFonts w:eastAsia="Times New Roman"/>
          <w:color w:val="000000" w:themeColor="text1"/>
        </w:rPr>
        <w:t xml:space="preserve"> population become aware about the consequences of asthma. The young people must be enlightened about the technique of using an inhaler as it is one of the main causes for which the prevalence of asthma is so high in Lambeth</w:t>
      </w:r>
      <w:r w:rsidR="00A15905">
        <w:rPr>
          <w:rFonts w:eastAsia="Times New Roman"/>
          <w:color w:val="000000" w:themeColor="text1"/>
        </w:rPr>
        <w:t xml:space="preserve"> (</w:t>
      </w:r>
      <w:r w:rsidR="00A15905" w:rsidRPr="00A15905">
        <w:rPr>
          <w:rFonts w:eastAsia="Times New Roman"/>
          <w:color w:val="000000" w:themeColor="text1"/>
        </w:rPr>
        <w:t>de Freitas</w:t>
      </w:r>
      <w:r w:rsidR="00A15905">
        <w:rPr>
          <w:rFonts w:eastAsia="Times New Roman"/>
          <w:color w:val="000000" w:themeColor="text1"/>
        </w:rPr>
        <w:t xml:space="preserve"> </w:t>
      </w:r>
      <w:r w:rsidR="00A15905" w:rsidRPr="00A15905">
        <w:rPr>
          <w:rFonts w:eastAsia="Times New Roman"/>
          <w:i/>
          <w:iCs/>
          <w:color w:val="000000" w:themeColor="text1"/>
        </w:rPr>
        <w:t>et al.,</w:t>
      </w:r>
      <w:r w:rsidR="00A15905">
        <w:rPr>
          <w:rFonts w:eastAsia="Times New Roman"/>
          <w:color w:val="000000" w:themeColor="text1"/>
        </w:rPr>
        <w:t xml:space="preserve"> 2022)</w:t>
      </w:r>
      <w:r w:rsidRPr="00E82CE9">
        <w:rPr>
          <w:rFonts w:eastAsia="Times New Roman"/>
          <w:color w:val="000000" w:themeColor="text1"/>
        </w:rPr>
        <w:t xml:space="preserve">.  </w:t>
      </w:r>
      <w:r w:rsidR="0044417F" w:rsidRPr="00E82CE9">
        <w:rPr>
          <w:rFonts w:eastAsia="Times New Roman"/>
          <w:color w:val="000000" w:themeColor="text1"/>
        </w:rPr>
        <w:t>Moreover,</w:t>
      </w:r>
      <w:r w:rsidRPr="00E82CE9">
        <w:rPr>
          <w:rFonts w:eastAsia="Times New Roman"/>
          <w:color w:val="000000" w:themeColor="text1"/>
        </w:rPr>
        <w:t xml:space="preserve"> adherence to medication is also quite important for the young people as they try to avoid taking medicines which results in prolonged conditions of asthma. </w:t>
      </w:r>
      <w:r w:rsidR="0044417F" w:rsidRPr="00E82CE9">
        <w:rPr>
          <w:rFonts w:eastAsia="Times New Roman"/>
          <w:color w:val="000000" w:themeColor="text1"/>
        </w:rPr>
        <w:t>Thus,</w:t>
      </w:r>
      <w:r w:rsidRPr="00E82CE9">
        <w:rPr>
          <w:rFonts w:eastAsia="Times New Roman"/>
          <w:color w:val="000000" w:themeColor="text1"/>
        </w:rPr>
        <w:t xml:space="preserve"> these strategies can help to reduce the prevalence of asthma among the young adult population in Lambeth. </w:t>
      </w:r>
    </w:p>
    <w:p w14:paraId="1DD4D25E" w14:textId="77777777" w:rsidR="003E55CC" w:rsidRPr="00E82CE9" w:rsidRDefault="008B3BA2" w:rsidP="00E82CE9">
      <w:pPr>
        <w:pStyle w:val="Heading3"/>
        <w:spacing w:before="240" w:after="240" w:line="360" w:lineRule="auto"/>
        <w:jc w:val="both"/>
        <w:rPr>
          <w:rFonts w:ascii="Arial" w:hAnsi="Arial"/>
          <w:sz w:val="22"/>
          <w:szCs w:val="22"/>
        </w:rPr>
      </w:pPr>
      <w:bookmarkStart w:id="21" w:name="_Toc216956583"/>
      <w:r w:rsidRPr="00E82CE9">
        <w:rPr>
          <w:rFonts w:ascii="Arial" w:hAnsi="Arial"/>
          <w:sz w:val="22"/>
          <w:szCs w:val="22"/>
        </w:rPr>
        <w:t>2.5 Impact Assessment</w:t>
      </w:r>
      <w:bookmarkEnd w:id="21"/>
      <w:r w:rsidRPr="00E82CE9">
        <w:rPr>
          <w:rFonts w:ascii="Arial" w:hAnsi="Arial"/>
          <w:sz w:val="22"/>
          <w:szCs w:val="22"/>
        </w:rPr>
        <w:t xml:space="preserve"> </w:t>
      </w:r>
    </w:p>
    <w:p w14:paraId="08971C2B" w14:textId="32434D23" w:rsidR="003E55CC" w:rsidRPr="00E82CE9" w:rsidRDefault="008B3BA2" w:rsidP="00E82CE9">
      <w:pPr>
        <w:spacing w:before="240" w:after="240" w:line="360" w:lineRule="auto"/>
        <w:jc w:val="both"/>
        <w:rPr>
          <w:rFonts w:eastAsia="Times New Roman"/>
          <w:color w:val="000000" w:themeColor="text1"/>
        </w:rPr>
      </w:pPr>
      <w:r w:rsidRPr="00E82CE9">
        <w:rPr>
          <w:rFonts w:eastAsia="Times New Roman"/>
          <w:color w:val="000000" w:themeColor="text1"/>
        </w:rPr>
        <w:t xml:space="preserve">The young adults of London Borough of Lambeth are affected by the problem of asthma significantly because of such factors as the urban population, air pollution, and social concerns linked to the deprivation. The study </w:t>
      </w:r>
      <w:r w:rsidR="00ED4C82" w:rsidRPr="00E82CE9">
        <w:rPr>
          <w:rFonts w:eastAsia="Times New Roman"/>
          <w:color w:val="000000" w:themeColor="text1"/>
        </w:rPr>
        <w:t>of Orlovic</w:t>
      </w:r>
      <w:r w:rsidRPr="00E82CE9">
        <w:rPr>
          <w:rFonts w:eastAsia="Times New Roman"/>
          <w:color w:val="000000" w:themeColor="text1"/>
        </w:rPr>
        <w:t xml:space="preserve"> </w:t>
      </w:r>
      <w:r w:rsidRPr="00E82CE9">
        <w:rPr>
          <w:rFonts w:eastAsia="Times New Roman"/>
          <w:i/>
          <w:iCs/>
          <w:color w:val="000000" w:themeColor="text1"/>
        </w:rPr>
        <w:t>et al.</w:t>
      </w:r>
      <w:r w:rsidRPr="00E82CE9">
        <w:rPr>
          <w:rFonts w:eastAsia="Times New Roman"/>
          <w:color w:val="000000" w:themeColor="text1"/>
        </w:rPr>
        <w:t xml:space="preserve"> (2024) reveals that uncontrolled asthma consequences are higher levels of healthcare costs and usage, lack of productivity, and low quality of life. The findings have a high relevance to Lambeth in which the youth adults tend to seek emergency assistance in the event of poorly managed asthma symptoms. Among the population aged between 18-30 years </w:t>
      </w:r>
      <w:r w:rsidR="0044417F" w:rsidRPr="00E82CE9">
        <w:rPr>
          <w:rFonts w:eastAsia="Times New Roman"/>
          <w:color w:val="000000" w:themeColor="text1"/>
        </w:rPr>
        <w:t>old</w:t>
      </w:r>
      <w:r w:rsidRPr="00E82CE9">
        <w:rPr>
          <w:rFonts w:eastAsia="Times New Roman"/>
          <w:color w:val="000000" w:themeColor="text1"/>
        </w:rPr>
        <w:t>, uncontrolled asthma may cause frequent work or school absences, poor daily activities, and chronic health effects. The paper also indicates that productivity losses and poor wellbeing are the major contributors of the burden that comes with asthma and not the cost of the medical treatment</w:t>
      </w:r>
      <w:r w:rsidR="00A15905">
        <w:rPr>
          <w:rFonts w:eastAsia="Times New Roman"/>
          <w:color w:val="000000" w:themeColor="text1"/>
        </w:rPr>
        <w:t xml:space="preserve"> (</w:t>
      </w:r>
      <w:r w:rsidR="00A15905" w:rsidRPr="00A15905">
        <w:rPr>
          <w:rFonts w:eastAsia="Times New Roman"/>
          <w:color w:val="000000" w:themeColor="text1"/>
        </w:rPr>
        <w:t>Sobczyńska-Malefora</w:t>
      </w:r>
      <w:r w:rsidR="00A15905">
        <w:rPr>
          <w:rFonts w:eastAsia="Times New Roman"/>
          <w:color w:val="000000" w:themeColor="text1"/>
        </w:rPr>
        <w:t xml:space="preserve"> </w:t>
      </w:r>
      <w:r w:rsidR="00A15905" w:rsidRPr="00A15905">
        <w:rPr>
          <w:rFonts w:eastAsia="Times New Roman"/>
          <w:i/>
          <w:iCs/>
          <w:color w:val="000000" w:themeColor="text1"/>
        </w:rPr>
        <w:t>et al.,</w:t>
      </w:r>
      <w:r w:rsidR="00A15905">
        <w:rPr>
          <w:rFonts w:eastAsia="Times New Roman"/>
          <w:color w:val="000000" w:themeColor="text1"/>
        </w:rPr>
        <w:t xml:space="preserve"> 2025)</w:t>
      </w:r>
      <w:r w:rsidRPr="00E82CE9">
        <w:rPr>
          <w:rFonts w:eastAsia="Times New Roman"/>
          <w:color w:val="000000" w:themeColor="text1"/>
        </w:rPr>
        <w:t>. This shows how the social and economic burden of asthma is widespread in Lambeth and how the better control of the disease and prevention activities in the general population can help avoid unnecessary pressure on local health services.</w:t>
      </w:r>
    </w:p>
    <w:p w14:paraId="2820640E" w14:textId="77777777" w:rsidR="003E55CC" w:rsidRPr="00E82CE9" w:rsidRDefault="008B3BA2" w:rsidP="00E82CE9">
      <w:pPr>
        <w:pStyle w:val="Heading3"/>
        <w:spacing w:before="240" w:after="240" w:line="360" w:lineRule="auto"/>
        <w:jc w:val="both"/>
        <w:rPr>
          <w:rFonts w:ascii="Arial" w:hAnsi="Arial"/>
          <w:sz w:val="22"/>
          <w:szCs w:val="22"/>
        </w:rPr>
      </w:pPr>
      <w:bookmarkStart w:id="22" w:name="_Toc216956584"/>
      <w:r w:rsidRPr="00E82CE9">
        <w:rPr>
          <w:rFonts w:ascii="Arial" w:hAnsi="Arial"/>
          <w:sz w:val="22"/>
          <w:szCs w:val="22"/>
        </w:rPr>
        <w:t>2.6 Health Intervention Programme</w:t>
      </w:r>
      <w:bookmarkEnd w:id="22"/>
      <w:r w:rsidRPr="00E82CE9">
        <w:rPr>
          <w:rFonts w:ascii="Arial" w:hAnsi="Arial"/>
          <w:sz w:val="22"/>
          <w:szCs w:val="22"/>
        </w:rPr>
        <w:t xml:space="preserve">  </w:t>
      </w:r>
    </w:p>
    <w:p w14:paraId="7DAB3D08" w14:textId="38969609" w:rsidR="003E55CC" w:rsidRPr="00E82CE9" w:rsidRDefault="008B3BA2" w:rsidP="00E82CE9">
      <w:pPr>
        <w:spacing w:before="240" w:after="240" w:line="360" w:lineRule="auto"/>
        <w:jc w:val="both"/>
        <w:rPr>
          <w:rFonts w:eastAsia="Times New Roman"/>
          <w:color w:val="000000" w:themeColor="text1"/>
        </w:rPr>
      </w:pPr>
      <w:r w:rsidRPr="00E82CE9">
        <w:rPr>
          <w:rFonts w:eastAsia="Times New Roman"/>
          <w:color w:val="000000" w:themeColor="text1"/>
        </w:rPr>
        <w:t xml:space="preserve">There is a need to implement effective health intervention programmes that will support the asthma outcomes of young adults in Lambeth. According to Damery </w:t>
      </w:r>
      <w:r w:rsidRPr="00E82CE9">
        <w:rPr>
          <w:rFonts w:eastAsia="Times New Roman"/>
          <w:i/>
          <w:iCs/>
          <w:color w:val="000000" w:themeColor="text1"/>
        </w:rPr>
        <w:t>et al.</w:t>
      </w:r>
      <w:r w:rsidRPr="00E82CE9">
        <w:rPr>
          <w:rFonts w:eastAsia="Times New Roman"/>
          <w:color w:val="000000" w:themeColor="text1"/>
        </w:rPr>
        <w:t xml:space="preserve"> (2024), integrated asthma care pathways can meaningfully enhance the management of the disease, and the number of hospital admissions decreased. The intervention program was aimed at enhancing the cooperation of primary and secondary care, improved training of GPs, and timely access to specialized services. The implementation of a similar programme in Lambeth may assist in recognising the poorly controlled asthma in young adults at an earlier age and offer suitable treatment during an earlier period before the symptoms get deeper</w:t>
      </w:r>
      <w:r w:rsidR="00A15905">
        <w:rPr>
          <w:rFonts w:eastAsia="Times New Roman"/>
          <w:color w:val="000000" w:themeColor="text1"/>
        </w:rPr>
        <w:t xml:space="preserve"> (</w:t>
      </w:r>
      <w:r w:rsidR="00A15905" w:rsidRPr="00A15905">
        <w:rPr>
          <w:rFonts w:eastAsia="Times New Roman"/>
          <w:color w:val="000000" w:themeColor="text1"/>
        </w:rPr>
        <w:t>Fonderson</w:t>
      </w:r>
      <w:r w:rsidR="00A15905">
        <w:rPr>
          <w:rFonts w:eastAsia="Times New Roman"/>
          <w:color w:val="000000" w:themeColor="text1"/>
        </w:rPr>
        <w:t xml:space="preserve"> </w:t>
      </w:r>
      <w:r w:rsidR="00A15905" w:rsidRPr="00A15905">
        <w:rPr>
          <w:rFonts w:eastAsia="Times New Roman"/>
          <w:i/>
          <w:iCs/>
          <w:color w:val="000000" w:themeColor="text1"/>
        </w:rPr>
        <w:t>et al.,</w:t>
      </w:r>
      <w:r w:rsidR="00A15905">
        <w:rPr>
          <w:rFonts w:eastAsia="Times New Roman"/>
          <w:color w:val="000000" w:themeColor="text1"/>
        </w:rPr>
        <w:t xml:space="preserve"> 2025)</w:t>
      </w:r>
      <w:r w:rsidRPr="00E82CE9">
        <w:rPr>
          <w:rFonts w:eastAsia="Times New Roman"/>
          <w:color w:val="000000" w:themeColor="text1"/>
        </w:rPr>
        <w:t>. Since the population of the borough is diverse, and the health disparities in the area are common, that approach would have the potential to increase access to care among individuals who are less likely to use regular health service providers. The implementation of these measures in the local area would help decrease the utilization of emergency care as well as contribute to improved health results of young adults suffering from asthma in Lambeth in the long run.</w:t>
      </w:r>
    </w:p>
    <w:p w14:paraId="2D5154D8" w14:textId="77777777" w:rsidR="003E55CC" w:rsidRPr="00E82CE9" w:rsidRDefault="008B3BA2" w:rsidP="00E82CE9">
      <w:pPr>
        <w:pStyle w:val="Heading2"/>
        <w:spacing w:before="240" w:after="240" w:line="360" w:lineRule="auto"/>
        <w:jc w:val="both"/>
        <w:rPr>
          <w:rFonts w:ascii="Arial" w:hAnsi="Arial"/>
          <w:color w:val="000000" w:themeColor="text1"/>
          <w:sz w:val="22"/>
          <w:szCs w:val="22"/>
        </w:rPr>
      </w:pPr>
      <w:bookmarkStart w:id="23" w:name="_Toc216956585"/>
      <w:r w:rsidRPr="00E82CE9">
        <w:rPr>
          <w:rFonts w:ascii="Arial" w:hAnsi="Arial"/>
          <w:color w:val="000000" w:themeColor="text1"/>
          <w:sz w:val="22"/>
          <w:szCs w:val="22"/>
        </w:rPr>
        <w:t>2.7 Conclusion</w:t>
      </w:r>
      <w:bookmarkEnd w:id="23"/>
      <w:r w:rsidRPr="00E82CE9">
        <w:rPr>
          <w:rFonts w:ascii="Arial" w:hAnsi="Arial"/>
          <w:color w:val="000000" w:themeColor="text1"/>
          <w:sz w:val="22"/>
          <w:szCs w:val="22"/>
        </w:rPr>
        <w:t xml:space="preserve"> </w:t>
      </w:r>
    </w:p>
    <w:p w14:paraId="24309C8A" w14:textId="77777777" w:rsidR="003E55CC" w:rsidRPr="00E82CE9" w:rsidRDefault="008B3BA2" w:rsidP="00E82CE9">
      <w:pPr>
        <w:spacing w:before="240" w:after="240" w:line="360" w:lineRule="auto"/>
        <w:jc w:val="both"/>
        <w:rPr>
          <w:rFonts w:eastAsia="Times New Roman"/>
          <w:color w:val="000000" w:themeColor="text1"/>
        </w:rPr>
      </w:pPr>
      <w:r w:rsidRPr="00E82CE9">
        <w:rPr>
          <w:rFonts w:eastAsia="Times New Roman"/>
          <w:color w:val="000000" w:themeColor="text1"/>
        </w:rPr>
        <w:t xml:space="preserve">Asthma remains a major public health concern among young adults aged 18 to 30 years in the London Borough of Lambeth, largely due to urbanisation, air pollution, smoking behaviours, and socioeconomic inequalities. The epidemiological analysis highlights that asthma prevalence and poor disease control place a significant burden on both individuals and local health services. Factors such as limited access to care, low medication adherence, and unmanaged risk exposures further worsen outcomes. Implementing prevention-focused public health strategies, integrated care pathways, and targeted health intervention programmes can improve asthma control and reduce emergency admissions. Addressing these issues is essential to achieving better long-term health outcomes for young adults in Lambeth. </w:t>
      </w:r>
      <w:r w:rsidRPr="00E82CE9">
        <w:rPr>
          <w:color w:val="000000" w:themeColor="text1"/>
        </w:rPr>
        <w:br w:type="page"/>
      </w:r>
    </w:p>
    <w:p w14:paraId="78D9C32E" w14:textId="06902306" w:rsidR="00A15905" w:rsidRPr="000F65D3" w:rsidRDefault="008B3BA2" w:rsidP="000F65D3">
      <w:pPr>
        <w:pStyle w:val="Heading2"/>
        <w:spacing w:before="240" w:after="240" w:line="360" w:lineRule="auto"/>
        <w:jc w:val="both"/>
        <w:rPr>
          <w:rFonts w:ascii="Arial" w:hAnsi="Arial"/>
          <w:color w:val="000000" w:themeColor="text1"/>
          <w:sz w:val="22"/>
          <w:szCs w:val="22"/>
        </w:rPr>
      </w:pPr>
      <w:bookmarkStart w:id="24" w:name="_Toc216956586"/>
      <w:r w:rsidRPr="00E82CE9">
        <w:rPr>
          <w:rFonts w:ascii="Arial" w:hAnsi="Arial"/>
          <w:color w:val="000000" w:themeColor="text1"/>
          <w:sz w:val="22"/>
          <w:szCs w:val="22"/>
        </w:rPr>
        <w:t>References</w:t>
      </w:r>
      <w:bookmarkEnd w:id="24"/>
      <w:r w:rsidRPr="00E82CE9">
        <w:rPr>
          <w:rFonts w:ascii="Arial" w:hAnsi="Arial"/>
          <w:color w:val="000000" w:themeColor="text1"/>
          <w:sz w:val="22"/>
          <w:szCs w:val="22"/>
        </w:rPr>
        <w:t xml:space="preserve"> </w:t>
      </w:r>
    </w:p>
    <w:p w14:paraId="5521AFC6"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Aitken, Z., Bishop, G.M., Disney, G., Emerson, E. and Kavanagh, A.M., 2022. Disability-related inequalities in health and well-being are mediated by barriers to participation faced by people with disability. A causal mediation analysis. Social Science &amp; Medicine, 315, p.115500. </w:t>
      </w:r>
      <w:hyperlink r:id="rId13" w:history="1">
        <w:r w:rsidRPr="00A15905">
          <w:rPr>
            <w:rStyle w:val="Hyperlink"/>
            <w:rFonts w:eastAsia="Times New Roman"/>
          </w:rPr>
          <w:t>https://doi.org/10.1016/j.socscimed.2022.115500</w:t>
        </w:r>
      </w:hyperlink>
      <w:r w:rsidRPr="00A15905">
        <w:rPr>
          <w:rFonts w:eastAsia="Times New Roman"/>
          <w:color w:val="000000" w:themeColor="text1"/>
        </w:rPr>
        <w:t> </w:t>
      </w:r>
    </w:p>
    <w:p w14:paraId="0861323F"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Ashworth, M., Analitis, A., Whitney, D., Samoli, E., Zafeiratou, S., Atkinson, R., Dimakopoulou, K., Beavers, S., Schwartz, J., Katsouyanni, K. and STEAM project research group, 2021. Spatio-temporal associations of air pollutant concentrations, GP respiratory consultations and respiratory inhaler prescriptions: a 5-year study of primary care in the borough of Lambeth, South London. Environmental Health, 20(1), p.54. </w:t>
      </w:r>
      <w:hyperlink r:id="rId14" w:history="1">
        <w:r w:rsidRPr="00A15905">
          <w:rPr>
            <w:rStyle w:val="Hyperlink"/>
            <w:rFonts w:eastAsia="Times New Roman"/>
          </w:rPr>
          <w:t>https://doi.org/10.1186/s12940-021-00730-1</w:t>
        </w:r>
      </w:hyperlink>
      <w:r w:rsidRPr="00A15905">
        <w:rPr>
          <w:rFonts w:eastAsia="Times New Roman"/>
          <w:color w:val="000000" w:themeColor="text1"/>
        </w:rPr>
        <w:t> </w:t>
      </w:r>
    </w:p>
    <w:p w14:paraId="13D16345"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Buffel, T., Yarker, S., Phillipson, C., Lang, L., Lewis, C., Doran, P. and Goff, M., 2023. Locked down by inequality: Older people and the COVID-19 pandemic. Urban Studies, 60(8), pp.1465-1482. </w:t>
      </w:r>
      <w:hyperlink r:id="rId15" w:history="1">
        <w:r w:rsidRPr="00A15905">
          <w:rPr>
            <w:rStyle w:val="Hyperlink"/>
            <w:rFonts w:eastAsia="Times New Roman"/>
          </w:rPr>
          <w:t>https://doi.org/10.1177/00420980211041018</w:t>
        </w:r>
      </w:hyperlink>
      <w:r w:rsidRPr="00A15905">
        <w:rPr>
          <w:rFonts w:eastAsia="Times New Roman"/>
          <w:color w:val="000000" w:themeColor="text1"/>
        </w:rPr>
        <w:t> </w:t>
      </w:r>
    </w:p>
    <w:p w14:paraId="62DA1360"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Cabañero-Garcia, E., Martinez-Lacoba, R., Pardo-Garcia, I. and Amo-Saus, E., 2025. Barriers to health, social and long-term care access among older adults: a systematic review of reviews. International Journal for Equity in Health, 24(1), pp.1-13. </w:t>
      </w:r>
      <w:hyperlink r:id="rId16" w:history="1">
        <w:r w:rsidRPr="00A15905">
          <w:rPr>
            <w:rStyle w:val="Hyperlink"/>
            <w:rFonts w:eastAsia="Times New Roman"/>
          </w:rPr>
          <w:t>https://doi.org/10.1186/s12939-025-02429-y</w:t>
        </w:r>
      </w:hyperlink>
      <w:r w:rsidRPr="00A15905">
        <w:rPr>
          <w:rFonts w:eastAsia="Times New Roman"/>
          <w:color w:val="000000" w:themeColor="text1"/>
        </w:rPr>
        <w:t xml:space="preserve">   </w:t>
      </w:r>
    </w:p>
    <w:p w14:paraId="63262463"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Choi, H., Schoeni, R.F., Steptoe, A., Cho, T.C. and Langa, K.M., 2022. Differential trends in disability among rich and poor adults in the United States and England from 2002 to 2016. The Journals of Gerontology: Series B, 77(Supplement_2), pp.S189-S198. </w:t>
      </w:r>
      <w:hyperlink r:id="rId17" w:history="1">
        <w:r w:rsidRPr="00A15905">
          <w:rPr>
            <w:rStyle w:val="Hyperlink"/>
            <w:rFonts w:eastAsia="Times New Roman"/>
          </w:rPr>
          <w:t>https://doi.org/10.1093/geronb/gbac029</w:t>
        </w:r>
      </w:hyperlink>
      <w:r w:rsidRPr="00A15905">
        <w:rPr>
          <w:rFonts w:eastAsia="Times New Roman"/>
          <w:color w:val="000000" w:themeColor="text1"/>
        </w:rPr>
        <w:t> </w:t>
      </w:r>
    </w:p>
    <w:p w14:paraId="494ED3FD"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Damery, S., Jones, J., Idris, E., Cooper, A., Minshall, H., Clowes, C. and Jolly, K., 2024. Mixed-methods evaluation of an enhanced asthma biologics clinical pathway in the West Midlands UK. NPJ Primary Care Respiratory Medicine, 34(1), p.7. </w:t>
      </w:r>
      <w:hyperlink r:id="rId18" w:history="1">
        <w:r w:rsidRPr="00A15905">
          <w:rPr>
            <w:rStyle w:val="Hyperlink"/>
            <w:rFonts w:eastAsia="Times New Roman"/>
          </w:rPr>
          <w:t>https://doi.org/10.1038/s41533-024-00365-y</w:t>
        </w:r>
      </w:hyperlink>
      <w:r w:rsidRPr="00A15905">
        <w:rPr>
          <w:rFonts w:eastAsia="Times New Roman"/>
          <w:color w:val="000000" w:themeColor="text1"/>
        </w:rPr>
        <w:t xml:space="preserve">    </w:t>
      </w:r>
    </w:p>
    <w:p w14:paraId="70276B92"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de Freitas, D.F., Pritchard, M., Shetty, H., Khondoker, M., Nazroo, J., Hayes, R.D. and Bhui, K., 2022. Ethnic inequities in multimorbidity among people with psychosis: a retrospective cohort study. Epidemiology and Psychiatric Sciences, 31, p.e52. </w:t>
      </w:r>
      <w:hyperlink r:id="rId19" w:history="1">
        <w:r w:rsidRPr="00A15905">
          <w:rPr>
            <w:rStyle w:val="Hyperlink"/>
            <w:rFonts w:eastAsia="Times New Roman"/>
          </w:rPr>
          <w:t>https://doi.org/10.1017/S2045796022000385</w:t>
        </w:r>
      </w:hyperlink>
      <w:r w:rsidRPr="00A15905">
        <w:rPr>
          <w:rFonts w:eastAsia="Times New Roman"/>
          <w:color w:val="000000" w:themeColor="text1"/>
        </w:rPr>
        <w:t> </w:t>
      </w:r>
    </w:p>
    <w:p w14:paraId="3356B800"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Emerson, E., Stancliffe, R., Fortune, N. and Llewellyn, G., 2021. Disability, Loneliness and Health in the UK: cross-sectional survey. European journal of public health, 31(3), pp.533-538. </w:t>
      </w:r>
      <w:hyperlink r:id="rId20" w:history="1">
        <w:r w:rsidRPr="00A15905">
          <w:rPr>
            <w:rStyle w:val="Hyperlink"/>
            <w:rFonts w:eastAsia="Times New Roman"/>
          </w:rPr>
          <w:t>https://doi.org/10.1093/eurpub/ckab018</w:t>
        </w:r>
      </w:hyperlink>
      <w:r w:rsidRPr="00A15905">
        <w:rPr>
          <w:rFonts w:eastAsia="Times New Roman"/>
          <w:color w:val="000000" w:themeColor="text1"/>
        </w:rPr>
        <w:t> </w:t>
      </w:r>
    </w:p>
    <w:p w14:paraId="20DDAA80"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Fonderson, M.S., van Meel, E.R., Willers, S., Bindels, P.J.E., Burdorf, A., Bohnen, A. and van den Elshout, S., 2025. Short-term effects of air pollution on childhood respiratory symptoms in general practice: a time-series analysis. BMJ Paediatrics Open, 9(1), p.e002892. </w:t>
      </w:r>
      <w:hyperlink r:id="rId21" w:history="1">
        <w:r w:rsidRPr="00A15905">
          <w:rPr>
            <w:rStyle w:val="Hyperlink"/>
            <w:rFonts w:eastAsia="Times New Roman"/>
          </w:rPr>
          <w:t>https://doi.org/10.1136/bmjpo-2024-002892</w:t>
        </w:r>
      </w:hyperlink>
      <w:r w:rsidRPr="00A15905">
        <w:rPr>
          <w:rFonts w:eastAsia="Times New Roman"/>
          <w:color w:val="000000" w:themeColor="text1"/>
        </w:rPr>
        <w:t> </w:t>
      </w:r>
    </w:p>
    <w:p w14:paraId="72E2A373"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Foubert, C.P.I.S. and J., 2021 Outcomes for disabled people in the UK - Office for National Statistics. </w:t>
      </w:r>
      <w:hyperlink r:id="rId22" w:history="1">
        <w:r w:rsidRPr="00A15905">
          <w:rPr>
            <w:rStyle w:val="Hyperlink"/>
            <w:rFonts w:eastAsia="Times New Roman"/>
          </w:rPr>
          <w:t>https://www.ons.gov.uk/peoplepopulationandcommunity/healthandsocialcare/disability/articles/outcomesfordisabledpeopleintheuk/2020</w:t>
        </w:r>
      </w:hyperlink>
      <w:r w:rsidRPr="00A15905">
        <w:rPr>
          <w:rFonts w:eastAsia="Times New Roman"/>
          <w:color w:val="000000" w:themeColor="text1"/>
        </w:rPr>
        <w:t xml:space="preserve">? </w:t>
      </w:r>
    </w:p>
    <w:p w14:paraId="7BA56065"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Goodwin, V.A., Low, M.S., Quinn, T.J., Cockcroft, E.J., Shepherd, V., Evans, P.H., Henderson, E.J., Mahmood, F., Ni Lochlainn, M., Needham, C. and Underwood, B.R., 2023. Including older people in health and social care research: best practice recommendations based on the INCLUDE framework. Age and Ageing, 52(6), p.afad082. </w:t>
      </w:r>
      <w:hyperlink r:id="rId23" w:history="1">
        <w:r w:rsidRPr="00A15905">
          <w:rPr>
            <w:rStyle w:val="Hyperlink"/>
            <w:rFonts w:eastAsia="Times New Roman"/>
          </w:rPr>
          <w:t>https://doi.org/10.1093/ageing/afad082</w:t>
        </w:r>
      </w:hyperlink>
      <w:r w:rsidRPr="00A15905">
        <w:rPr>
          <w:rFonts w:eastAsia="Times New Roman"/>
          <w:color w:val="000000" w:themeColor="text1"/>
        </w:rPr>
        <w:t> </w:t>
      </w:r>
    </w:p>
    <w:p w14:paraId="126FF902"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He, J., Wu, J., He, Y., Shen, D., Huang, X., Yao, X., Tang, W., Chen, G.B. and Ye, C., 2024. Associations of lifestyle, ambient air pollution with progression of asthma in adults: a comprehensive analysis of UK biobank cohort. International Journal of Public Health, 69, p.1607640. </w:t>
      </w:r>
      <w:hyperlink r:id="rId24" w:history="1">
        <w:r w:rsidRPr="00A15905">
          <w:rPr>
            <w:rStyle w:val="Hyperlink"/>
            <w:rFonts w:eastAsia="Times New Roman"/>
          </w:rPr>
          <w:t>https://doi.org/10.3389/ijph.2024.1607640</w:t>
        </w:r>
      </w:hyperlink>
      <w:r w:rsidRPr="00A15905">
        <w:rPr>
          <w:rFonts w:eastAsia="Times New Roman"/>
          <w:color w:val="000000" w:themeColor="text1"/>
        </w:rPr>
        <w:t xml:space="preserve"> </w:t>
      </w:r>
    </w:p>
    <w:p w14:paraId="6CB06E02"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Huo, M. and Kim, K., 2022. Volunteering dynamics and life satisfaction: Self-perceptions of aging as a buffer. The Journals of Gerontology: Series B, 77(2), pp.321-331. </w:t>
      </w:r>
      <w:hyperlink r:id="rId25" w:history="1">
        <w:r w:rsidRPr="00A15905">
          <w:rPr>
            <w:rStyle w:val="Hyperlink"/>
            <w:rFonts w:eastAsia="Times New Roman"/>
          </w:rPr>
          <w:t>https://doi.org/10.1093/geronb/gbab104</w:t>
        </w:r>
      </w:hyperlink>
      <w:r w:rsidRPr="00A15905">
        <w:rPr>
          <w:rFonts w:eastAsia="Times New Roman"/>
          <w:color w:val="000000" w:themeColor="text1"/>
        </w:rPr>
        <w:t xml:space="preserve">  </w:t>
      </w:r>
    </w:p>
    <w:p w14:paraId="477929FA"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Jayesinghe, R., Moriarty, F., Khatter, A., Durbaba, S., Ashworth, M. and Redmond, P., 2022. Cost outcomes of potentially inappropriate prescribing in middle</w:t>
      </w:r>
      <w:r w:rsidRPr="00A15905">
        <w:rPr>
          <w:rFonts w:ascii="Cambria Math" w:eastAsia="Times New Roman" w:hAnsi="Cambria Math" w:cs="Cambria Math"/>
          <w:color w:val="000000" w:themeColor="text1"/>
        </w:rPr>
        <w:t>‐</w:t>
      </w:r>
      <w:r w:rsidRPr="00A15905">
        <w:rPr>
          <w:rFonts w:eastAsia="Times New Roman"/>
          <w:color w:val="000000" w:themeColor="text1"/>
        </w:rPr>
        <w:t>aged adults: A Delphi consensus and cross</w:t>
      </w:r>
      <w:r w:rsidRPr="00A15905">
        <w:rPr>
          <w:rFonts w:ascii="Cambria Math" w:eastAsia="Times New Roman" w:hAnsi="Cambria Math" w:cs="Cambria Math"/>
          <w:color w:val="000000" w:themeColor="text1"/>
        </w:rPr>
        <w:t>‐</w:t>
      </w:r>
      <w:r w:rsidRPr="00A15905">
        <w:rPr>
          <w:rFonts w:eastAsia="Times New Roman"/>
          <w:color w:val="000000" w:themeColor="text1"/>
        </w:rPr>
        <w:t xml:space="preserve">sectional study. British Journal of Clinical Pharmacology, 88(7), pp.3404-3420. </w:t>
      </w:r>
      <w:hyperlink r:id="rId26" w:history="1">
        <w:r w:rsidRPr="00A15905">
          <w:rPr>
            <w:rStyle w:val="Hyperlink"/>
            <w:rFonts w:eastAsia="Times New Roman"/>
          </w:rPr>
          <w:t>https://doi.org/10.1111/bcp.15295</w:t>
        </w:r>
      </w:hyperlink>
      <w:r w:rsidRPr="00A15905">
        <w:rPr>
          <w:rFonts w:eastAsia="Times New Roman"/>
          <w:color w:val="000000" w:themeColor="text1"/>
        </w:rPr>
        <w:t> </w:t>
      </w:r>
    </w:p>
    <w:p w14:paraId="0E4C415A"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Kavanagh, A., Hatton, C., Stancliffe, R.J., Aitken, Z., King, T., Hastings, R., Totsika, V., Llewellyn, G. and Emerson, E., 2022. Health and healthcare for people with disabilities in the UK during the COVID-19 pandemic. Disability and Health Journal, 15(1), p.101171. </w:t>
      </w:r>
      <w:hyperlink r:id="rId27" w:history="1">
        <w:r w:rsidRPr="00A15905">
          <w:rPr>
            <w:rStyle w:val="Hyperlink"/>
            <w:rFonts w:eastAsia="Times New Roman"/>
          </w:rPr>
          <w:t>https://doi.org/10.1016/j.dhjo.2021.101171</w:t>
        </w:r>
      </w:hyperlink>
      <w:r w:rsidRPr="00A15905">
        <w:rPr>
          <w:rFonts w:eastAsia="Times New Roman"/>
          <w:color w:val="000000" w:themeColor="text1"/>
        </w:rPr>
        <w:t> </w:t>
      </w:r>
    </w:p>
    <w:p w14:paraId="1E73D1E5"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Kuper, H., Rotenberg, S., Banks, L.M. and Smythe, T., 2024. The association between disability and mortality: a mixed-methods study. The Lancet Public Health, 9(5), pp.e306-e315. </w:t>
      </w:r>
      <w:hyperlink r:id="rId28" w:history="1">
        <w:r w:rsidRPr="00A15905">
          <w:rPr>
            <w:rStyle w:val="Hyperlink"/>
            <w:rFonts w:eastAsia="Times New Roman"/>
          </w:rPr>
          <w:t>https://doi.org/10.1016/S2468-2667(24)00054-9</w:t>
        </w:r>
      </w:hyperlink>
      <w:r w:rsidRPr="00A15905">
        <w:rPr>
          <w:rFonts w:eastAsia="Times New Roman"/>
          <w:color w:val="000000" w:themeColor="text1"/>
        </w:rPr>
        <w:t xml:space="preserve"> </w:t>
      </w:r>
    </w:p>
    <w:p w14:paraId="5C47FA82"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Ledwaba-Chapman, L., Bisquera, A., Gulliford, M., Dodhia, H., Durbaba, S., Ashworth, M. and Wang, Y., 2021. Applying resolved and remission codes reduced prevalence of multimorbidity in an urban multi-ethnic population. Journal of Clinical Epidemiology, 140, pp.135-148. </w:t>
      </w:r>
      <w:hyperlink r:id="rId29" w:history="1">
        <w:r w:rsidRPr="00A15905">
          <w:rPr>
            <w:rStyle w:val="Hyperlink"/>
            <w:rFonts w:eastAsia="Times New Roman"/>
          </w:rPr>
          <w:t>https://doi.org/10.1016/j.jclinepi.2021.09.005</w:t>
        </w:r>
      </w:hyperlink>
      <w:r w:rsidRPr="00A15905">
        <w:rPr>
          <w:rFonts w:eastAsia="Times New Roman"/>
          <w:color w:val="000000" w:themeColor="text1"/>
        </w:rPr>
        <w:t> </w:t>
      </w:r>
    </w:p>
    <w:p w14:paraId="50622F88"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Lu, W., Rylance, S., Schotte, K., Aarsand, R., Lebedeva, E., Bill, W., Han, J., Lam, D.C., Soriano, J.B., Yorgancioglu, A. and Sohal, S.S., 2025. Tobacco and asthma: presenting the world health organization (WHO) tobacco knowledge summary. Substance Abuse Treatment, Prevention, and Policy, 20(1), p.34.  </w:t>
      </w:r>
      <w:hyperlink r:id="rId30" w:history="1">
        <w:r w:rsidRPr="00A15905">
          <w:rPr>
            <w:rStyle w:val="Hyperlink"/>
            <w:rFonts w:eastAsia="Times New Roman"/>
          </w:rPr>
          <w:t>https://doi.org/10.1186/s13011-025-00673-7</w:t>
        </w:r>
      </w:hyperlink>
      <w:r w:rsidRPr="00A15905">
        <w:rPr>
          <w:rFonts w:eastAsia="Times New Roman"/>
          <w:color w:val="000000" w:themeColor="text1"/>
        </w:rPr>
        <w:t xml:space="preserve">  </w:t>
      </w:r>
    </w:p>
    <w:p w14:paraId="61C65A3B"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Ma, R., Romano, E., Ashworth, M., Yadegarfar, M.E., Dregan, A., Ronaldson, A., De Oliveira, C., Jacobs, R., Stewart, R. and Stubbs, B., 2023. Multimorbidity clusters among people with serious mental illness: a representative primary and secondary data linkage cohort study. Psychological medicine, 53(10), pp.4333-4344. </w:t>
      </w:r>
      <w:hyperlink r:id="rId31" w:history="1">
        <w:r w:rsidRPr="00A15905">
          <w:rPr>
            <w:rStyle w:val="Hyperlink"/>
            <w:rFonts w:eastAsia="Times New Roman"/>
          </w:rPr>
          <w:t>https://doi.org/10.1017/S003329172200109X</w:t>
        </w:r>
      </w:hyperlink>
      <w:r w:rsidRPr="00A15905">
        <w:rPr>
          <w:rFonts w:eastAsia="Times New Roman"/>
          <w:color w:val="000000" w:themeColor="text1"/>
        </w:rPr>
        <w:t> </w:t>
      </w:r>
    </w:p>
    <w:p w14:paraId="118083DF"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NHS UK., 2023b. NHS England » Half of adults aged 55 and over have experienced common mental health problems, say Age UK. </w:t>
      </w:r>
      <w:hyperlink r:id="rId32" w:history="1">
        <w:r w:rsidRPr="00A15905">
          <w:rPr>
            <w:rStyle w:val="Hyperlink"/>
            <w:rFonts w:eastAsia="Times New Roman"/>
          </w:rPr>
          <w:t>https://www.england.nhs.uk/2017/10/half-of-adults-aged-55-and-over-have-experienced-common-mental-health-problems-say-age-uk/?utm</w:t>
        </w:r>
      </w:hyperlink>
      <w:r w:rsidRPr="00A15905">
        <w:rPr>
          <w:rFonts w:eastAsia="Times New Roman"/>
          <w:color w:val="000000" w:themeColor="text1"/>
        </w:rPr>
        <w:t xml:space="preserve">  </w:t>
      </w:r>
    </w:p>
    <w:p w14:paraId="0A4FADD9"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Nicholls, L., McKinlay, A., Berger, R., Fancourt, D. and Burton, A., 2024. The impact of UK social distancing guidance on the ability to access support and the health and wellbeing of disabled people during the COVID-19 pandemic: a qualitative exploration. BMC Public Health, 24(1), p.1749. </w:t>
      </w:r>
      <w:hyperlink r:id="rId33" w:history="1">
        <w:r w:rsidRPr="00A15905">
          <w:rPr>
            <w:rStyle w:val="Hyperlink"/>
            <w:rFonts w:eastAsia="Times New Roman"/>
          </w:rPr>
          <w:t>https://doi.org/10.1186/s12889-024-19285-0</w:t>
        </w:r>
      </w:hyperlink>
      <w:r w:rsidRPr="00A15905">
        <w:rPr>
          <w:rFonts w:eastAsia="Times New Roman"/>
          <w:color w:val="000000" w:themeColor="text1"/>
        </w:rPr>
        <w:t xml:space="preserve"> </w:t>
      </w:r>
    </w:p>
    <w:p w14:paraId="2DCD1B46"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Orlovic, M., Tzelis, D., Guerra, I., Bar-Katz, V., Woolley, N., Bray, H., Hanslot, M., Usmani, O. and Madoni, A., 2024. Environmental, healthcare and societal impacts of asthma: a UK model-based assessment. ERJ Open Research, 10(4). </w:t>
      </w:r>
      <w:hyperlink r:id="rId34" w:history="1">
        <w:r w:rsidRPr="00A15905">
          <w:rPr>
            <w:rStyle w:val="Hyperlink"/>
            <w:rFonts w:eastAsia="Times New Roman"/>
          </w:rPr>
          <w:t>https://doi.org/10.1183/23120541.00577-2023</w:t>
        </w:r>
      </w:hyperlink>
      <w:r w:rsidRPr="00A15905">
        <w:rPr>
          <w:rFonts w:eastAsia="Times New Roman"/>
          <w:color w:val="000000" w:themeColor="text1"/>
        </w:rPr>
        <w:t xml:space="preserve"> </w:t>
      </w:r>
    </w:p>
    <w:p w14:paraId="309C242C"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Ramsey, L., Albutt, A., Perfetto, K., Quinton, N., Baker, J., Louch, G. and O’Hara, J., 2022. Systemic safety inequities for people with learning disabilities: a qualitative integrative analysis of the experiences of English health and social care for people with learning disabilities, their families and carers. International Journal for Equity in Health, 21(1), p.13. </w:t>
      </w:r>
      <w:hyperlink r:id="rId35" w:history="1">
        <w:r w:rsidRPr="00A15905">
          <w:rPr>
            <w:rStyle w:val="Hyperlink"/>
            <w:rFonts w:eastAsia="Times New Roman"/>
          </w:rPr>
          <w:t>https://doi.org/10.1186/s12939-021-01612-1</w:t>
        </w:r>
      </w:hyperlink>
      <w:r w:rsidRPr="00A15905">
        <w:rPr>
          <w:rFonts w:eastAsia="Times New Roman"/>
          <w:color w:val="000000" w:themeColor="text1"/>
        </w:rPr>
        <w:t> </w:t>
      </w:r>
    </w:p>
    <w:p w14:paraId="71247A5B"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Ronaldson, A., De La Torre, J.A., Broadbent, M., Ashworth, M., Armstrong, D., Bakolis, I., Hatch, S.L., Hotopf, M. and Dregan, A., 2023. Ethnic differences in physical and mental multimorbidity in working age adults with a history of depression and/or anxiety. Psychological Medicine, 53(13), pp.6212-6222. </w:t>
      </w:r>
      <w:hyperlink r:id="rId36" w:history="1">
        <w:r w:rsidRPr="00A15905">
          <w:rPr>
            <w:rStyle w:val="Hyperlink"/>
            <w:rFonts w:eastAsia="Times New Roman"/>
          </w:rPr>
          <w:t>https://doi.org/10.1017/S0033291722003488</w:t>
        </w:r>
      </w:hyperlink>
      <w:r w:rsidRPr="00A15905">
        <w:rPr>
          <w:rFonts w:eastAsia="Times New Roman"/>
          <w:color w:val="000000" w:themeColor="text1"/>
        </w:rPr>
        <w:t> </w:t>
      </w:r>
    </w:p>
    <w:p w14:paraId="1F76F51D"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Shetty, S., Scuffell, J., Aitken, D. and Ashworth, M., 2025. Chronic pain-prevalence, demographic inequalities and healthcare utilisation: a primary care database analysis. BJGP open. </w:t>
      </w:r>
      <w:hyperlink r:id="rId37" w:history="1">
        <w:r w:rsidRPr="00A15905">
          <w:rPr>
            <w:rStyle w:val="Hyperlink"/>
            <w:rFonts w:eastAsia="Times New Roman"/>
          </w:rPr>
          <w:t>https://doi.org/10.3399/BJGPO.2024.0147</w:t>
        </w:r>
      </w:hyperlink>
      <w:r w:rsidRPr="00A15905">
        <w:rPr>
          <w:rFonts w:eastAsia="Times New Roman"/>
          <w:color w:val="000000" w:themeColor="text1"/>
        </w:rPr>
        <w:t> </w:t>
      </w:r>
    </w:p>
    <w:p w14:paraId="31A61D59"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Simms-Williams, N., Nagakumar, P., Thayakaran, R., Adderley, N.J., Hotham, R., Mansur, A.H., Nirantharakumar, K. and Haroon, S., 2024. Risk factors for asthma-related hospital and intensive care admissions in children, adolescents and adults: a cohort study using primary and secondary care data. BMJ Open Respiratory Research, 11(1). </w:t>
      </w:r>
      <w:hyperlink r:id="rId38" w:history="1">
        <w:r w:rsidRPr="00A15905">
          <w:rPr>
            <w:rStyle w:val="Hyperlink"/>
            <w:rFonts w:eastAsia="Times New Roman"/>
          </w:rPr>
          <w:t>https://doi.org/10.1136/bmjresp-2023-001746</w:t>
        </w:r>
      </w:hyperlink>
      <w:r w:rsidRPr="00A15905">
        <w:rPr>
          <w:rFonts w:eastAsia="Times New Roman"/>
          <w:color w:val="000000" w:themeColor="text1"/>
        </w:rPr>
        <w:t xml:space="preserve"> </w:t>
      </w:r>
    </w:p>
    <w:p w14:paraId="4CC0A191"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Sinclair, D.R., Maharani, A., Chandola, T., Bower, P., Hanratty, B., Nazroo, J., O’Neill, T.W., Tampubolon, G., Todd, C., Wittenberg, R. and Matthews, F.E., 2022. Frailty among older adults and its distribution in England. The Journal of Frailty &amp; Aging, 11(2), pp.163-168. </w:t>
      </w:r>
      <w:hyperlink r:id="rId39" w:history="1">
        <w:r w:rsidRPr="00A15905">
          <w:rPr>
            <w:rStyle w:val="Hyperlink"/>
            <w:rFonts w:eastAsia="Times New Roman"/>
          </w:rPr>
          <w:t>https://doi.org/10.14283/jfa.2021.55</w:t>
        </w:r>
      </w:hyperlink>
      <w:r w:rsidRPr="00A15905">
        <w:rPr>
          <w:rFonts w:eastAsia="Times New Roman"/>
          <w:color w:val="000000" w:themeColor="text1"/>
        </w:rPr>
        <w:t> </w:t>
      </w:r>
    </w:p>
    <w:p w14:paraId="15032766" w14:textId="77777777" w:rsidR="00A15905" w:rsidRPr="00A15905" w:rsidRDefault="00A15905" w:rsidP="00A15905">
      <w:pPr>
        <w:spacing w:before="240" w:after="240" w:line="360" w:lineRule="auto"/>
        <w:jc w:val="both"/>
        <w:rPr>
          <w:rFonts w:ascii="Times New Roman" w:eastAsia="Times New Roman" w:hAnsi="Times New Roman" w:cs="Times New Roman"/>
          <w:color w:val="000000" w:themeColor="text1"/>
          <w:sz w:val="24"/>
          <w:szCs w:val="24"/>
        </w:rPr>
      </w:pPr>
      <w:r w:rsidRPr="00A15905">
        <w:rPr>
          <w:rFonts w:eastAsia="Times New Roman"/>
          <w:color w:val="000000" w:themeColor="text1"/>
        </w:rPr>
        <w:t xml:space="preserve">Skolnik, N., Yawn, B.P., Correia de Sousa, J., Vázquez, M.M.M., Barnard, A., Wright, W.L., Ulrich, A., Winders, T. and Brunton, S., 2024. Best practice advice for asthma exacerbation prevention and management in primary care: an international expert consensus. NPJ Primary Care Respiratory Medicine, 34(1), p.39. </w:t>
      </w:r>
      <w:hyperlink r:id="rId40" w:history="1">
        <w:r w:rsidRPr="00A15905">
          <w:rPr>
            <w:rStyle w:val="Hyperlink"/>
            <w:rFonts w:eastAsia="Times New Roman"/>
          </w:rPr>
          <w:t>https://doi.org/10.1038/s41533-024-</w:t>
        </w:r>
        <w:r w:rsidRPr="00A15905">
          <w:rPr>
            <w:rStyle w:val="Hyperlink"/>
            <w:rFonts w:ascii="Times New Roman" w:eastAsia="Times New Roman" w:hAnsi="Times New Roman" w:cs="Times New Roman"/>
            <w:sz w:val="24"/>
            <w:szCs w:val="24"/>
          </w:rPr>
          <w:t>00399-2</w:t>
        </w:r>
      </w:hyperlink>
      <w:r w:rsidRPr="00A15905">
        <w:rPr>
          <w:rFonts w:ascii="Times New Roman" w:eastAsia="Times New Roman" w:hAnsi="Times New Roman" w:cs="Times New Roman"/>
          <w:color w:val="000000" w:themeColor="text1"/>
          <w:sz w:val="24"/>
          <w:szCs w:val="24"/>
        </w:rPr>
        <w:t xml:space="preserve"> </w:t>
      </w:r>
    </w:p>
    <w:p w14:paraId="350B20DD"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Sobczyńska-Malefora, A., Sulkowski, A., Harbige, L., Steed, D. and Harrington, D.J., 2025. Vitamin D status in a large, ethnically diverse patient population living in South East London at the onset of the COVID-19 pandemic: a cross-sectional study Including a SARS-CoV-2 positive patient subset. Nutrients, 17(17), p.2861. </w:t>
      </w:r>
      <w:hyperlink r:id="rId41" w:history="1">
        <w:r w:rsidRPr="00A15905">
          <w:rPr>
            <w:rStyle w:val="Hyperlink"/>
            <w:rFonts w:eastAsia="Times New Roman"/>
          </w:rPr>
          <w:t>https://doi.org/10.3390/nu17172861</w:t>
        </w:r>
      </w:hyperlink>
      <w:r w:rsidRPr="00A15905">
        <w:rPr>
          <w:rFonts w:eastAsia="Times New Roman"/>
          <w:color w:val="000000" w:themeColor="text1"/>
        </w:rPr>
        <w:t> </w:t>
      </w:r>
    </w:p>
    <w:p w14:paraId="06F88998" w14:textId="77777777" w:rsidR="00A15905" w:rsidRPr="00A15905" w:rsidRDefault="00A15905" w:rsidP="00A15905">
      <w:pPr>
        <w:spacing w:before="240" w:after="240" w:line="360" w:lineRule="auto"/>
        <w:jc w:val="both"/>
        <w:rPr>
          <w:rFonts w:eastAsia="Times New Roman"/>
          <w:color w:val="000000" w:themeColor="text1"/>
        </w:rPr>
      </w:pPr>
      <w:r w:rsidRPr="00A15905">
        <w:rPr>
          <w:rFonts w:eastAsia="Times New Roman"/>
          <w:color w:val="000000" w:themeColor="text1"/>
        </w:rPr>
        <w:t xml:space="preserve">Thomson, L.J., Gordon-Nesbitt, R., Elsden, E. and Chatterjee, H.J., 2021. The role of cultural, community and natural assets in addressing societal and structural health inequalities in the UK: future research priorities. International Journal for Equity in Health, 20(1), p.249. </w:t>
      </w:r>
      <w:hyperlink r:id="rId42" w:history="1">
        <w:r w:rsidRPr="00A15905">
          <w:rPr>
            <w:rStyle w:val="Hyperlink"/>
            <w:rFonts w:eastAsia="Times New Roman"/>
          </w:rPr>
          <w:t>https://doi.org/10.1186/s12939-021-01590-4</w:t>
        </w:r>
      </w:hyperlink>
      <w:r w:rsidRPr="00A15905">
        <w:rPr>
          <w:rFonts w:eastAsia="Times New Roman"/>
          <w:color w:val="000000" w:themeColor="text1"/>
        </w:rPr>
        <w:t> </w:t>
      </w:r>
    </w:p>
    <w:sectPr w:rsidR="00A15905" w:rsidRPr="00A15905" w:rsidSect="00624AFF">
      <w:footerReference w:type="default" r:id="rId43"/>
      <w:pgSz w:w="11909" w:h="16834"/>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57944" w14:textId="77777777" w:rsidR="00E60B90" w:rsidRDefault="00E60B90" w:rsidP="0044417F">
      <w:pPr>
        <w:spacing w:line="240" w:lineRule="auto"/>
      </w:pPr>
      <w:r>
        <w:separator/>
      </w:r>
    </w:p>
  </w:endnote>
  <w:endnote w:type="continuationSeparator" w:id="0">
    <w:p w14:paraId="75C296EE" w14:textId="77777777" w:rsidR="00E60B90" w:rsidRDefault="00E60B90" w:rsidP="004441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5EFB9041-9640-478D-830F-9ECD1343586E}"/>
  </w:font>
  <w:font w:name="Vrinda">
    <w:panose1 w:val="020B0502040204020203"/>
    <w:charset w:val="00"/>
    <w:family w:val="swiss"/>
    <w:pitch w:val="variable"/>
    <w:sig w:usb0="00010003" w:usb1="00000000" w:usb2="00000000" w:usb3="00000000" w:csb0="00000001" w:csb1="00000000"/>
    <w:embedRegular r:id="rId2" w:fontKey="{BF183C9D-A975-47AF-86D2-622F29EC0BFD}"/>
  </w:font>
  <w:font w:name="Cambria Math">
    <w:panose1 w:val="02040503050406030204"/>
    <w:charset w:val="00"/>
    <w:family w:val="roman"/>
    <w:pitch w:val="variable"/>
    <w:sig w:usb0="E00006FF" w:usb1="420024FF" w:usb2="02000000" w:usb3="00000000" w:csb0="0000019F" w:csb1="00000000"/>
    <w:embedRegular r:id="rId3" w:fontKey="{3AE4ACBB-1D91-483B-AFDF-2A757ADE3876}"/>
  </w:font>
  <w:font w:name="Cambria">
    <w:panose1 w:val="02040503050406030204"/>
    <w:charset w:val="00"/>
    <w:family w:val="roman"/>
    <w:pitch w:val="variable"/>
    <w:sig w:usb0="E00006FF" w:usb1="420024FF" w:usb2="02000000" w:usb3="00000000" w:csb0="0000019F" w:csb1="00000000"/>
    <w:embedRegular r:id="rId4" w:fontKey="{3ABAFE4C-5D88-4043-9911-0B2B0E66108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9563932"/>
      <w:docPartObj>
        <w:docPartGallery w:val="Page Numbers (Bottom of Page)"/>
        <w:docPartUnique/>
      </w:docPartObj>
    </w:sdtPr>
    <w:sdtEndPr>
      <w:rPr>
        <w:rFonts w:ascii="Times New Roman" w:hAnsi="Times New Roman" w:cs="Times New Roman"/>
        <w:sz w:val="20"/>
        <w:szCs w:val="20"/>
      </w:rPr>
    </w:sdtEndPr>
    <w:sdtContent>
      <w:p w14:paraId="74CF03C4" w14:textId="08A99028" w:rsidR="0044417F" w:rsidRPr="0044417F" w:rsidRDefault="0044417F">
        <w:pPr>
          <w:pStyle w:val="Footer"/>
          <w:jc w:val="right"/>
          <w:rPr>
            <w:rFonts w:ascii="Times New Roman" w:hAnsi="Times New Roman" w:cs="Times New Roman"/>
            <w:sz w:val="20"/>
            <w:szCs w:val="20"/>
          </w:rPr>
        </w:pPr>
        <w:r w:rsidRPr="0044417F">
          <w:rPr>
            <w:rFonts w:ascii="Times New Roman" w:hAnsi="Times New Roman" w:cs="Times New Roman"/>
            <w:sz w:val="20"/>
            <w:szCs w:val="20"/>
          </w:rPr>
          <w:fldChar w:fldCharType="begin"/>
        </w:r>
        <w:r w:rsidRPr="0044417F">
          <w:rPr>
            <w:rFonts w:ascii="Times New Roman" w:hAnsi="Times New Roman" w:cs="Times New Roman"/>
            <w:sz w:val="20"/>
            <w:szCs w:val="20"/>
          </w:rPr>
          <w:instrText>PAGE   \* MERGEFORMAT</w:instrText>
        </w:r>
        <w:r w:rsidRPr="0044417F">
          <w:rPr>
            <w:rFonts w:ascii="Times New Roman" w:hAnsi="Times New Roman" w:cs="Times New Roman"/>
            <w:sz w:val="20"/>
            <w:szCs w:val="20"/>
          </w:rPr>
          <w:fldChar w:fldCharType="separate"/>
        </w:r>
        <w:r w:rsidRPr="0044417F">
          <w:rPr>
            <w:rFonts w:ascii="Times New Roman" w:hAnsi="Times New Roman" w:cs="Times New Roman"/>
            <w:sz w:val="20"/>
            <w:szCs w:val="20"/>
          </w:rPr>
          <w:t>2</w:t>
        </w:r>
        <w:r w:rsidRPr="0044417F">
          <w:rPr>
            <w:rFonts w:ascii="Times New Roman" w:hAnsi="Times New Roman" w:cs="Times New Roman"/>
            <w:sz w:val="20"/>
            <w:szCs w:val="20"/>
          </w:rPr>
          <w:fldChar w:fldCharType="end"/>
        </w:r>
      </w:p>
    </w:sdtContent>
  </w:sdt>
  <w:p w14:paraId="24B3FB17" w14:textId="77777777" w:rsidR="0044417F" w:rsidRPr="0044417F" w:rsidRDefault="0044417F">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92373" w14:textId="77777777" w:rsidR="00E60B90" w:rsidRDefault="00E60B90" w:rsidP="0044417F">
      <w:pPr>
        <w:spacing w:line="240" w:lineRule="auto"/>
      </w:pPr>
      <w:r>
        <w:separator/>
      </w:r>
    </w:p>
  </w:footnote>
  <w:footnote w:type="continuationSeparator" w:id="0">
    <w:p w14:paraId="67DF7BF9" w14:textId="77777777" w:rsidR="00E60B90" w:rsidRDefault="00E60B90" w:rsidP="0044417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9189A"/>
    <w:multiLevelType w:val="hybridMultilevel"/>
    <w:tmpl w:val="E2C8BA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B444C9"/>
    <w:multiLevelType w:val="hybridMultilevel"/>
    <w:tmpl w:val="424E0B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7693942">
    <w:abstractNumId w:val="1"/>
  </w:num>
  <w:num w:numId="2" w16cid:durableId="3090935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removePersonalInformation/>
  <w:removeDateAndTime/>
  <w:embedTrueTypeFonts/>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5CC"/>
    <w:rsid w:val="0000298B"/>
    <w:rsid w:val="000F65D3"/>
    <w:rsid w:val="00122329"/>
    <w:rsid w:val="00152D3F"/>
    <w:rsid w:val="001E5967"/>
    <w:rsid w:val="002157EA"/>
    <w:rsid w:val="002218AE"/>
    <w:rsid w:val="00264089"/>
    <w:rsid w:val="00283665"/>
    <w:rsid w:val="002A02F0"/>
    <w:rsid w:val="002F7323"/>
    <w:rsid w:val="003E55CC"/>
    <w:rsid w:val="003F1059"/>
    <w:rsid w:val="0044417F"/>
    <w:rsid w:val="004817E0"/>
    <w:rsid w:val="004F7A2E"/>
    <w:rsid w:val="005377E5"/>
    <w:rsid w:val="00544186"/>
    <w:rsid w:val="00624AFF"/>
    <w:rsid w:val="00711252"/>
    <w:rsid w:val="007A0E38"/>
    <w:rsid w:val="007D1D62"/>
    <w:rsid w:val="007E1FC2"/>
    <w:rsid w:val="00831D03"/>
    <w:rsid w:val="008A358D"/>
    <w:rsid w:val="008B3BA2"/>
    <w:rsid w:val="008D57F2"/>
    <w:rsid w:val="008F2D11"/>
    <w:rsid w:val="00926A4F"/>
    <w:rsid w:val="00950935"/>
    <w:rsid w:val="00965845"/>
    <w:rsid w:val="00A15905"/>
    <w:rsid w:val="00A9413B"/>
    <w:rsid w:val="00AD0FD2"/>
    <w:rsid w:val="00AD7CC8"/>
    <w:rsid w:val="00BE4A3F"/>
    <w:rsid w:val="00C02757"/>
    <w:rsid w:val="00C24DC3"/>
    <w:rsid w:val="00C25008"/>
    <w:rsid w:val="00C90AA3"/>
    <w:rsid w:val="00CD1F4A"/>
    <w:rsid w:val="00D007DA"/>
    <w:rsid w:val="00E267B3"/>
    <w:rsid w:val="00E60B90"/>
    <w:rsid w:val="00E82CE9"/>
    <w:rsid w:val="00EB5D02"/>
    <w:rsid w:val="00ED4C82"/>
    <w:rsid w:val="00EF4B02"/>
    <w:rsid w:val="00F06F5A"/>
    <w:rsid w:val="00F371E7"/>
    <w:rsid w:val="00F852F7"/>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C4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44417F"/>
    <w:pPr>
      <w:keepNext/>
      <w:keepLines/>
      <w:spacing w:before="400" w:after="120"/>
      <w:outlineLvl w:val="0"/>
    </w:pPr>
    <w:rPr>
      <w:rFonts w:ascii="Times New Roman" w:hAnsi="Times New Roman"/>
      <w:b/>
      <w:sz w:val="28"/>
      <w:szCs w:val="40"/>
    </w:rPr>
  </w:style>
  <w:style w:type="paragraph" w:styleId="Heading2">
    <w:name w:val="heading 2"/>
    <w:basedOn w:val="Normal"/>
    <w:next w:val="Normal"/>
    <w:uiPriority w:val="9"/>
    <w:unhideWhenUsed/>
    <w:qFormat/>
    <w:rsid w:val="0044417F"/>
    <w:pPr>
      <w:keepNext/>
      <w:keepLines/>
      <w:spacing w:before="360" w:after="120"/>
      <w:outlineLvl w:val="1"/>
    </w:pPr>
    <w:rPr>
      <w:rFonts w:ascii="Times New Roman" w:hAnsi="Times New Roman"/>
      <w:b/>
      <w:sz w:val="28"/>
      <w:szCs w:val="32"/>
    </w:rPr>
  </w:style>
  <w:style w:type="paragraph" w:styleId="Heading3">
    <w:name w:val="heading 3"/>
    <w:basedOn w:val="Normal"/>
    <w:next w:val="Normal"/>
    <w:uiPriority w:val="9"/>
    <w:unhideWhenUsed/>
    <w:qFormat/>
    <w:rsid w:val="0044417F"/>
    <w:pPr>
      <w:keepNext/>
      <w:keepLines/>
      <w:spacing w:before="320" w:after="80"/>
      <w:outlineLvl w:val="2"/>
    </w:pPr>
    <w:rPr>
      <w:rFonts w:ascii="Times New Roman" w:hAnsi="Times New Roman"/>
      <w:b/>
      <w:color w:val="000000" w:themeColor="text1"/>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44417F"/>
    <w:pPr>
      <w:tabs>
        <w:tab w:val="center" w:pos="4513"/>
        <w:tab w:val="right" w:pos="9026"/>
      </w:tabs>
      <w:spacing w:line="240" w:lineRule="auto"/>
    </w:pPr>
  </w:style>
  <w:style w:type="character" w:customStyle="1" w:styleId="HeaderChar">
    <w:name w:val="Header Char"/>
    <w:basedOn w:val="DefaultParagraphFont"/>
    <w:link w:val="Header"/>
    <w:uiPriority w:val="99"/>
    <w:rsid w:val="0044417F"/>
  </w:style>
  <w:style w:type="paragraph" w:styleId="Footer">
    <w:name w:val="footer"/>
    <w:basedOn w:val="Normal"/>
    <w:link w:val="FooterChar"/>
    <w:uiPriority w:val="99"/>
    <w:unhideWhenUsed/>
    <w:rsid w:val="0044417F"/>
    <w:pPr>
      <w:tabs>
        <w:tab w:val="center" w:pos="4513"/>
        <w:tab w:val="right" w:pos="9026"/>
      </w:tabs>
      <w:spacing w:line="240" w:lineRule="auto"/>
    </w:pPr>
  </w:style>
  <w:style w:type="character" w:customStyle="1" w:styleId="FooterChar">
    <w:name w:val="Footer Char"/>
    <w:basedOn w:val="DefaultParagraphFont"/>
    <w:link w:val="Footer"/>
    <w:uiPriority w:val="99"/>
    <w:rsid w:val="0044417F"/>
  </w:style>
  <w:style w:type="paragraph" w:styleId="TOCHeading">
    <w:name w:val="TOC Heading"/>
    <w:basedOn w:val="Heading1"/>
    <w:next w:val="Normal"/>
    <w:uiPriority w:val="39"/>
    <w:unhideWhenUsed/>
    <w:qFormat/>
    <w:rsid w:val="0044417F"/>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44417F"/>
    <w:pPr>
      <w:spacing w:after="100"/>
    </w:pPr>
  </w:style>
  <w:style w:type="paragraph" w:styleId="TOC2">
    <w:name w:val="toc 2"/>
    <w:basedOn w:val="Normal"/>
    <w:next w:val="Normal"/>
    <w:autoRedefine/>
    <w:uiPriority w:val="39"/>
    <w:unhideWhenUsed/>
    <w:rsid w:val="0044417F"/>
    <w:pPr>
      <w:spacing w:after="100"/>
      <w:ind w:left="220"/>
    </w:pPr>
  </w:style>
  <w:style w:type="paragraph" w:styleId="TOC3">
    <w:name w:val="toc 3"/>
    <w:basedOn w:val="Normal"/>
    <w:next w:val="Normal"/>
    <w:autoRedefine/>
    <w:uiPriority w:val="39"/>
    <w:unhideWhenUsed/>
    <w:rsid w:val="0044417F"/>
    <w:pPr>
      <w:spacing w:after="100"/>
      <w:ind w:left="440"/>
    </w:pPr>
  </w:style>
  <w:style w:type="character" w:styleId="Hyperlink">
    <w:name w:val="Hyperlink"/>
    <w:basedOn w:val="DefaultParagraphFont"/>
    <w:uiPriority w:val="99"/>
    <w:unhideWhenUsed/>
    <w:rsid w:val="0044417F"/>
    <w:rPr>
      <w:color w:val="0000FF" w:themeColor="hyperlink"/>
      <w:u w:val="single"/>
    </w:rPr>
  </w:style>
  <w:style w:type="character" w:customStyle="1" w:styleId="TitleChar">
    <w:name w:val="Title Char"/>
    <w:basedOn w:val="DefaultParagraphFont"/>
    <w:link w:val="Title"/>
    <w:uiPriority w:val="10"/>
    <w:rsid w:val="00F852F7"/>
    <w:rPr>
      <w:sz w:val="52"/>
      <w:szCs w:val="52"/>
    </w:rPr>
  </w:style>
  <w:style w:type="character" w:styleId="UnresolvedMention">
    <w:name w:val="Unresolved Mention"/>
    <w:basedOn w:val="DefaultParagraphFont"/>
    <w:uiPriority w:val="99"/>
    <w:semiHidden/>
    <w:unhideWhenUsed/>
    <w:rsid w:val="007E1FC2"/>
    <w:rPr>
      <w:color w:val="605E5C"/>
      <w:shd w:val="clear" w:color="auto" w:fill="E1DFDD"/>
    </w:rPr>
  </w:style>
  <w:style w:type="paragraph" w:styleId="ListParagraph">
    <w:name w:val="List Paragraph"/>
    <w:basedOn w:val="Normal"/>
    <w:uiPriority w:val="34"/>
    <w:qFormat/>
    <w:rsid w:val="008A35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doi.org/10.1016/j.socscimed.2022.115500" TargetMode="External" /><Relationship Id="rId18" Type="http://schemas.openxmlformats.org/officeDocument/2006/relationships/hyperlink" Target="https://doi.org/10.1038/s41533-024-00365-y" TargetMode="External" /><Relationship Id="rId26" Type="http://schemas.openxmlformats.org/officeDocument/2006/relationships/hyperlink" Target="https://doi.org/10.1111/bcp.15295" TargetMode="External" /><Relationship Id="rId39" Type="http://schemas.openxmlformats.org/officeDocument/2006/relationships/hyperlink" Target="https://doi.org/10.14283/jfa.2021.55" TargetMode="External" /><Relationship Id="rId3" Type="http://schemas.openxmlformats.org/officeDocument/2006/relationships/styles" Target="styles.xml" /><Relationship Id="rId21" Type="http://schemas.openxmlformats.org/officeDocument/2006/relationships/hyperlink" Target="https://doi.org/10.1136/bmjpo-2024-002892" TargetMode="External" /><Relationship Id="rId34" Type="http://schemas.openxmlformats.org/officeDocument/2006/relationships/hyperlink" Target="https://doi.org/10.1183/23120541.00577-2023" TargetMode="External" /><Relationship Id="rId42" Type="http://schemas.openxmlformats.org/officeDocument/2006/relationships/hyperlink" Target="https://doi.org/10.1186/s12939-021-01590-4"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doi.org/10.1093/geronb/gbac029" TargetMode="External" /><Relationship Id="rId25" Type="http://schemas.openxmlformats.org/officeDocument/2006/relationships/hyperlink" Target="https://doi.org/10.1093/geronb/gbab104" TargetMode="External" /><Relationship Id="rId33" Type="http://schemas.openxmlformats.org/officeDocument/2006/relationships/hyperlink" Target="https://doi.org/10.1186/s12889-024-19285-0" TargetMode="External" /><Relationship Id="rId38" Type="http://schemas.openxmlformats.org/officeDocument/2006/relationships/hyperlink" Target="https://doi.org/10.1136/bmjresp-2023-001746" TargetMode="External" /><Relationship Id="rId2" Type="http://schemas.openxmlformats.org/officeDocument/2006/relationships/numbering" Target="numbering.xml" /><Relationship Id="rId16" Type="http://schemas.openxmlformats.org/officeDocument/2006/relationships/hyperlink" Target="https://doi.org/10.1186/s12939-025-02429-y" TargetMode="External" /><Relationship Id="rId20" Type="http://schemas.openxmlformats.org/officeDocument/2006/relationships/hyperlink" Target="https://doi.org/10.1093/eurpub/ckab018" TargetMode="External" /><Relationship Id="rId29" Type="http://schemas.openxmlformats.org/officeDocument/2006/relationships/hyperlink" Target="https://doi.org/10.1016/j.jclinepi.2021.09.005" TargetMode="External" /><Relationship Id="rId41" Type="http://schemas.openxmlformats.org/officeDocument/2006/relationships/hyperlink" Target="https://doi.org/10.3390/nu17172861"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doi.org/10.3389/ijph.2024.1607640" TargetMode="External" /><Relationship Id="rId32" Type="http://schemas.openxmlformats.org/officeDocument/2006/relationships/hyperlink" Target="https://www.england.nhs.uk/2017/10/half-of-adults-aged-55-and-over-have-experienced-common-mental-health-problems-say-age-uk/?utm" TargetMode="External" /><Relationship Id="rId37" Type="http://schemas.openxmlformats.org/officeDocument/2006/relationships/hyperlink" Target="https://doi.org/10.3399/BJGPO.2024.0147" TargetMode="External" /><Relationship Id="rId40" Type="http://schemas.openxmlformats.org/officeDocument/2006/relationships/hyperlink" Target="https://doi.org/10.1038/s41533-024-00399-2" TargetMode="External" /><Relationship Id="rId45"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doi.org/10.1177/00420980211041018" TargetMode="External" /><Relationship Id="rId23" Type="http://schemas.openxmlformats.org/officeDocument/2006/relationships/hyperlink" Target="https://doi.org/10.1093/ageing/afad082" TargetMode="External" /><Relationship Id="rId28" Type="http://schemas.openxmlformats.org/officeDocument/2006/relationships/hyperlink" Target="https://doi.org/10.1016/S2468-2667(24)00054-9" TargetMode="External" /><Relationship Id="rId36" Type="http://schemas.openxmlformats.org/officeDocument/2006/relationships/hyperlink" Target="https://doi.org/10.1017/S0033291722003488" TargetMode="External" /><Relationship Id="rId10" Type="http://schemas.openxmlformats.org/officeDocument/2006/relationships/image" Target="media/image3.png" /><Relationship Id="rId19" Type="http://schemas.openxmlformats.org/officeDocument/2006/relationships/hyperlink" Target="https://doi.org/10.1017/S2045796022000385" TargetMode="External" /><Relationship Id="rId31" Type="http://schemas.openxmlformats.org/officeDocument/2006/relationships/hyperlink" Target="https://doi.org/10.1017/S003329172200109X" TargetMode="External" /><Relationship Id="rId44"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doi.org/10.1186/s12940-021-00730-1" TargetMode="External" /><Relationship Id="rId22" Type="http://schemas.openxmlformats.org/officeDocument/2006/relationships/hyperlink" Target="https://www.ons.gov.uk/peoplepopulationandcommunity/healthandsocialcare/disability/articles/outcomesfordisabledpeopleintheuk/2020" TargetMode="External" /><Relationship Id="rId27" Type="http://schemas.openxmlformats.org/officeDocument/2006/relationships/hyperlink" Target="https://doi.org/10.1016/j.dhjo.2021.101171" TargetMode="External" /><Relationship Id="rId30" Type="http://schemas.openxmlformats.org/officeDocument/2006/relationships/hyperlink" Target="https://doi.org/10.1186/s13011-025-00673-7" TargetMode="External" /><Relationship Id="rId35" Type="http://schemas.openxmlformats.org/officeDocument/2006/relationships/hyperlink" Target="https://doi.org/10.1186/s12939-021-01612-1" TargetMode="External" /><Relationship Id="rId43" Type="http://schemas.openxmlformats.org/officeDocument/2006/relationships/footer" Target="footer1.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F1075-2F92-4350-B50A-58370315FF0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4463</Words>
  <Characters>25442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2025-12-19T10:46:00Z</dcterms:created>
  <dcterms:modified xsi:type="dcterms:W3CDTF">2025-12-19T10:46:00Z</dcterms:modified>
</cp:coreProperties>
</file>