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993297" w14:textId="2C25223F" w:rsidR="00E51D05" w:rsidRPr="004E427B" w:rsidRDefault="004E427B">
      <w:pPr>
        <w:rPr>
          <w:color w:val="000000" w:themeColor="text1"/>
        </w:rPr>
      </w:pPr>
      <w:r>
        <w:t>0902080</w:t>
      </w:r>
    </w:p>
    <w:p w14:paraId="6F1A4600" w14:textId="77777777" w:rsidR="004E427B" w:rsidRPr="004E427B" w:rsidRDefault="00E51D05" w:rsidP="004E427B">
      <w:pPr>
        <w:spacing w:before="100" w:beforeAutospacing="1" w:after="100" w:afterAutospacing="1" w:line="276" w:lineRule="auto"/>
        <w:rPr>
          <w:rFonts w:ascii="Arial" w:hAnsi="Arial" w:cs="Arial"/>
          <w:color w:val="000000" w:themeColor="text1"/>
        </w:rPr>
      </w:pPr>
      <w:r w:rsidRPr="004E427B">
        <w:rPr>
          <w:rFonts w:ascii="Arial" w:hAnsi="Arial" w:cs="Arial"/>
          <w:color w:val="000000" w:themeColor="text1"/>
        </w:rPr>
        <w:t xml:space="preserve">Mae'r awdur wedi penderfynu creu gwefan wedi'i thargedu at ymarferwyr mewn lleoliad </w:t>
      </w:r>
      <w:r w:rsidRPr="004E427B">
        <w:rPr>
          <w:rFonts w:ascii="Arial" w:hAnsi="Arial" w:cs="Arial"/>
          <w:color w:val="000000" w:themeColor="text1"/>
        </w:rPr>
        <w:t>a</w:t>
      </w:r>
      <w:r w:rsidRPr="004E427B">
        <w:rPr>
          <w:rFonts w:ascii="Arial" w:hAnsi="Arial" w:cs="Arial"/>
          <w:color w:val="000000" w:themeColor="text1"/>
        </w:rPr>
        <w:t>ddysg.</w:t>
      </w:r>
      <w:r w:rsidRPr="004E427B">
        <w:rPr>
          <w:rFonts w:ascii="Arial" w:hAnsi="Arial" w:cs="Arial"/>
          <w:color w:val="000000" w:themeColor="text1"/>
        </w:rPr>
        <w:t xml:space="preserve"> </w:t>
      </w:r>
      <w:r w:rsidRPr="004E427B">
        <w:rPr>
          <w:rFonts w:ascii="Arial" w:hAnsi="Arial" w:cs="Arial"/>
          <w:color w:val="000000" w:themeColor="text1"/>
        </w:rPr>
        <w:t>Ar gyfer y rhan fwyaf o blant yng Nghymru, byddant fel arfer yn mynychu lleoliad ysgol a byddant yn treulio cryn dipyn o amser mewn ysgolion.</w:t>
      </w:r>
      <w:r w:rsidRPr="004E427B">
        <w:rPr>
          <w:rFonts w:ascii="Arial" w:hAnsi="Arial" w:cs="Arial"/>
          <w:color w:val="000000" w:themeColor="text1"/>
        </w:rPr>
        <w:t xml:space="preserve"> </w:t>
      </w:r>
      <w:r w:rsidRPr="004E427B">
        <w:rPr>
          <w:rFonts w:ascii="Arial" w:hAnsi="Arial" w:cs="Arial"/>
          <w:color w:val="000000" w:themeColor="text1"/>
        </w:rPr>
        <w:t>Mae gan yr holl staff mewn lleoliadau addysg gyfrifoldebau ac maent yn gwneud penderfyniadau a chamau gweithredu sy'n effeithio</w:t>
      </w:r>
      <w:r w:rsidRPr="004E427B">
        <w:rPr>
          <w:rFonts w:ascii="Arial" w:hAnsi="Arial" w:cs="Arial"/>
          <w:color w:val="000000" w:themeColor="text1"/>
        </w:rPr>
        <w:t xml:space="preserve"> </w:t>
      </w:r>
      <w:r w:rsidRPr="004E427B">
        <w:rPr>
          <w:rFonts w:ascii="Arial" w:hAnsi="Arial" w:cs="Arial"/>
          <w:color w:val="000000" w:themeColor="text1"/>
        </w:rPr>
        <w:t>ar blant. Dylid rhoi gwybodaeth i blant a chael mynediad at weithdrefnau sy'n eu galluogi i gwestiynu a herio penderfyniadau a wnaed mewn lleoliadau addysgol. Er mwyn i hyn fod yn effeithiol, mae angen i leoliadau addysg fod yn dryloyw a rhoi rhesymau dros eu penderfyniadau a'u gweithredoedd. Lle bynnag y bo modd, dylid eu cysylltu â hawliau plant. Er mwyn cael unrhyw hawl rhaid i blentyn wybod bod ganddo hawl iddo a'i fod yn gallu ei hawlio, gan gynnwys wrth wneud cwyn neu herio penderfyniadau a chamau gweithredu. Mae atebolrwydd yn golygu dal gwneuthurwyr penderfyniadau i gyfrif, sy'n gofyn am wybodaeth a data ar berfformiad yn erbyn safonau hawliau plant.</w:t>
      </w:r>
    </w:p>
    <w:p w14:paraId="50C32027" w14:textId="77777777" w:rsidR="004E427B" w:rsidRPr="004E427B" w:rsidRDefault="004E427B" w:rsidP="004E427B">
      <w:pPr>
        <w:spacing w:before="100" w:beforeAutospacing="1" w:after="100" w:afterAutospacing="1" w:line="276" w:lineRule="auto"/>
        <w:rPr>
          <w:rFonts w:ascii="Arial" w:hAnsi="Arial" w:cs="Arial"/>
          <w:color w:val="000000" w:themeColor="text1"/>
        </w:rPr>
      </w:pPr>
      <w:r w:rsidRPr="004E427B">
        <w:rPr>
          <w:rFonts w:ascii="Arial" w:hAnsi="Arial" w:cs="Arial"/>
          <w:color w:val="000000" w:themeColor="text1"/>
        </w:rPr>
        <w:t>Mae'r Adnodd Gwe a grëwyd gan yr awdur yn canolbwyntio'n gryf ar yr ymarferwyr mewn lleoliadau addysg. Mae'r awdur wedi creu nifer o wahanol dudalennau er mwyn i athrawon allu cael gafael ar fwy o wybodaeth am hawliau plant o fewn addysg. Mae'r awdur wedi penderfynu creu pedair tudalen wahanol megis, llais y plentyn, gwybodaeth a pholisïau, gwaith damcaniaethol a hawliau a'r cwricwlwm.</w:t>
      </w:r>
      <w:r w:rsidRPr="004E427B">
        <w:rPr>
          <w:rFonts w:ascii="Arial" w:hAnsi="Arial" w:cs="Arial"/>
          <w:color w:val="000000" w:themeColor="text1"/>
        </w:rPr>
        <w:t xml:space="preserve"> </w:t>
      </w:r>
      <w:r w:rsidRPr="004E427B">
        <w:rPr>
          <w:rFonts w:ascii="Arial" w:hAnsi="Arial" w:cs="Arial"/>
          <w:color w:val="000000" w:themeColor="text1"/>
        </w:rPr>
        <w:t>Mae'r awdur yn credu, trwy gynnwys theori, polisi ac ymarfer, fod hyn yn caniatáu i'r ymarferydd ddatblygu ei ddysgu a'i ddealltwriaeth o ran hawliau plant</w:t>
      </w:r>
      <w:r w:rsidRPr="004E427B">
        <w:rPr>
          <w:rFonts w:ascii="Arial" w:hAnsi="Arial" w:cs="Arial"/>
          <w:color w:val="000000" w:themeColor="text1"/>
        </w:rPr>
        <w:t xml:space="preserve">. </w:t>
      </w:r>
      <w:r w:rsidRPr="004E427B">
        <w:rPr>
          <w:rFonts w:ascii="Arial" w:hAnsi="Arial" w:cs="Arial"/>
          <w:color w:val="000000" w:themeColor="text1"/>
          <w:lang w:val="cy-GB"/>
        </w:rPr>
        <w:t>Mae cymryd rhan yn cyfoethogi plant sy'n cymryd rhan mewn gweithgareddau boed yn unigol, mewn parau mewn grwpiau - chwarae gemau, dysgu, actio. Ond mae adroddiadau cyfranogiad UNCRC fel arfer yn cael eu categoreiddio mewn dau is-gategori - yr ymgynghorir â nhw a gwneud penderfyniadau. Felly gan ganolbwyntio ar blant yn meddwl yn weithredol, yn siarad ac yn penderfynu yn hytrach na gwneud dim ond (childcomwales.org.uk 2019). Mae cyfranogiad yn agwedd greiddiol o fewn addysg, mae angen i blant gymryd rhan ym mhob agwedd ar fywyd eu hysgol (Burnham and Baker, 2010). Mae'r cyrriwclwm yn agwedd sylfaenol. Mae gan bob plentyn hawl i addysg ond, yn yr ysgol, mae gan blant y cyfan</w:t>
      </w:r>
    </w:p>
    <w:p w14:paraId="68B5578D" w14:textId="77777777" w:rsidR="004E427B" w:rsidRPr="004E427B" w:rsidRDefault="004E427B" w:rsidP="004E427B">
      <w:pPr>
        <w:spacing w:before="100" w:beforeAutospacing="1" w:after="100" w:afterAutospacing="1" w:line="276" w:lineRule="auto"/>
        <w:rPr>
          <w:rFonts w:ascii="Arial" w:hAnsi="Arial" w:cs="Arial"/>
          <w:color w:val="000000" w:themeColor="text1"/>
        </w:rPr>
      </w:pPr>
      <w:r w:rsidRPr="004E427B">
        <w:rPr>
          <w:rFonts w:ascii="Arial" w:hAnsi="Arial" w:cs="Arial"/>
          <w:color w:val="000000" w:themeColor="text1"/>
          <w:lang w:val="cy-GB"/>
        </w:rPr>
        <w:t>o'u hawliau eraill, fel yr hawl i gael eu cadw'n ddiogel, i gael gwrandawiad ac i gael eu parchu (Alderson, 2008, t18). Er bod mynediad at y cwricwlwm os yw'n sylfaenol, rwy'n credu'n gryf bod angen i blant gymryd rhan weithredol yn y system addysg yn gyffredinol, nid yn unig yn academaidd.</w:t>
      </w:r>
    </w:p>
    <w:p w14:paraId="5C020C5E" w14:textId="7327203E" w:rsidR="004E427B" w:rsidRPr="004E427B" w:rsidRDefault="004E427B" w:rsidP="004E427B">
      <w:pPr>
        <w:spacing w:before="100" w:beforeAutospacing="1" w:after="100" w:afterAutospacing="1" w:line="276" w:lineRule="auto"/>
        <w:rPr>
          <w:rFonts w:ascii="Arial" w:hAnsi="Arial" w:cs="Arial"/>
          <w:color w:val="000000" w:themeColor="text1"/>
        </w:rPr>
      </w:pPr>
    </w:p>
    <w:p w14:paraId="7033A3B9" w14:textId="7EFF141C" w:rsidR="004E427B" w:rsidRPr="004E427B" w:rsidRDefault="004E427B" w:rsidP="004E427B">
      <w:pPr>
        <w:spacing w:before="100" w:beforeAutospacing="1" w:after="100" w:afterAutospacing="1" w:line="276" w:lineRule="auto"/>
        <w:rPr>
          <w:rFonts w:ascii="Arial" w:hAnsi="Arial" w:cs="Arial"/>
          <w:color w:val="000000" w:themeColor="text1"/>
        </w:rPr>
      </w:pPr>
      <w:r w:rsidRPr="004E427B">
        <w:rPr>
          <w:rFonts w:ascii="Arial" w:hAnsi="Arial" w:cs="Arial"/>
          <w:color w:val="000000" w:themeColor="text1"/>
        </w:rPr>
        <w:t xml:space="preserve">Mae Confensiwn y Cenhedloedd Unedig ar Hawliau'r Plentyn (CCUHP) yn gytundeb rhyngwladol sy'n rhwymo'n gyfreithiol sy'n nodi hawliau sifil, gwleidyddol, economaidd, cymdeithasol a diwylliannol pob plentyn, waeth beth yw eu hil, crefydd </w:t>
      </w:r>
      <w:r w:rsidRPr="004E427B">
        <w:rPr>
          <w:rFonts w:ascii="Arial" w:hAnsi="Arial" w:cs="Arial"/>
          <w:color w:val="000000" w:themeColor="text1"/>
        </w:rPr>
        <w:lastRenderedPageBreak/>
        <w:t>neu alluoedd. Mae CCUHP yn cynnwys 54 o erthyglau sy'n nodi hawliau plant a sut y dylai llywodraethau gydweithio i sicrhau eu bod ar gael i bob plentyn. (Alderson, 2008, t2</w:t>
      </w:r>
      <w:r w:rsidRPr="004E427B">
        <w:rPr>
          <w:rFonts w:ascii="Arial" w:hAnsi="Arial" w:cs="Arial"/>
          <w:color w:val="000000" w:themeColor="text1"/>
        </w:rPr>
        <w:t>)</w:t>
      </w:r>
    </w:p>
    <w:p w14:paraId="3360831D" w14:textId="77777777" w:rsidR="00E51D05" w:rsidRPr="00E51D05" w:rsidRDefault="00E51D05" w:rsidP="004E427B">
      <w:pPr>
        <w:spacing w:line="276" w:lineRule="auto"/>
        <w:rPr>
          <w:rFonts w:ascii="Arial" w:eastAsia="Times New Roman" w:hAnsi="Arial" w:cs="Arial"/>
          <w:color w:val="000000" w:themeColor="text1"/>
        </w:rPr>
      </w:pPr>
      <w:r w:rsidRPr="00E51D05">
        <w:rPr>
          <w:rFonts w:ascii="Arial" w:eastAsia="Times New Roman" w:hAnsi="Arial" w:cs="Arial"/>
          <w:color w:val="000000" w:themeColor="text1"/>
        </w:rPr>
        <w:t xml:space="preserve">Mae diddordebau pawb yn cael eu heffeithio gan ansawdd, natur a chanlyniadau systemau addysg. Fodd bynnag, mae'n hawdd anghofio hawliau ac anghenion plant yn y system (Alderson, 2008, t2). Mae'n anghyffredin i lywodraethau, er enghraifft, gael gafael ar safbwyntiau plant wrth drafod deddfwriaeth, polisi neu ddarpariaeth addysg. Wrth gwrs, mewn sawl ffordd mae'r agenda addysg yr un fath ar gyfer yr holl randdeiliaid. Byddai pawb yn cytuno â'r angen am safonau uchel, a wasanaethir gan athrawon â chymwysterau da, cwricwlwm priodol, ac adnoddau digonol. Ond mae angen i addysg fynd y tu hwnt i gyrhaeddiad academaidd. Mae'r Confensiwn yn gofyn am weledigaeth eang o addysg. </w:t>
      </w:r>
      <w:r w:rsidRPr="00E51D05">
        <w:rPr>
          <w:rFonts w:ascii="Arial" w:eastAsia="Times New Roman" w:hAnsi="Arial" w:cs="Arial"/>
          <w:color w:val="000000" w:themeColor="text1"/>
          <w:lang w:val="cy-GB"/>
        </w:rPr>
        <w:t>Mae'r hawliau a nodir yn y Confensiwn yn amddiffyniad ychwanegol i'w diogelwch a'u datblygiad, ac yn cefnogi gallu plant i wneud penderfyniadau ac yn gweithredu'n annibynnol. Mae holl erthyglau'r confensiwn yn cwmpasu tair prif thema: Cyfranogiad, Darpariaeth ac Amddiffyn.</w:t>
      </w:r>
    </w:p>
    <w:p w14:paraId="1892BA8B" w14:textId="77777777" w:rsidR="00E51D05" w:rsidRPr="00E51D05" w:rsidRDefault="00E51D05" w:rsidP="004E427B">
      <w:pPr>
        <w:spacing w:line="276" w:lineRule="auto"/>
        <w:rPr>
          <w:rFonts w:ascii="Arial" w:eastAsia="Times New Roman" w:hAnsi="Arial" w:cs="Arial"/>
          <w:color w:val="000000" w:themeColor="text1"/>
        </w:rPr>
      </w:pPr>
      <w:r w:rsidRPr="00E51D05">
        <w:rPr>
          <w:rFonts w:ascii="Arial" w:eastAsia="Times New Roman" w:hAnsi="Arial" w:cs="Arial"/>
          <w:color w:val="000000" w:themeColor="text1"/>
        </w:rPr>
        <w:t>Mae cyflawni'r nodau hyn yn cynnwys parchu a gwerthfawrogi plant fel chwaraewyr gweithredol yn y broses addysgol (Percy-Smith &amp; Thomas, 2010). Pe bai'n cael ei weithredu'n llawn, byddai hawl plant i fynegi barn a'u cymryd o ddifrif, ledled amgylchedd yr ysgol, yn cynrychioli un o'r trawsnewidiadau mwyaf dwys wrth symud tuag at ddiwylliant o barch at hawliau plant, am eu hurddas a'u dinasyddiaeth, ac am eu galluoedd i gyfrannu'n sylweddol tuag at eu llesiant eu hunain. Yn wir, mae parch at hawliau cyfranogi mewn addysg yn hanfodol i wireddu'r hawl i addysg (Burnham and Baker, 2010, t89)</w:t>
      </w:r>
    </w:p>
    <w:p w14:paraId="500B1327" w14:textId="2B8CB61D" w:rsidR="00E51D05" w:rsidRPr="004E427B" w:rsidRDefault="00E51D05" w:rsidP="004E427B">
      <w:pPr>
        <w:spacing w:line="276" w:lineRule="auto"/>
        <w:rPr>
          <w:rFonts w:ascii="Arial" w:eastAsia="Times New Roman" w:hAnsi="Arial" w:cs="Arial"/>
          <w:color w:val="000000" w:themeColor="text1"/>
          <w:lang w:val="cy-GB"/>
        </w:rPr>
      </w:pPr>
      <w:r w:rsidRPr="00E51D05">
        <w:rPr>
          <w:rFonts w:ascii="Arial" w:eastAsia="Times New Roman" w:hAnsi="Arial" w:cs="Arial"/>
          <w:color w:val="000000" w:themeColor="text1"/>
          <w:lang w:val="cy-GB"/>
        </w:rPr>
        <w:t>Mae Erthygl 12 y Confensiwn yn nodi bod pob plentyn yn gallu ffurfio barn ac mae ganddo'r hawl i fynegi'r safbwyntiau hynny yn rhydd ym mhob mater sy'n effeithio arnynt, a bod yn rhaid rhoi sylw dyladwy i farn un yn unol â'u hoedran a'u haeddfedrwydd (Alderson, 2008). Mae'n ddarpariaeth unigryw mewn cyfraith hawliau dynol. Mae'n cydnabod, er i blant, yn wahanol i oedolion, nad oes rhagdybiaeth awtomatig o blaid ymreolaeth na gwneud penderfyniadau annibynnol; serch hynny, mae ganddynt hawl i barch fel bodau dynol, gyda hawliau i fod yn rhan o benderfyniadau sy'n effeithio arnynt (Alderson, 2008). Felly, mae'n darparu cydbwysedd rhwng, ar y naill law, ymgysylltiad plant fel asiantau gweithredol yn eu bywydau eu hunain, ac ar y llaw arall, eu hawl i amddiffyniad ychwanegol yn ystod y cyfnod plentyndod (Alderson, 2008)</w:t>
      </w:r>
      <w:r w:rsidRPr="004E427B">
        <w:rPr>
          <w:rFonts w:ascii="Arial" w:eastAsia="Times New Roman" w:hAnsi="Arial" w:cs="Arial"/>
          <w:color w:val="000000" w:themeColor="text1"/>
          <w:lang w:val="cy-GB"/>
        </w:rPr>
        <w:t>.</w:t>
      </w:r>
    </w:p>
    <w:p w14:paraId="503350D3" w14:textId="5BB083C5" w:rsidR="004E427B" w:rsidRPr="004E427B" w:rsidRDefault="004E427B" w:rsidP="004E427B">
      <w:pPr>
        <w:spacing w:line="276" w:lineRule="auto"/>
        <w:rPr>
          <w:rFonts w:ascii="Arial" w:eastAsia="Times New Roman" w:hAnsi="Arial" w:cs="Arial"/>
          <w:color w:val="000000" w:themeColor="text1"/>
          <w:lang w:val="cy-GB"/>
        </w:rPr>
      </w:pPr>
    </w:p>
    <w:p w14:paraId="6BA30CA7" w14:textId="62A887E2" w:rsidR="004E427B" w:rsidRPr="004E427B" w:rsidRDefault="004E427B" w:rsidP="004E427B">
      <w:pPr>
        <w:spacing w:line="276" w:lineRule="auto"/>
        <w:rPr>
          <w:rFonts w:ascii="Arial" w:eastAsia="Times New Roman" w:hAnsi="Arial" w:cs="Arial"/>
          <w:color w:val="000000" w:themeColor="text1"/>
        </w:rPr>
      </w:pPr>
      <w:r w:rsidRPr="004E427B">
        <w:rPr>
          <w:rFonts w:ascii="Arial" w:eastAsia="Times New Roman" w:hAnsi="Arial" w:cs="Arial"/>
          <w:color w:val="000000" w:themeColor="text1"/>
          <w:lang w:val="cy-GB"/>
        </w:rPr>
        <w:t xml:space="preserve">Mae’r tudalen cyntaf yn focwsi ar llais y plentyn. </w:t>
      </w:r>
      <w:r w:rsidRPr="004E427B">
        <w:rPr>
          <w:rFonts w:ascii="Arial" w:eastAsia="Times New Roman" w:hAnsi="Arial" w:cs="Arial"/>
          <w:color w:val="000000" w:themeColor="text1"/>
        </w:rPr>
        <w:t xml:space="preserve">Mae’n mor bwysig, pan fyddwn yn ystyried llais y plentyn, nad ydym yn gwrando’n unig. Yna dylid ystyried barn plant, yn unol â’u hoedran, eu haeddfedrwydd a’u dealltwriaeth o’r mater (Alderson, 2008, t 70). Dadleuodd pobl ifanc yng Nghanada mewn cynhadledd ar bŵer gwleidyddol, “The right to speak is the right to be listened to; in practice there is a gap between speaking and being listened to. ”(Reynaert, Bouverne-de-Bie a Vandevelde, 2009, t. 5). Rhaid rhoi sylw dyledus i farn plant, boed hynny mewn materion unigol neu fwy cyfunol. Felly, lle nad yw’n bosibl adlewyrchu’r safbwyntiau hynny mewn unrhyw </w:t>
      </w:r>
      <w:r w:rsidRPr="004E427B">
        <w:rPr>
          <w:rFonts w:ascii="Arial" w:eastAsia="Times New Roman" w:hAnsi="Arial" w:cs="Arial"/>
          <w:color w:val="000000" w:themeColor="text1"/>
        </w:rPr>
        <w:lastRenderedPageBreak/>
        <w:t>benderfyniad neu gamau dilynol, dylid ymdrechu i roi gwybod i’r plant y rhesymau pam y gwnaed y penderfyniad fel ag yr oedd a sut yr ystyriwyd eu barn.</w:t>
      </w:r>
      <w:r w:rsidRPr="004E427B">
        <w:rPr>
          <w:rFonts w:ascii="Arial" w:eastAsia="Times New Roman" w:hAnsi="Arial" w:cs="Arial"/>
          <w:color w:val="000000" w:themeColor="text1"/>
        </w:rPr>
        <w:t xml:space="preserve"> </w:t>
      </w:r>
      <w:r w:rsidRPr="004E427B">
        <w:rPr>
          <w:rFonts w:ascii="Arial" w:eastAsia="Times New Roman" w:hAnsi="Arial" w:cs="Arial"/>
          <w:color w:val="000000" w:themeColor="text1"/>
        </w:rPr>
        <w:t>Mae'n hanfodol bod pob ymarferydd yn ystyried ac yn gwrando ar lais y plentyn os ydyn nhw wir am wreiddio hawliau plant yn eu lleoliad. Fel y nodwyd yn flaenorol, nid yw'n ddigon da i ystyried llais y plentyn yn unig, mae'n bwysig ein bod ni fel ymarferwyr yn defnyddio'r wybodaeth gan y plentyn er mwyn gwneud y newidiadau y dymunant eu gweld.</w:t>
      </w:r>
    </w:p>
    <w:p w14:paraId="27DD8695" w14:textId="6076F38B" w:rsidR="00E51D05" w:rsidRPr="004E427B" w:rsidRDefault="004E427B" w:rsidP="004E427B">
      <w:pPr>
        <w:spacing w:before="100" w:beforeAutospacing="1" w:after="100" w:afterAutospacing="1" w:line="276" w:lineRule="auto"/>
        <w:rPr>
          <w:rFonts w:ascii="Arial" w:eastAsia="Times New Roman" w:hAnsi="Arial" w:cs="Arial"/>
        </w:rPr>
      </w:pPr>
      <w:r w:rsidRPr="004E427B">
        <w:rPr>
          <w:rFonts w:ascii="Arial" w:eastAsia="Times New Roman" w:hAnsi="Arial" w:cs="Arial"/>
        </w:rPr>
        <w:t>Mae'r ail dudalen yn cynnwys gwybodaeth am bolisïau a gwybodaeth am hawliau plant. Cred yr awdur ei bod yn bwysig cynnwys gwybodaeth am bolisïau er mwyn creu'r cydbwysedd perffaith o fewn ymarfer. Mae athrawon yn gyfarwydd â derbyn polisïau a deddfwriaeth ysgol gan y llywodraeth er mwyn eu gweithredu yn ymarferol. Felly, mae'r awdur wedi cynnwys tudalen yn benodol ar gyfer polisïau a gwybodaet</w:t>
      </w:r>
      <w:r w:rsidRPr="004E427B">
        <w:rPr>
          <w:rFonts w:ascii="Arial" w:eastAsia="Times New Roman" w:hAnsi="Arial" w:cs="Arial"/>
        </w:rPr>
        <w:t>h (Burnham and Baker, 2010).</w:t>
      </w:r>
    </w:p>
    <w:p w14:paraId="0A43E852" w14:textId="214C673D" w:rsidR="00E51D05" w:rsidRPr="004E427B" w:rsidRDefault="004E427B" w:rsidP="004E427B">
      <w:pPr>
        <w:spacing w:before="100" w:beforeAutospacing="1" w:after="100" w:afterAutospacing="1" w:line="276" w:lineRule="auto"/>
        <w:rPr>
          <w:rFonts w:ascii="Arial" w:eastAsia="Times New Roman" w:hAnsi="Arial" w:cs="Arial"/>
        </w:rPr>
      </w:pPr>
      <w:r w:rsidRPr="004E427B">
        <w:rPr>
          <w:rFonts w:ascii="Arial" w:eastAsia="Times New Roman" w:hAnsi="Arial" w:cs="Arial"/>
        </w:rPr>
        <w:t>Mae'r drydedd dudalen yn canolbwyntio ar gynnwys damcaniaethol. Unwaith eto, mae'n hanfodol er mwyn gwella arfer bod ymarferwyr yn ystyried ac yn deall cynnwys theoretig (Beith et al., 2010). Mae'r awdur wedi canolbwyntio'r dudalen hon ar ddau ddylanwadau damcaniaethol, Bronfrenbrenner a Maslow. Mae'r damcaniaethwyr hyn yn ymosodol iawn i hawliau plant a hefyd i athrawon ac addysg. Mae'n bwysig bod ymarferwyr yn deall y damcaniaethau hyn gan eu bod yn berthnasol i bob agwedd ar addysg, nid hawliau plant yn unig. Trwy ddeall y damcaniaethau hyn gallwn ddatblygu ein harfer a gallwn gefnogi pob myfyriwr unigol o fewn gofal yn well. Mae Bronfrenbrenner a Maslow yn canolbwyntio ar y plentyn fel unigolyn a'i anghenion unigol. Fodd bynnag, mae damcaniaeth Maslow yn canolbwyntio mwy ar anghenion unigolion lle mae damcaniaeth Bronfrenbrenners yn esbonio sut y gall rhai agweddau effeithio ar anghenion a datblygiad plentyn (Burnham and Baker, 2010).</w:t>
      </w:r>
    </w:p>
    <w:p w14:paraId="7C4109BC" w14:textId="77777777" w:rsidR="004E427B" w:rsidRDefault="004E427B" w:rsidP="004E427B">
      <w:pPr>
        <w:spacing w:before="100" w:beforeAutospacing="1" w:after="100" w:afterAutospacing="1" w:line="276" w:lineRule="auto"/>
        <w:rPr>
          <w:rFonts w:ascii="Arial" w:hAnsi="Arial" w:cs="Arial"/>
        </w:rPr>
      </w:pPr>
      <w:r w:rsidRPr="004E427B">
        <w:rPr>
          <w:rFonts w:ascii="Arial" w:hAnsi="Arial" w:cs="Arial"/>
        </w:rPr>
        <w:t>Mae'r dudalen nesaf yn canolbwyntio ar ymarfer, sut y gallwn ni fel ymarferwyr weithredu strategaethau yn ein harfer i annog ac ymgorffori hawliau plant yn ein lleoliadau. Mae'r awdur wedi canolbwyntio llai ar y cwricwlwm oherwydd nad yw'r awdur yn credu y dylai hawliau plant fod yn bwnc arall fel mathemateg, neu Saesneg. Fodd bynnag, gall hyn newid pan fydd y cwricwlwm newydd yn cael ei weithredu yn 2022. Bydd hawliau plant yn cael eu cynnwys yn y cwricwlwm yn dod yn 2022, fodd bynnag, fel y gwyddom, mae'r cwricwlwm cyfan yn newid o bynciau i feysydd dysgu a phrofiad, gan annog hawliau plant i fod yn wedi'i wreiddio ledled lleoliadau addysg, dysgu ac addysgol (Childcomwales.org.uk, 2019). Fodd bynnag, mae'r awdur wedi ystyried gweithgareddau fel plant amser cylch ac athroniaeth 4 er mwyn arddangos ymarfer er mwyn gweithredu ac ystyried hawliau plant.</w:t>
      </w:r>
    </w:p>
    <w:p w14:paraId="063BD859" w14:textId="661F5F24" w:rsidR="004E427B" w:rsidRPr="004E427B" w:rsidRDefault="004E427B" w:rsidP="004E427B">
      <w:pPr>
        <w:spacing w:before="100" w:beforeAutospacing="1" w:after="100" w:afterAutospacing="1" w:line="276" w:lineRule="auto"/>
        <w:rPr>
          <w:rFonts w:ascii="Arial" w:hAnsi="Arial" w:cs="Arial"/>
        </w:rPr>
      </w:pPr>
      <w:r w:rsidRPr="004E427B">
        <w:rPr>
          <w:rFonts w:ascii="Arial" w:hAnsi="Arial" w:cs="Arial"/>
        </w:rPr>
        <w:t xml:space="preserve">Mae'r dudalen nesaf yn canolbwyntio ar ymarfer, sut y gallwn ni fel ymarferwyr weithredu strategaethau yn ein harfer i annog ac ymgorffori hawliau plant yn ein lleoliadau. Mae'r awdur wedi canolbwyntio llai ar y cwricwlwm oherwydd nad yw'r </w:t>
      </w:r>
      <w:r w:rsidRPr="004E427B">
        <w:rPr>
          <w:rFonts w:ascii="Arial" w:hAnsi="Arial" w:cs="Arial"/>
        </w:rPr>
        <w:lastRenderedPageBreak/>
        <w:t>awdur yn credu y dylai hawliau plant fod yn bwnc arall fel mathemateg, neu Saesneg. Fodd bynnag, gall hyn newid pan fydd y cwricwlwm newydd yn cael ei weithredu yn 2022. Bydd hawliau plant yn cael eu cynnwys yn y cwricwlwm yn dod yn 2022, fodd bynnag, fel y gwyddom, mae'r cwricwlwm cyfan yn newid o bynciau i feysydd dysgu a phrofiad, gan annog hawliau plant i fod yn wedi'i wreiddio ledled lleoliadau addysg, dysgu ac addysgol (Childcomwales.org.uk, 2019). Fodd bynnag, mae'r awdur wedi ystyried gweithgareddau fel plant amser cylch ac athroniaeth 4 er mwyn arddangos ymarfer er mwyn gweithredu ac ystyried hawliau plant.</w:t>
      </w:r>
    </w:p>
    <w:p w14:paraId="2C188BEC" w14:textId="607292E7" w:rsidR="004E427B" w:rsidRPr="004E427B" w:rsidRDefault="004E427B" w:rsidP="004E427B">
      <w:pPr>
        <w:spacing w:before="100" w:beforeAutospacing="1" w:after="100" w:afterAutospacing="1" w:line="276" w:lineRule="auto"/>
        <w:rPr>
          <w:rFonts w:ascii="Arial" w:hAnsi="Arial" w:cs="Arial"/>
        </w:rPr>
      </w:pPr>
      <w:r w:rsidRPr="004E427B">
        <w:rPr>
          <w:rFonts w:ascii="Arial" w:hAnsi="Arial" w:cs="Arial"/>
        </w:rPr>
        <w:t>Mae'n hanfodol bod CCUHP yn rhan annatod o addysg yn hytrach na phrosiect ‘newydd’ neu ateb cyflym ar gyfer un neu ddau o faterion (Burnham and Baker, 2010). Rwyf wedi trafod cynghorau ysgol â chyfranogiad yn unig, mae nifer o rwystrau mewn addysg tra'n ystyried cyfranogiad fel tlodi, anghenion dysgu ychwanegol, felly os yw CCUHP wedi'i wreiddio yn yr ysgol, byddai hyn yn dyrchafu pob rhwystr arall o fewn addysg i hawliau nid yn unig ond pob un o'r 54 o hawliau ((Rights Respecting Schools Award, 2019)).</w:t>
      </w:r>
    </w:p>
    <w:p w14:paraId="44BCB7B3" w14:textId="77777777" w:rsidR="004E427B" w:rsidRPr="004E427B" w:rsidRDefault="004E427B" w:rsidP="004E427B">
      <w:pPr>
        <w:spacing w:before="100" w:beforeAutospacing="1" w:after="100" w:afterAutospacing="1" w:line="276" w:lineRule="auto"/>
        <w:rPr>
          <w:rFonts w:ascii="Arial" w:hAnsi="Arial" w:cs="Arial"/>
        </w:rPr>
      </w:pPr>
      <w:r w:rsidRPr="004E427B">
        <w:rPr>
          <w:rFonts w:ascii="Arial" w:hAnsi="Arial" w:cs="Arial"/>
        </w:rPr>
        <w:t>Mae parchu dymuniadau a theimlad plant yn anochel yn herio credoau ac arferion traddodiadol; mae'r argyhoeddiad bod oedolion yn gwybod orau yn dybiaeth ddiwylliannol bwerus ar draws cymdeithasau ledled y byd (Alderson, 2008). Serch hynny, mae'r corff cynyddol o dystiolaeth o'r canlyniadau cadarnhaol sy'n gysylltiedig â chyfranogiad yn rhoi grym i'r achos dros newid (Percy-smith a Thomas, 2010). Yn wir, mae manteision posibl newid o'r fath yn esbonyddol. Nid yn unig er lles y plant eu hunain y caiff eu hawl i gael eu clywed ei barchu, ond hefyd wrth arfer yr hawliau hyn mae hefyd yn cynnig cryfderau i'r gymdeithas ehangach (Alderson, 2008). Bydd datblygiad a hunan-barch gwell, mwy o amddiffyniad rhag trais a cham-drin, gwell canlyniadau, a dealltwriaeth gryfach o ddinasyddiaeth a gwneud penderfyniadau democrataidd oll yn deillio o gynnwys plant mewn materion sy'n effeithio arnynt. Mae angen i ysgolion fod wrth wraidd y broses o wneud i hyn ddigwydd.</w:t>
      </w:r>
    </w:p>
    <w:p w14:paraId="2BB9969C" w14:textId="77777777" w:rsidR="004E427B" w:rsidRDefault="004E427B" w:rsidP="004E427B">
      <w:pPr>
        <w:pStyle w:val="NormalWeb"/>
        <w:spacing w:before="0" w:beforeAutospacing="0" w:after="0" w:afterAutospacing="0"/>
        <w:textAlignment w:val="baseline"/>
        <w:rPr>
          <w:rFonts w:ascii="Arial" w:hAnsi="Arial" w:cs="Arial"/>
          <w:color w:val="000000"/>
        </w:rPr>
      </w:pPr>
    </w:p>
    <w:p w14:paraId="1566A44C" w14:textId="77777777" w:rsidR="004E427B" w:rsidRDefault="004E427B" w:rsidP="004E427B">
      <w:pPr>
        <w:pStyle w:val="NormalWeb"/>
        <w:spacing w:before="0" w:beforeAutospacing="0" w:after="0" w:afterAutospacing="0"/>
        <w:textAlignment w:val="baseline"/>
        <w:rPr>
          <w:rFonts w:ascii="Arial" w:hAnsi="Arial" w:cs="Arial"/>
          <w:color w:val="000000"/>
        </w:rPr>
      </w:pPr>
    </w:p>
    <w:p w14:paraId="78F904BC" w14:textId="77777777" w:rsidR="004E427B" w:rsidRDefault="004E427B" w:rsidP="004E427B">
      <w:pPr>
        <w:pStyle w:val="NormalWeb"/>
        <w:spacing w:before="0" w:beforeAutospacing="0" w:after="0" w:afterAutospacing="0"/>
        <w:textAlignment w:val="baseline"/>
        <w:rPr>
          <w:rFonts w:ascii="Arial" w:hAnsi="Arial" w:cs="Arial"/>
          <w:color w:val="000000"/>
        </w:rPr>
      </w:pPr>
    </w:p>
    <w:p w14:paraId="65BEB8B1" w14:textId="77777777" w:rsidR="004E427B" w:rsidRDefault="004E427B" w:rsidP="004E427B">
      <w:pPr>
        <w:pStyle w:val="NormalWeb"/>
        <w:spacing w:before="0" w:beforeAutospacing="0" w:after="0" w:afterAutospacing="0"/>
        <w:textAlignment w:val="baseline"/>
        <w:rPr>
          <w:rFonts w:ascii="Arial" w:hAnsi="Arial" w:cs="Arial"/>
          <w:color w:val="000000"/>
        </w:rPr>
      </w:pPr>
    </w:p>
    <w:p w14:paraId="494AADD8" w14:textId="77777777" w:rsidR="004E427B" w:rsidRDefault="004E427B" w:rsidP="004E427B">
      <w:pPr>
        <w:pStyle w:val="NormalWeb"/>
        <w:spacing w:before="0" w:beforeAutospacing="0" w:after="0" w:afterAutospacing="0"/>
        <w:textAlignment w:val="baseline"/>
        <w:rPr>
          <w:rFonts w:ascii="Arial" w:hAnsi="Arial" w:cs="Arial"/>
          <w:color w:val="000000"/>
        </w:rPr>
      </w:pPr>
    </w:p>
    <w:p w14:paraId="728CA5B8" w14:textId="77777777" w:rsidR="004E427B" w:rsidRDefault="004E427B" w:rsidP="004E427B">
      <w:pPr>
        <w:pStyle w:val="NormalWeb"/>
        <w:spacing w:before="0" w:beforeAutospacing="0" w:after="0" w:afterAutospacing="0"/>
        <w:textAlignment w:val="baseline"/>
        <w:rPr>
          <w:rFonts w:ascii="Arial" w:hAnsi="Arial" w:cs="Arial"/>
          <w:color w:val="000000"/>
        </w:rPr>
      </w:pPr>
    </w:p>
    <w:p w14:paraId="5FCE32D3" w14:textId="77777777" w:rsidR="004E427B" w:rsidRDefault="004E427B" w:rsidP="004E427B">
      <w:pPr>
        <w:pStyle w:val="NormalWeb"/>
        <w:spacing w:before="0" w:beforeAutospacing="0" w:after="0" w:afterAutospacing="0"/>
        <w:textAlignment w:val="baseline"/>
        <w:rPr>
          <w:rFonts w:ascii="Arial" w:hAnsi="Arial" w:cs="Arial"/>
          <w:color w:val="000000"/>
        </w:rPr>
      </w:pPr>
    </w:p>
    <w:p w14:paraId="5B02729A" w14:textId="77777777" w:rsidR="004E427B" w:rsidRDefault="004E427B" w:rsidP="004E427B">
      <w:pPr>
        <w:pStyle w:val="NormalWeb"/>
        <w:spacing w:before="0" w:beforeAutospacing="0" w:after="0" w:afterAutospacing="0"/>
        <w:textAlignment w:val="baseline"/>
        <w:rPr>
          <w:rFonts w:ascii="Arial" w:hAnsi="Arial" w:cs="Arial"/>
          <w:color w:val="000000"/>
        </w:rPr>
      </w:pPr>
    </w:p>
    <w:p w14:paraId="1E1F6452" w14:textId="77777777" w:rsidR="004E427B" w:rsidRDefault="004E427B" w:rsidP="004E427B">
      <w:pPr>
        <w:pStyle w:val="NormalWeb"/>
        <w:spacing w:before="0" w:beforeAutospacing="0" w:after="0" w:afterAutospacing="0"/>
        <w:textAlignment w:val="baseline"/>
        <w:rPr>
          <w:rFonts w:ascii="Arial" w:hAnsi="Arial" w:cs="Arial"/>
          <w:color w:val="000000"/>
        </w:rPr>
      </w:pPr>
    </w:p>
    <w:p w14:paraId="1D2BD616" w14:textId="77777777" w:rsidR="004E427B" w:rsidRDefault="004E427B" w:rsidP="004E427B">
      <w:pPr>
        <w:pStyle w:val="NormalWeb"/>
        <w:spacing w:before="0" w:beforeAutospacing="0" w:after="0" w:afterAutospacing="0"/>
        <w:textAlignment w:val="baseline"/>
        <w:rPr>
          <w:rFonts w:ascii="Arial" w:hAnsi="Arial" w:cs="Arial"/>
          <w:color w:val="000000"/>
        </w:rPr>
      </w:pPr>
    </w:p>
    <w:p w14:paraId="407EBBC1" w14:textId="77777777" w:rsidR="004E427B" w:rsidRDefault="004E427B" w:rsidP="004E427B">
      <w:pPr>
        <w:pStyle w:val="NormalWeb"/>
        <w:spacing w:before="0" w:beforeAutospacing="0" w:after="0" w:afterAutospacing="0"/>
        <w:textAlignment w:val="baseline"/>
        <w:rPr>
          <w:rFonts w:ascii="Arial" w:hAnsi="Arial" w:cs="Arial"/>
          <w:color w:val="000000"/>
        </w:rPr>
      </w:pPr>
    </w:p>
    <w:p w14:paraId="64FAE882" w14:textId="77777777" w:rsidR="004E427B" w:rsidRDefault="004E427B" w:rsidP="004E427B">
      <w:pPr>
        <w:pStyle w:val="NormalWeb"/>
        <w:spacing w:before="0" w:beforeAutospacing="0" w:after="0" w:afterAutospacing="0"/>
        <w:textAlignment w:val="baseline"/>
        <w:rPr>
          <w:rFonts w:ascii="Arial" w:hAnsi="Arial" w:cs="Arial"/>
          <w:color w:val="000000"/>
        </w:rPr>
      </w:pPr>
    </w:p>
    <w:p w14:paraId="656310EB" w14:textId="77777777" w:rsidR="004E427B" w:rsidRDefault="004E427B" w:rsidP="004E427B">
      <w:pPr>
        <w:pStyle w:val="NormalWeb"/>
        <w:spacing w:before="0" w:beforeAutospacing="0" w:after="0" w:afterAutospacing="0"/>
        <w:textAlignment w:val="baseline"/>
        <w:rPr>
          <w:rFonts w:ascii="Arial" w:hAnsi="Arial" w:cs="Arial"/>
          <w:color w:val="000000"/>
        </w:rPr>
      </w:pPr>
    </w:p>
    <w:p w14:paraId="4CC5397C" w14:textId="77777777" w:rsidR="004E427B" w:rsidRDefault="004E427B" w:rsidP="004E427B">
      <w:pPr>
        <w:pStyle w:val="NormalWeb"/>
        <w:spacing w:before="0" w:beforeAutospacing="0" w:after="0" w:afterAutospacing="0"/>
        <w:textAlignment w:val="baseline"/>
        <w:rPr>
          <w:rFonts w:ascii="Arial" w:hAnsi="Arial" w:cs="Arial"/>
          <w:color w:val="000000"/>
        </w:rPr>
      </w:pPr>
    </w:p>
    <w:p w14:paraId="0AE4D5BB" w14:textId="77777777" w:rsidR="004E427B" w:rsidRDefault="004E427B" w:rsidP="004E427B">
      <w:pPr>
        <w:pStyle w:val="NormalWeb"/>
        <w:spacing w:before="0" w:beforeAutospacing="0" w:after="0" w:afterAutospacing="0"/>
        <w:textAlignment w:val="baseline"/>
        <w:rPr>
          <w:rFonts w:ascii="Arial" w:hAnsi="Arial" w:cs="Arial"/>
          <w:color w:val="000000"/>
        </w:rPr>
      </w:pPr>
    </w:p>
    <w:p w14:paraId="1A69EE63" w14:textId="77777777" w:rsidR="004E427B" w:rsidRPr="004E427B" w:rsidRDefault="004E427B" w:rsidP="004E427B">
      <w:pPr>
        <w:shd w:val="clear" w:color="auto" w:fill="FFFFFF"/>
        <w:spacing w:after="100" w:afterAutospacing="1"/>
        <w:outlineLvl w:val="1"/>
        <w:rPr>
          <w:rFonts w:ascii="Times New Roman" w:eastAsia="Times New Roman" w:hAnsi="Times New Roman" w:cs="Times New Roman"/>
          <w:color w:val="000000"/>
          <w:sz w:val="36"/>
          <w:szCs w:val="36"/>
        </w:rPr>
      </w:pPr>
      <w:r w:rsidRPr="004E427B">
        <w:rPr>
          <w:rFonts w:ascii="Times New Roman" w:eastAsia="Times New Roman" w:hAnsi="Times New Roman" w:cs="Times New Roman"/>
          <w:color w:val="000000"/>
          <w:sz w:val="36"/>
          <w:szCs w:val="36"/>
        </w:rPr>
        <w:lastRenderedPageBreak/>
        <w:t>References</w:t>
      </w:r>
    </w:p>
    <w:p w14:paraId="03A72E73" w14:textId="77777777" w:rsidR="004E427B" w:rsidRPr="004E427B" w:rsidRDefault="004E427B" w:rsidP="004E427B">
      <w:pPr>
        <w:shd w:val="clear" w:color="auto" w:fill="FFFFFF"/>
        <w:spacing w:after="180"/>
        <w:ind w:left="450" w:hanging="450"/>
        <w:rPr>
          <w:rFonts w:ascii="Times New Roman" w:eastAsia="Times New Roman" w:hAnsi="Times New Roman" w:cs="Times New Roman"/>
          <w:color w:val="000000"/>
        </w:rPr>
      </w:pPr>
      <w:r w:rsidRPr="004E427B">
        <w:rPr>
          <w:rFonts w:ascii="Times New Roman" w:eastAsia="Times New Roman" w:hAnsi="Times New Roman" w:cs="Times New Roman"/>
          <w:color w:val="000000"/>
        </w:rPr>
        <w:t>Additional learning needs (ALN) transformation programme. (2018). [ebook] Welsh Government. Available at: https://gov.wales/sites/default/files/publications/2018-09/additional-learning-needs-aln-transformation-programme-v2.pdf [Accessed 29 Jan. 2019].</w:t>
      </w:r>
    </w:p>
    <w:p w14:paraId="3FADB24A" w14:textId="77777777" w:rsidR="004E427B" w:rsidRPr="004E427B" w:rsidRDefault="004E427B" w:rsidP="004E427B">
      <w:pPr>
        <w:spacing w:before="100" w:beforeAutospacing="1" w:after="100" w:afterAutospacing="1" w:line="276" w:lineRule="auto"/>
        <w:ind w:left="360"/>
        <w:rPr>
          <w:rFonts w:ascii="Arial" w:hAnsi="Arial" w:cs="Arial"/>
        </w:rPr>
      </w:pPr>
      <w:r w:rsidRPr="004E427B">
        <w:rPr>
          <w:rFonts w:ascii="Arial" w:hAnsi="Arial" w:cs="Arial"/>
        </w:rPr>
        <w:t>Alderson, P. (2008). </w:t>
      </w:r>
      <w:r w:rsidRPr="004E427B">
        <w:rPr>
          <w:rFonts w:ascii="Arial" w:hAnsi="Arial" w:cs="Arial"/>
          <w:i/>
          <w:iCs/>
        </w:rPr>
        <w:t>Young children's rights</w:t>
      </w:r>
      <w:r w:rsidRPr="004E427B">
        <w:rPr>
          <w:rFonts w:ascii="Arial" w:hAnsi="Arial" w:cs="Arial"/>
        </w:rPr>
        <w:t xml:space="preserve">. London: </w:t>
      </w:r>
      <w:bookmarkStart w:id="0" w:name="_GoBack"/>
      <w:bookmarkEnd w:id="0"/>
      <w:r w:rsidRPr="004E427B">
        <w:rPr>
          <w:rFonts w:ascii="Arial" w:hAnsi="Arial" w:cs="Arial"/>
        </w:rPr>
        <w:t>Jessica Kingsley Publishers.</w:t>
      </w:r>
    </w:p>
    <w:p w14:paraId="059DA9C9" w14:textId="77777777" w:rsidR="004E427B" w:rsidRPr="004E427B" w:rsidRDefault="004E427B" w:rsidP="004E427B">
      <w:pPr>
        <w:spacing w:before="100" w:beforeAutospacing="1" w:after="100" w:afterAutospacing="1" w:line="276" w:lineRule="auto"/>
        <w:ind w:left="360"/>
        <w:rPr>
          <w:rFonts w:ascii="Arial" w:hAnsi="Arial" w:cs="Arial"/>
        </w:rPr>
      </w:pPr>
      <w:r w:rsidRPr="004E427B">
        <w:rPr>
          <w:rFonts w:ascii="Arial" w:hAnsi="Arial" w:cs="Arial"/>
        </w:rPr>
        <w:t>BURNHAM, L. and BAKER, B. (2010). </w:t>
      </w:r>
      <w:r w:rsidRPr="004E427B">
        <w:rPr>
          <w:rFonts w:ascii="Arial" w:hAnsi="Arial" w:cs="Arial"/>
          <w:i/>
          <w:iCs/>
        </w:rPr>
        <w:t>Supporting teaching &amp; learning in schools (primary)</w:t>
      </w:r>
      <w:r w:rsidRPr="004E427B">
        <w:rPr>
          <w:rFonts w:ascii="Arial" w:hAnsi="Arial" w:cs="Arial"/>
        </w:rPr>
        <w:t>. Heinemann.</w:t>
      </w:r>
    </w:p>
    <w:p w14:paraId="0C8742E3" w14:textId="77777777" w:rsidR="004E427B" w:rsidRPr="004E427B" w:rsidRDefault="004E427B" w:rsidP="004E427B">
      <w:pPr>
        <w:spacing w:before="100" w:beforeAutospacing="1" w:after="100" w:afterAutospacing="1" w:line="276" w:lineRule="auto"/>
        <w:ind w:left="360"/>
        <w:rPr>
          <w:rFonts w:ascii="Arial" w:hAnsi="Arial" w:cs="Arial"/>
        </w:rPr>
      </w:pPr>
      <w:r w:rsidRPr="004E427B">
        <w:rPr>
          <w:rFonts w:ascii="Arial" w:hAnsi="Arial" w:cs="Arial"/>
        </w:rPr>
        <w:t>Childcomwales.org.uk (2019) [image c] Available at: https://www.childcomwales.org.uk [Accessed 7 Mar. 2019].</w:t>
      </w:r>
    </w:p>
    <w:p w14:paraId="3C1DC127" w14:textId="77777777" w:rsidR="004E427B" w:rsidRPr="004E427B" w:rsidRDefault="004E427B" w:rsidP="004E427B">
      <w:pPr>
        <w:spacing w:before="100" w:beforeAutospacing="1" w:after="100" w:afterAutospacing="1" w:line="276" w:lineRule="auto"/>
        <w:ind w:left="360"/>
        <w:rPr>
          <w:rFonts w:ascii="Arial" w:hAnsi="Arial" w:cs="Arial"/>
        </w:rPr>
      </w:pPr>
      <w:r w:rsidRPr="004E427B">
        <w:rPr>
          <w:rFonts w:ascii="Arial" w:hAnsi="Arial" w:cs="Arial"/>
        </w:rPr>
        <w:t>Childcomwales.org.uk (2019) [image d] Available at: https://www.childcomwales.org.uk [Accessed 7 Mar. 2019].</w:t>
      </w:r>
    </w:p>
    <w:p w14:paraId="5C87C1F8" w14:textId="77777777" w:rsidR="004E427B" w:rsidRPr="004E427B" w:rsidRDefault="004E427B" w:rsidP="004E427B">
      <w:pPr>
        <w:spacing w:before="100" w:beforeAutospacing="1" w:after="100" w:afterAutospacing="1" w:line="276" w:lineRule="auto"/>
        <w:ind w:left="360"/>
        <w:rPr>
          <w:rFonts w:ascii="Arial" w:hAnsi="Arial" w:cs="Arial"/>
        </w:rPr>
      </w:pPr>
      <w:r w:rsidRPr="004E427B">
        <w:rPr>
          <w:rFonts w:ascii="Arial" w:hAnsi="Arial" w:cs="Arial"/>
        </w:rPr>
        <w:t>Childcomwales.org.uk (2019) [image e] Available at: https://www.childcomwales.org.uk [Accessed 7 Mar. 2019].</w:t>
      </w:r>
    </w:p>
    <w:p w14:paraId="5F2927E6" w14:textId="77777777" w:rsidR="004E427B" w:rsidRPr="004E427B" w:rsidRDefault="004E427B" w:rsidP="004E427B">
      <w:pPr>
        <w:spacing w:before="100" w:beforeAutospacing="1" w:after="100" w:afterAutospacing="1" w:line="276" w:lineRule="auto"/>
        <w:ind w:left="360"/>
        <w:rPr>
          <w:rFonts w:ascii="Arial" w:hAnsi="Arial" w:cs="Arial"/>
        </w:rPr>
      </w:pPr>
      <w:r w:rsidRPr="004E427B">
        <w:rPr>
          <w:rFonts w:ascii="Arial" w:hAnsi="Arial" w:cs="Arial"/>
        </w:rPr>
        <w:t>Childcomwales.org.uk. (2019 a). </w:t>
      </w:r>
      <w:r w:rsidRPr="004E427B">
        <w:rPr>
          <w:rFonts w:ascii="Arial" w:hAnsi="Arial" w:cs="Arial"/>
          <w:i/>
          <w:iCs/>
        </w:rPr>
        <w:t>The Right Way</w:t>
      </w:r>
      <w:r w:rsidRPr="004E427B">
        <w:rPr>
          <w:rFonts w:ascii="Arial" w:hAnsi="Arial" w:cs="Arial"/>
        </w:rPr>
        <w:t>. [online] Available at: https://www.childcomwales.org.uk/wp-content/uploads/2017/04/The-Right-Way.pdf [Accessed 2 Apr. 2019].</w:t>
      </w:r>
    </w:p>
    <w:p w14:paraId="48EC9678" w14:textId="77777777" w:rsidR="004E427B" w:rsidRPr="004E427B" w:rsidRDefault="004E427B" w:rsidP="004E427B">
      <w:pPr>
        <w:spacing w:before="100" w:beforeAutospacing="1" w:after="100" w:afterAutospacing="1" w:line="276" w:lineRule="auto"/>
        <w:ind w:left="360"/>
        <w:rPr>
          <w:rFonts w:ascii="Arial" w:hAnsi="Arial" w:cs="Arial"/>
        </w:rPr>
      </w:pPr>
      <w:r w:rsidRPr="004E427B">
        <w:rPr>
          <w:rFonts w:ascii="Arial" w:hAnsi="Arial" w:cs="Arial"/>
        </w:rPr>
        <w:t>Children’s Commissioner for Wales. (2019 b). </w:t>
      </w:r>
      <w:r w:rsidRPr="004E427B">
        <w:rPr>
          <w:rFonts w:ascii="Arial" w:hAnsi="Arial" w:cs="Arial"/>
          <w:i/>
          <w:iCs/>
        </w:rPr>
        <w:t>Home - Children’s Commissioner for Wales</w:t>
      </w:r>
      <w:r w:rsidRPr="004E427B">
        <w:rPr>
          <w:rFonts w:ascii="Arial" w:hAnsi="Arial" w:cs="Arial"/>
        </w:rPr>
        <w:t>. [online] Available at: https://www.childcomwales.org.uk [Accessed 7 Mar. 2019].</w:t>
      </w:r>
    </w:p>
    <w:p w14:paraId="3755535C" w14:textId="77777777" w:rsidR="004E427B" w:rsidRPr="004E427B" w:rsidRDefault="004E427B" w:rsidP="004E427B">
      <w:pPr>
        <w:shd w:val="clear" w:color="auto" w:fill="FFFFFF"/>
        <w:spacing w:after="180"/>
        <w:ind w:left="450" w:hanging="450"/>
        <w:rPr>
          <w:rFonts w:ascii="Times New Roman" w:eastAsia="Times New Roman" w:hAnsi="Times New Roman" w:cs="Times New Roman"/>
          <w:color w:val="000000"/>
        </w:rPr>
      </w:pPr>
      <w:r w:rsidRPr="004E427B">
        <w:rPr>
          <w:rFonts w:ascii="Times New Roman" w:eastAsia="Times New Roman" w:hAnsi="Times New Roman" w:cs="Times New Roman"/>
          <w:color w:val="000000"/>
        </w:rPr>
        <w:t>Children’s Rights in Wales. (2018). [ebook] Available at: https://www.childcomwales.org.uk/wp-content/uploads/2018/10/ExecutiveSummary_ENG.pdf [Accessed 29 Feb. 2019].</w:t>
      </w:r>
    </w:p>
    <w:p w14:paraId="5F6BBB20" w14:textId="77777777" w:rsidR="004E427B" w:rsidRPr="004E427B" w:rsidRDefault="004E427B" w:rsidP="004E427B">
      <w:pPr>
        <w:shd w:val="clear" w:color="auto" w:fill="FFFFFF"/>
        <w:spacing w:after="180"/>
        <w:ind w:left="450" w:hanging="450"/>
        <w:rPr>
          <w:rFonts w:ascii="Times New Roman" w:eastAsia="Times New Roman" w:hAnsi="Times New Roman" w:cs="Times New Roman"/>
          <w:color w:val="000000"/>
        </w:rPr>
      </w:pPr>
      <w:r w:rsidRPr="004E427B">
        <w:rPr>
          <w:rFonts w:ascii="Times New Roman" w:eastAsia="Times New Roman" w:hAnsi="Times New Roman" w:cs="Times New Roman"/>
          <w:color w:val="000000"/>
        </w:rPr>
        <w:t>Foundation Phase Framework. (2015). [ebook] Available at: https://learning.gov.wales/docs/learningwales/publications/150803-fp-framework-en.pdf [Accessed 29 Feb. 2019].</w:t>
      </w:r>
    </w:p>
    <w:p w14:paraId="42F69823" w14:textId="77777777" w:rsidR="004E427B" w:rsidRPr="004E427B" w:rsidRDefault="004E427B" w:rsidP="004E427B">
      <w:pPr>
        <w:spacing w:before="100" w:beforeAutospacing="1" w:after="100" w:afterAutospacing="1" w:line="276" w:lineRule="auto"/>
        <w:ind w:left="360"/>
        <w:rPr>
          <w:rFonts w:ascii="Arial" w:hAnsi="Arial" w:cs="Arial"/>
        </w:rPr>
      </w:pPr>
      <w:r w:rsidRPr="004E427B">
        <w:rPr>
          <w:rFonts w:ascii="Arial" w:hAnsi="Arial" w:cs="Arial"/>
        </w:rPr>
        <w:t>Glazzard, J., Stokoe, J., Hughes, A., Netherwood, A. and Neve, L. (2015). </w:t>
      </w:r>
      <w:r w:rsidRPr="004E427B">
        <w:rPr>
          <w:rFonts w:ascii="Arial" w:hAnsi="Arial" w:cs="Arial"/>
          <w:i/>
          <w:iCs/>
        </w:rPr>
        <w:t>Teaching and supporting children with special educational needs and disabilities in primary schools</w:t>
      </w:r>
      <w:r w:rsidRPr="004E427B">
        <w:rPr>
          <w:rFonts w:ascii="Arial" w:hAnsi="Arial" w:cs="Arial"/>
        </w:rPr>
        <w:t>.</w:t>
      </w:r>
    </w:p>
    <w:p w14:paraId="09374492" w14:textId="77777777" w:rsidR="004E427B" w:rsidRPr="004E427B" w:rsidRDefault="004E427B" w:rsidP="004E427B">
      <w:pPr>
        <w:shd w:val="clear" w:color="auto" w:fill="FFFFFF"/>
        <w:spacing w:after="180"/>
        <w:ind w:left="450" w:hanging="450"/>
        <w:rPr>
          <w:rFonts w:ascii="Times New Roman" w:eastAsia="Times New Roman" w:hAnsi="Times New Roman" w:cs="Times New Roman"/>
          <w:color w:val="000000"/>
        </w:rPr>
      </w:pPr>
      <w:r w:rsidRPr="004E427B">
        <w:rPr>
          <w:rFonts w:ascii="Times New Roman" w:eastAsia="Times New Roman" w:hAnsi="Times New Roman" w:cs="Times New Roman"/>
          <w:color w:val="000000"/>
        </w:rPr>
        <w:t>HQ, P. (2013). </w:t>
      </w:r>
      <w:r w:rsidRPr="004E427B">
        <w:rPr>
          <w:rFonts w:ascii="Times New Roman" w:eastAsia="Times New Roman" w:hAnsi="Times New Roman" w:cs="Times New Roman"/>
          <w:i/>
          <w:iCs/>
          <w:color w:val="000000"/>
        </w:rPr>
        <w:t>What is Bronfenbrenner's Ecological Systems Theory?</w:t>
      </w:r>
      <w:r w:rsidRPr="004E427B">
        <w:rPr>
          <w:rFonts w:ascii="Times New Roman" w:eastAsia="Times New Roman" w:hAnsi="Times New Roman" w:cs="Times New Roman"/>
          <w:color w:val="000000"/>
        </w:rPr>
        <w:t>. [online] Psychologynoteshq.com. Available at: https://www.psychologynoteshq.com/bronfenbrenner-ecological-theory/ [Accessed 29 Feb. 2019].</w:t>
      </w:r>
    </w:p>
    <w:p w14:paraId="284E3DF4" w14:textId="77777777" w:rsidR="004E427B" w:rsidRPr="004E427B" w:rsidRDefault="004E427B" w:rsidP="004E427B">
      <w:pPr>
        <w:shd w:val="clear" w:color="auto" w:fill="FFFFFF"/>
        <w:spacing w:after="180"/>
        <w:ind w:left="450" w:hanging="450"/>
        <w:rPr>
          <w:rFonts w:ascii="Times New Roman" w:eastAsia="Times New Roman" w:hAnsi="Times New Roman" w:cs="Times New Roman"/>
          <w:color w:val="000000"/>
        </w:rPr>
      </w:pPr>
      <w:r w:rsidRPr="004E427B">
        <w:rPr>
          <w:rFonts w:ascii="Times New Roman" w:eastAsia="Times New Roman" w:hAnsi="Times New Roman" w:cs="Times New Roman"/>
          <w:color w:val="000000"/>
        </w:rPr>
        <w:lastRenderedPageBreak/>
        <w:t>HUMAN RIGHTS EDUCATION IN THE NEW CURRICULUM: POSITION PAPER OF THE CHILDREN’S COMMISSIONER FOR WALES. (2018). [ebook] Available at: https://www.childcomwales.org.uk/wp-content/uploads/2018/11/CCFW-Children-Rights-and-Curriculum-Reform-Position-Paper-2018.pdf [Accessed 29 Feb. 2019].</w:t>
      </w:r>
    </w:p>
    <w:p w14:paraId="5CAB73DC" w14:textId="77777777" w:rsidR="004E427B" w:rsidRPr="004E427B" w:rsidRDefault="004E427B" w:rsidP="004E427B">
      <w:pPr>
        <w:shd w:val="clear" w:color="auto" w:fill="FFFFFF"/>
        <w:spacing w:after="180"/>
        <w:ind w:left="450" w:hanging="450"/>
        <w:rPr>
          <w:rFonts w:ascii="Times New Roman" w:eastAsia="Times New Roman" w:hAnsi="Times New Roman" w:cs="Times New Roman"/>
          <w:color w:val="000000"/>
        </w:rPr>
      </w:pPr>
      <w:r w:rsidRPr="004E427B">
        <w:rPr>
          <w:rFonts w:ascii="Times New Roman" w:eastAsia="Times New Roman" w:hAnsi="Times New Roman" w:cs="Times New Roman"/>
          <w:color w:val="000000"/>
        </w:rPr>
        <w:t>Mcleod, S. (2018). </w:t>
      </w:r>
      <w:r w:rsidRPr="004E427B">
        <w:rPr>
          <w:rFonts w:ascii="Times New Roman" w:eastAsia="Times New Roman" w:hAnsi="Times New Roman" w:cs="Times New Roman"/>
          <w:i/>
          <w:iCs/>
          <w:color w:val="000000"/>
        </w:rPr>
        <w:t>Maslow's Hierarchy of Needs</w:t>
      </w:r>
      <w:r w:rsidRPr="004E427B">
        <w:rPr>
          <w:rFonts w:ascii="Times New Roman" w:eastAsia="Times New Roman" w:hAnsi="Times New Roman" w:cs="Times New Roman"/>
          <w:color w:val="000000"/>
        </w:rPr>
        <w:t>. [online] Simply Psychology. Available at: https://www.simplypsychology.org/maslow.html [Accessed 29 Feb. 2019].</w:t>
      </w:r>
    </w:p>
    <w:p w14:paraId="38889DEF" w14:textId="77777777" w:rsidR="004E427B" w:rsidRPr="004E427B" w:rsidRDefault="004E427B" w:rsidP="004E427B">
      <w:pPr>
        <w:spacing w:before="100" w:beforeAutospacing="1" w:after="100" w:afterAutospacing="1" w:line="276" w:lineRule="auto"/>
        <w:ind w:left="360"/>
        <w:rPr>
          <w:rFonts w:ascii="Arial" w:hAnsi="Arial" w:cs="Arial"/>
        </w:rPr>
      </w:pPr>
      <w:r w:rsidRPr="004E427B">
        <w:rPr>
          <w:rFonts w:ascii="Arial" w:hAnsi="Arial" w:cs="Arial"/>
        </w:rPr>
        <w:t>Mspguide.org. (2019). </w:t>
      </w:r>
      <w:r w:rsidRPr="004E427B">
        <w:rPr>
          <w:rFonts w:ascii="Arial" w:hAnsi="Arial" w:cs="Arial"/>
          <w:i/>
          <w:iCs/>
        </w:rPr>
        <w:t>Force Field Analysis | Multi-Stakeholder Partnerships</w:t>
      </w:r>
      <w:r w:rsidRPr="004E427B">
        <w:rPr>
          <w:rFonts w:ascii="Arial" w:hAnsi="Arial" w:cs="Arial"/>
        </w:rPr>
        <w:t>. [online] Available at: http://www.mspguide.org/tool/force-field-analysis [Accessed 3 Apr. 2019].</w:t>
      </w:r>
    </w:p>
    <w:p w14:paraId="6C1F9996" w14:textId="77777777" w:rsidR="004E427B" w:rsidRPr="004E427B" w:rsidRDefault="004E427B" w:rsidP="004E427B">
      <w:pPr>
        <w:spacing w:before="100" w:beforeAutospacing="1" w:after="100" w:afterAutospacing="1" w:line="276" w:lineRule="auto"/>
        <w:ind w:left="360"/>
        <w:rPr>
          <w:rFonts w:ascii="Arial" w:hAnsi="Arial" w:cs="Arial"/>
        </w:rPr>
      </w:pPr>
      <w:r w:rsidRPr="004E427B">
        <w:rPr>
          <w:rFonts w:ascii="Arial" w:hAnsi="Arial" w:cs="Arial"/>
        </w:rPr>
        <w:t>Peer, L. and Reid, G. (2016). </w:t>
      </w:r>
      <w:r w:rsidRPr="004E427B">
        <w:rPr>
          <w:rFonts w:ascii="Arial" w:hAnsi="Arial" w:cs="Arial"/>
          <w:i/>
          <w:iCs/>
        </w:rPr>
        <w:t>Special educational needs</w:t>
      </w:r>
      <w:r w:rsidRPr="004E427B">
        <w:rPr>
          <w:rFonts w:ascii="Arial" w:hAnsi="Arial" w:cs="Arial"/>
        </w:rPr>
        <w:t>.</w:t>
      </w:r>
    </w:p>
    <w:p w14:paraId="1353FF70" w14:textId="77777777" w:rsidR="004E427B" w:rsidRPr="004E427B" w:rsidRDefault="004E427B" w:rsidP="004E427B">
      <w:pPr>
        <w:shd w:val="clear" w:color="auto" w:fill="FFFFFF"/>
        <w:spacing w:after="180"/>
        <w:ind w:left="450" w:hanging="450"/>
        <w:rPr>
          <w:rFonts w:ascii="Times New Roman" w:eastAsia="Times New Roman" w:hAnsi="Times New Roman" w:cs="Times New Roman"/>
          <w:color w:val="000000"/>
        </w:rPr>
      </w:pPr>
      <w:r w:rsidRPr="004E427B">
        <w:rPr>
          <w:rFonts w:ascii="Times New Roman" w:eastAsia="Times New Roman" w:hAnsi="Times New Roman" w:cs="Times New Roman"/>
          <w:color w:val="000000"/>
        </w:rPr>
        <w:t>The Right Way. (2017). [ebook] Available at: https://www.childcomwales.org.uk/wp-content/uploads/2017/05/The-Right-Way-Education.pdf [Accessed 29 Feb. 2019].</w:t>
      </w:r>
    </w:p>
    <w:p w14:paraId="187B2D8D" w14:textId="77777777" w:rsidR="004E427B" w:rsidRPr="004E427B" w:rsidRDefault="004E427B" w:rsidP="004E427B">
      <w:pPr>
        <w:shd w:val="clear" w:color="auto" w:fill="FFFFFF"/>
        <w:spacing w:after="180"/>
        <w:ind w:left="450" w:hanging="450"/>
        <w:rPr>
          <w:rFonts w:ascii="Times New Roman" w:eastAsia="Times New Roman" w:hAnsi="Times New Roman" w:cs="Times New Roman"/>
          <w:color w:val="000000"/>
        </w:rPr>
      </w:pPr>
      <w:r w:rsidRPr="004E427B">
        <w:rPr>
          <w:rFonts w:ascii="Times New Roman" w:eastAsia="Times New Roman" w:hAnsi="Times New Roman" w:cs="Times New Roman"/>
          <w:color w:val="000000"/>
        </w:rPr>
        <w:t>Warnock, M. (1978). </w:t>
      </w:r>
      <w:r w:rsidRPr="004E427B">
        <w:rPr>
          <w:rFonts w:ascii="Times New Roman" w:eastAsia="Times New Roman" w:hAnsi="Times New Roman" w:cs="Times New Roman"/>
          <w:i/>
          <w:iCs/>
          <w:color w:val="000000"/>
        </w:rPr>
        <w:t>Special Educational Needs: Report of the Committee of Enquiry Into the Education of Handicapped Children and Young People</w:t>
      </w:r>
      <w:r w:rsidRPr="004E427B">
        <w:rPr>
          <w:rFonts w:ascii="Times New Roman" w:eastAsia="Times New Roman" w:hAnsi="Times New Roman" w:cs="Times New Roman"/>
          <w:color w:val="000000"/>
        </w:rPr>
        <w:t>. London: HMSO.</w:t>
      </w:r>
    </w:p>
    <w:p w14:paraId="488F4719" w14:textId="77777777" w:rsidR="004E427B" w:rsidRPr="004E427B" w:rsidRDefault="004E427B" w:rsidP="004E427B">
      <w:pPr>
        <w:shd w:val="clear" w:color="auto" w:fill="FFFFFF"/>
        <w:spacing w:after="180"/>
        <w:ind w:left="450" w:hanging="450"/>
        <w:rPr>
          <w:rFonts w:ascii="Times New Roman" w:eastAsia="Times New Roman" w:hAnsi="Times New Roman" w:cs="Times New Roman"/>
          <w:color w:val="000000"/>
        </w:rPr>
      </w:pPr>
      <w:r w:rsidRPr="004E427B">
        <w:rPr>
          <w:rFonts w:ascii="Times New Roman" w:eastAsia="Times New Roman" w:hAnsi="Times New Roman" w:cs="Times New Roman"/>
          <w:color w:val="000000"/>
        </w:rPr>
        <w:t>Williams, S. (n.d.). [online] P4c.com. Available at: https://p4c.com/wp-content/uploads/2016/07/History-of-P4C.pdf [Accessed 29 Apr. 2019].</w:t>
      </w:r>
    </w:p>
    <w:p w14:paraId="3BA771DC" w14:textId="77777777" w:rsidR="004E427B" w:rsidRPr="004E427B" w:rsidRDefault="004E427B" w:rsidP="004E427B">
      <w:pPr>
        <w:shd w:val="clear" w:color="auto" w:fill="FFFFFF"/>
        <w:spacing w:after="180"/>
        <w:ind w:left="450" w:hanging="450"/>
        <w:rPr>
          <w:rFonts w:ascii="Times New Roman" w:eastAsia="Times New Roman" w:hAnsi="Times New Roman" w:cs="Times New Roman"/>
          <w:color w:val="000000"/>
        </w:rPr>
      </w:pPr>
      <w:r w:rsidRPr="004E427B">
        <w:rPr>
          <w:rFonts w:ascii="Times New Roman" w:eastAsia="Times New Roman" w:hAnsi="Times New Roman" w:cs="Times New Roman"/>
          <w:color w:val="000000"/>
        </w:rPr>
        <w:t>Wright, H. (2015). </w:t>
      </w:r>
      <w:r w:rsidRPr="004E427B">
        <w:rPr>
          <w:rFonts w:ascii="Times New Roman" w:eastAsia="Times New Roman" w:hAnsi="Times New Roman" w:cs="Times New Roman"/>
          <w:i/>
          <w:iCs/>
          <w:color w:val="000000"/>
        </w:rPr>
        <w:t>The child in society</w:t>
      </w:r>
      <w:r w:rsidRPr="004E427B">
        <w:rPr>
          <w:rFonts w:ascii="Times New Roman" w:eastAsia="Times New Roman" w:hAnsi="Times New Roman" w:cs="Times New Roman"/>
          <w:color w:val="000000"/>
        </w:rPr>
        <w:t>.</w:t>
      </w:r>
    </w:p>
    <w:p w14:paraId="0C3AD613" w14:textId="77777777" w:rsidR="004E427B" w:rsidRPr="004E427B" w:rsidRDefault="004E427B" w:rsidP="004E427B">
      <w:pPr>
        <w:spacing w:before="100" w:beforeAutospacing="1" w:after="100" w:afterAutospacing="1" w:line="276" w:lineRule="auto"/>
        <w:rPr>
          <w:rFonts w:ascii="Arial" w:hAnsi="Arial" w:cs="Arial"/>
        </w:rPr>
      </w:pPr>
    </w:p>
    <w:sectPr w:rsidR="004E427B" w:rsidRPr="004E427B" w:rsidSect="006410A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2C43D4"/>
    <w:multiLevelType w:val="hybridMultilevel"/>
    <w:tmpl w:val="B17A1EFE"/>
    <w:lvl w:ilvl="0" w:tplc="71AA064C">
      <w:start w:val="1"/>
      <w:numFmt w:val="bullet"/>
      <w:lvlText w:val="•"/>
      <w:lvlJc w:val="left"/>
      <w:pPr>
        <w:tabs>
          <w:tab w:val="num" w:pos="720"/>
        </w:tabs>
        <w:ind w:left="720" w:hanging="360"/>
      </w:pPr>
      <w:rPr>
        <w:rFonts w:ascii="Arial" w:hAnsi="Arial" w:hint="default"/>
      </w:rPr>
    </w:lvl>
    <w:lvl w:ilvl="1" w:tplc="D004E194" w:tentative="1">
      <w:start w:val="1"/>
      <w:numFmt w:val="bullet"/>
      <w:lvlText w:val="•"/>
      <w:lvlJc w:val="left"/>
      <w:pPr>
        <w:tabs>
          <w:tab w:val="num" w:pos="1440"/>
        </w:tabs>
        <w:ind w:left="1440" w:hanging="360"/>
      </w:pPr>
      <w:rPr>
        <w:rFonts w:ascii="Arial" w:hAnsi="Arial" w:hint="default"/>
      </w:rPr>
    </w:lvl>
    <w:lvl w:ilvl="2" w:tplc="A3A6B878" w:tentative="1">
      <w:start w:val="1"/>
      <w:numFmt w:val="bullet"/>
      <w:lvlText w:val="•"/>
      <w:lvlJc w:val="left"/>
      <w:pPr>
        <w:tabs>
          <w:tab w:val="num" w:pos="2160"/>
        </w:tabs>
        <w:ind w:left="2160" w:hanging="360"/>
      </w:pPr>
      <w:rPr>
        <w:rFonts w:ascii="Arial" w:hAnsi="Arial" w:hint="default"/>
      </w:rPr>
    </w:lvl>
    <w:lvl w:ilvl="3" w:tplc="6354EE52" w:tentative="1">
      <w:start w:val="1"/>
      <w:numFmt w:val="bullet"/>
      <w:lvlText w:val="•"/>
      <w:lvlJc w:val="left"/>
      <w:pPr>
        <w:tabs>
          <w:tab w:val="num" w:pos="2880"/>
        </w:tabs>
        <w:ind w:left="2880" w:hanging="360"/>
      </w:pPr>
      <w:rPr>
        <w:rFonts w:ascii="Arial" w:hAnsi="Arial" w:hint="default"/>
      </w:rPr>
    </w:lvl>
    <w:lvl w:ilvl="4" w:tplc="3D763172" w:tentative="1">
      <w:start w:val="1"/>
      <w:numFmt w:val="bullet"/>
      <w:lvlText w:val="•"/>
      <w:lvlJc w:val="left"/>
      <w:pPr>
        <w:tabs>
          <w:tab w:val="num" w:pos="3600"/>
        </w:tabs>
        <w:ind w:left="3600" w:hanging="360"/>
      </w:pPr>
      <w:rPr>
        <w:rFonts w:ascii="Arial" w:hAnsi="Arial" w:hint="default"/>
      </w:rPr>
    </w:lvl>
    <w:lvl w:ilvl="5" w:tplc="331C2A54" w:tentative="1">
      <w:start w:val="1"/>
      <w:numFmt w:val="bullet"/>
      <w:lvlText w:val="•"/>
      <w:lvlJc w:val="left"/>
      <w:pPr>
        <w:tabs>
          <w:tab w:val="num" w:pos="4320"/>
        </w:tabs>
        <w:ind w:left="4320" w:hanging="360"/>
      </w:pPr>
      <w:rPr>
        <w:rFonts w:ascii="Arial" w:hAnsi="Arial" w:hint="default"/>
      </w:rPr>
    </w:lvl>
    <w:lvl w:ilvl="6" w:tplc="64A22796" w:tentative="1">
      <w:start w:val="1"/>
      <w:numFmt w:val="bullet"/>
      <w:lvlText w:val="•"/>
      <w:lvlJc w:val="left"/>
      <w:pPr>
        <w:tabs>
          <w:tab w:val="num" w:pos="5040"/>
        </w:tabs>
        <w:ind w:left="5040" w:hanging="360"/>
      </w:pPr>
      <w:rPr>
        <w:rFonts w:ascii="Arial" w:hAnsi="Arial" w:hint="default"/>
      </w:rPr>
    </w:lvl>
    <w:lvl w:ilvl="7" w:tplc="F4F28F96" w:tentative="1">
      <w:start w:val="1"/>
      <w:numFmt w:val="bullet"/>
      <w:lvlText w:val="•"/>
      <w:lvlJc w:val="left"/>
      <w:pPr>
        <w:tabs>
          <w:tab w:val="num" w:pos="5760"/>
        </w:tabs>
        <w:ind w:left="5760" w:hanging="360"/>
      </w:pPr>
      <w:rPr>
        <w:rFonts w:ascii="Arial" w:hAnsi="Arial" w:hint="default"/>
      </w:rPr>
    </w:lvl>
    <w:lvl w:ilvl="8" w:tplc="E320D02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B1F6181"/>
    <w:multiLevelType w:val="multilevel"/>
    <w:tmpl w:val="E0CEC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E30"/>
    <w:rsid w:val="003C1E30"/>
    <w:rsid w:val="004E427B"/>
    <w:rsid w:val="006410A3"/>
    <w:rsid w:val="009007DC"/>
    <w:rsid w:val="00E51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46A77F"/>
  <w15:chartTrackingRefBased/>
  <w15:docId w15:val="{8DA85BE7-DA24-354C-8F8E-D044EB23F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4E427B"/>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51D05"/>
  </w:style>
  <w:style w:type="paragraph" w:styleId="NormalWeb">
    <w:name w:val="Normal (Web)"/>
    <w:basedOn w:val="Normal"/>
    <w:uiPriority w:val="99"/>
    <w:semiHidden/>
    <w:unhideWhenUsed/>
    <w:rsid w:val="00E51D0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4E427B"/>
    <w:rPr>
      <w:color w:val="0000FF"/>
      <w:u w:val="single"/>
    </w:rPr>
  </w:style>
  <w:style w:type="character" w:styleId="Emphasis">
    <w:name w:val="Emphasis"/>
    <w:basedOn w:val="DefaultParagraphFont"/>
    <w:uiPriority w:val="20"/>
    <w:qFormat/>
    <w:rsid w:val="004E427B"/>
    <w:rPr>
      <w:i/>
      <w:iCs/>
    </w:rPr>
  </w:style>
  <w:style w:type="character" w:customStyle="1" w:styleId="Heading2Char">
    <w:name w:val="Heading 2 Char"/>
    <w:basedOn w:val="DefaultParagraphFont"/>
    <w:link w:val="Heading2"/>
    <w:uiPriority w:val="9"/>
    <w:rsid w:val="004E427B"/>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295321">
      <w:bodyDiv w:val="1"/>
      <w:marLeft w:val="0"/>
      <w:marRight w:val="0"/>
      <w:marTop w:val="0"/>
      <w:marBottom w:val="0"/>
      <w:divBdr>
        <w:top w:val="none" w:sz="0" w:space="0" w:color="auto"/>
        <w:left w:val="none" w:sz="0" w:space="0" w:color="auto"/>
        <w:bottom w:val="none" w:sz="0" w:space="0" w:color="auto"/>
        <w:right w:val="none" w:sz="0" w:space="0" w:color="auto"/>
      </w:divBdr>
    </w:div>
    <w:div w:id="380061143">
      <w:bodyDiv w:val="1"/>
      <w:marLeft w:val="0"/>
      <w:marRight w:val="0"/>
      <w:marTop w:val="0"/>
      <w:marBottom w:val="0"/>
      <w:divBdr>
        <w:top w:val="none" w:sz="0" w:space="0" w:color="auto"/>
        <w:left w:val="none" w:sz="0" w:space="0" w:color="auto"/>
        <w:bottom w:val="none" w:sz="0" w:space="0" w:color="auto"/>
        <w:right w:val="none" w:sz="0" w:space="0" w:color="auto"/>
      </w:divBdr>
      <w:divsChild>
        <w:div w:id="1125079530">
          <w:marLeft w:val="0"/>
          <w:marRight w:val="0"/>
          <w:marTop w:val="0"/>
          <w:marBottom w:val="0"/>
          <w:divBdr>
            <w:top w:val="none" w:sz="0" w:space="0" w:color="auto"/>
            <w:left w:val="none" w:sz="0" w:space="0" w:color="auto"/>
            <w:bottom w:val="none" w:sz="0" w:space="0" w:color="auto"/>
            <w:right w:val="none" w:sz="0" w:space="0" w:color="auto"/>
          </w:divBdr>
          <w:divsChild>
            <w:div w:id="367683700">
              <w:marLeft w:val="0"/>
              <w:marRight w:val="0"/>
              <w:marTop w:val="0"/>
              <w:marBottom w:val="0"/>
              <w:divBdr>
                <w:top w:val="none" w:sz="0" w:space="0" w:color="auto"/>
                <w:left w:val="none" w:sz="0" w:space="0" w:color="auto"/>
                <w:bottom w:val="none" w:sz="0" w:space="0" w:color="auto"/>
                <w:right w:val="none" w:sz="0" w:space="0" w:color="auto"/>
              </w:divBdr>
              <w:divsChild>
                <w:div w:id="104602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069876">
      <w:bodyDiv w:val="1"/>
      <w:marLeft w:val="0"/>
      <w:marRight w:val="0"/>
      <w:marTop w:val="0"/>
      <w:marBottom w:val="0"/>
      <w:divBdr>
        <w:top w:val="none" w:sz="0" w:space="0" w:color="auto"/>
        <w:left w:val="none" w:sz="0" w:space="0" w:color="auto"/>
        <w:bottom w:val="none" w:sz="0" w:space="0" w:color="auto"/>
        <w:right w:val="none" w:sz="0" w:space="0" w:color="auto"/>
      </w:divBdr>
      <w:divsChild>
        <w:div w:id="533691074">
          <w:marLeft w:val="0"/>
          <w:marRight w:val="0"/>
          <w:marTop w:val="0"/>
          <w:marBottom w:val="0"/>
          <w:divBdr>
            <w:top w:val="none" w:sz="0" w:space="0" w:color="auto"/>
            <w:left w:val="none" w:sz="0" w:space="0" w:color="auto"/>
            <w:bottom w:val="none" w:sz="0" w:space="0" w:color="auto"/>
            <w:right w:val="none" w:sz="0" w:space="0" w:color="auto"/>
          </w:divBdr>
          <w:divsChild>
            <w:div w:id="1593781939">
              <w:marLeft w:val="0"/>
              <w:marRight w:val="0"/>
              <w:marTop w:val="0"/>
              <w:marBottom w:val="0"/>
              <w:divBdr>
                <w:top w:val="none" w:sz="0" w:space="0" w:color="auto"/>
                <w:left w:val="none" w:sz="0" w:space="0" w:color="auto"/>
                <w:bottom w:val="none" w:sz="0" w:space="0" w:color="auto"/>
                <w:right w:val="none" w:sz="0" w:space="0" w:color="auto"/>
              </w:divBdr>
              <w:divsChild>
                <w:div w:id="73482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527201">
      <w:bodyDiv w:val="1"/>
      <w:marLeft w:val="0"/>
      <w:marRight w:val="0"/>
      <w:marTop w:val="0"/>
      <w:marBottom w:val="0"/>
      <w:divBdr>
        <w:top w:val="none" w:sz="0" w:space="0" w:color="auto"/>
        <w:left w:val="none" w:sz="0" w:space="0" w:color="auto"/>
        <w:bottom w:val="none" w:sz="0" w:space="0" w:color="auto"/>
        <w:right w:val="none" w:sz="0" w:space="0" w:color="auto"/>
      </w:divBdr>
      <w:divsChild>
        <w:div w:id="1922448219">
          <w:marLeft w:val="0"/>
          <w:marRight w:val="0"/>
          <w:marTop w:val="0"/>
          <w:marBottom w:val="0"/>
          <w:divBdr>
            <w:top w:val="none" w:sz="0" w:space="0" w:color="auto"/>
            <w:left w:val="none" w:sz="0" w:space="0" w:color="auto"/>
            <w:bottom w:val="none" w:sz="0" w:space="0" w:color="auto"/>
            <w:right w:val="none" w:sz="0" w:space="0" w:color="auto"/>
          </w:divBdr>
          <w:divsChild>
            <w:div w:id="60951926">
              <w:marLeft w:val="0"/>
              <w:marRight w:val="0"/>
              <w:marTop w:val="0"/>
              <w:marBottom w:val="0"/>
              <w:divBdr>
                <w:top w:val="none" w:sz="0" w:space="0" w:color="auto"/>
                <w:left w:val="none" w:sz="0" w:space="0" w:color="auto"/>
                <w:bottom w:val="none" w:sz="0" w:space="0" w:color="auto"/>
                <w:right w:val="none" w:sz="0" w:space="0" w:color="auto"/>
              </w:divBdr>
              <w:divsChild>
                <w:div w:id="123555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393929">
      <w:bodyDiv w:val="1"/>
      <w:marLeft w:val="0"/>
      <w:marRight w:val="0"/>
      <w:marTop w:val="0"/>
      <w:marBottom w:val="0"/>
      <w:divBdr>
        <w:top w:val="none" w:sz="0" w:space="0" w:color="auto"/>
        <w:left w:val="none" w:sz="0" w:space="0" w:color="auto"/>
        <w:bottom w:val="none" w:sz="0" w:space="0" w:color="auto"/>
        <w:right w:val="none" w:sz="0" w:space="0" w:color="auto"/>
      </w:divBdr>
    </w:div>
    <w:div w:id="603539725">
      <w:bodyDiv w:val="1"/>
      <w:marLeft w:val="0"/>
      <w:marRight w:val="0"/>
      <w:marTop w:val="0"/>
      <w:marBottom w:val="0"/>
      <w:divBdr>
        <w:top w:val="none" w:sz="0" w:space="0" w:color="auto"/>
        <w:left w:val="none" w:sz="0" w:space="0" w:color="auto"/>
        <w:bottom w:val="none" w:sz="0" w:space="0" w:color="auto"/>
        <w:right w:val="none" w:sz="0" w:space="0" w:color="auto"/>
      </w:divBdr>
      <w:divsChild>
        <w:div w:id="1833451952">
          <w:marLeft w:val="0"/>
          <w:marRight w:val="0"/>
          <w:marTop w:val="0"/>
          <w:marBottom w:val="0"/>
          <w:divBdr>
            <w:top w:val="none" w:sz="0" w:space="0" w:color="auto"/>
            <w:left w:val="none" w:sz="0" w:space="0" w:color="auto"/>
            <w:bottom w:val="none" w:sz="0" w:space="0" w:color="auto"/>
            <w:right w:val="none" w:sz="0" w:space="0" w:color="auto"/>
          </w:divBdr>
          <w:divsChild>
            <w:div w:id="1084565816">
              <w:marLeft w:val="0"/>
              <w:marRight w:val="0"/>
              <w:marTop w:val="0"/>
              <w:marBottom w:val="0"/>
              <w:divBdr>
                <w:top w:val="none" w:sz="0" w:space="0" w:color="auto"/>
                <w:left w:val="none" w:sz="0" w:space="0" w:color="auto"/>
                <w:bottom w:val="none" w:sz="0" w:space="0" w:color="auto"/>
                <w:right w:val="none" w:sz="0" w:space="0" w:color="auto"/>
              </w:divBdr>
              <w:divsChild>
                <w:div w:id="792594664">
                  <w:marLeft w:val="0"/>
                  <w:marRight w:val="0"/>
                  <w:marTop w:val="0"/>
                  <w:marBottom w:val="0"/>
                  <w:divBdr>
                    <w:top w:val="none" w:sz="0" w:space="0" w:color="auto"/>
                    <w:left w:val="none" w:sz="0" w:space="0" w:color="auto"/>
                    <w:bottom w:val="none" w:sz="0" w:space="0" w:color="auto"/>
                    <w:right w:val="none" w:sz="0" w:space="0" w:color="auto"/>
                  </w:divBdr>
                  <w:divsChild>
                    <w:div w:id="16196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029554">
      <w:bodyDiv w:val="1"/>
      <w:marLeft w:val="0"/>
      <w:marRight w:val="0"/>
      <w:marTop w:val="0"/>
      <w:marBottom w:val="0"/>
      <w:divBdr>
        <w:top w:val="none" w:sz="0" w:space="0" w:color="auto"/>
        <w:left w:val="none" w:sz="0" w:space="0" w:color="auto"/>
        <w:bottom w:val="none" w:sz="0" w:space="0" w:color="auto"/>
        <w:right w:val="none" w:sz="0" w:space="0" w:color="auto"/>
      </w:divBdr>
    </w:div>
    <w:div w:id="630136769">
      <w:bodyDiv w:val="1"/>
      <w:marLeft w:val="0"/>
      <w:marRight w:val="0"/>
      <w:marTop w:val="0"/>
      <w:marBottom w:val="0"/>
      <w:divBdr>
        <w:top w:val="none" w:sz="0" w:space="0" w:color="auto"/>
        <w:left w:val="none" w:sz="0" w:space="0" w:color="auto"/>
        <w:bottom w:val="none" w:sz="0" w:space="0" w:color="auto"/>
        <w:right w:val="none" w:sz="0" w:space="0" w:color="auto"/>
      </w:divBdr>
      <w:divsChild>
        <w:div w:id="129399661">
          <w:marLeft w:val="0"/>
          <w:marRight w:val="0"/>
          <w:marTop w:val="0"/>
          <w:marBottom w:val="0"/>
          <w:divBdr>
            <w:top w:val="none" w:sz="0" w:space="0" w:color="auto"/>
            <w:left w:val="none" w:sz="0" w:space="0" w:color="auto"/>
            <w:bottom w:val="none" w:sz="0" w:space="0" w:color="auto"/>
            <w:right w:val="none" w:sz="0" w:space="0" w:color="auto"/>
          </w:divBdr>
          <w:divsChild>
            <w:div w:id="1731419142">
              <w:marLeft w:val="0"/>
              <w:marRight w:val="0"/>
              <w:marTop w:val="0"/>
              <w:marBottom w:val="0"/>
              <w:divBdr>
                <w:top w:val="none" w:sz="0" w:space="0" w:color="auto"/>
                <w:left w:val="none" w:sz="0" w:space="0" w:color="auto"/>
                <w:bottom w:val="none" w:sz="0" w:space="0" w:color="auto"/>
                <w:right w:val="none" w:sz="0" w:space="0" w:color="auto"/>
              </w:divBdr>
              <w:divsChild>
                <w:div w:id="80157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775156">
      <w:bodyDiv w:val="1"/>
      <w:marLeft w:val="0"/>
      <w:marRight w:val="0"/>
      <w:marTop w:val="0"/>
      <w:marBottom w:val="0"/>
      <w:divBdr>
        <w:top w:val="none" w:sz="0" w:space="0" w:color="auto"/>
        <w:left w:val="none" w:sz="0" w:space="0" w:color="auto"/>
        <w:bottom w:val="none" w:sz="0" w:space="0" w:color="auto"/>
        <w:right w:val="none" w:sz="0" w:space="0" w:color="auto"/>
      </w:divBdr>
      <w:divsChild>
        <w:div w:id="1871259999">
          <w:marLeft w:val="0"/>
          <w:marRight w:val="0"/>
          <w:marTop w:val="0"/>
          <w:marBottom w:val="0"/>
          <w:divBdr>
            <w:top w:val="none" w:sz="0" w:space="0" w:color="auto"/>
            <w:left w:val="none" w:sz="0" w:space="0" w:color="auto"/>
            <w:bottom w:val="none" w:sz="0" w:space="0" w:color="auto"/>
            <w:right w:val="none" w:sz="0" w:space="0" w:color="auto"/>
          </w:divBdr>
          <w:divsChild>
            <w:div w:id="202250358">
              <w:marLeft w:val="0"/>
              <w:marRight w:val="0"/>
              <w:marTop w:val="0"/>
              <w:marBottom w:val="0"/>
              <w:divBdr>
                <w:top w:val="none" w:sz="0" w:space="0" w:color="auto"/>
                <w:left w:val="none" w:sz="0" w:space="0" w:color="auto"/>
                <w:bottom w:val="none" w:sz="0" w:space="0" w:color="auto"/>
                <w:right w:val="none" w:sz="0" w:space="0" w:color="auto"/>
              </w:divBdr>
              <w:divsChild>
                <w:div w:id="211697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487775">
      <w:bodyDiv w:val="1"/>
      <w:marLeft w:val="0"/>
      <w:marRight w:val="0"/>
      <w:marTop w:val="0"/>
      <w:marBottom w:val="0"/>
      <w:divBdr>
        <w:top w:val="none" w:sz="0" w:space="0" w:color="auto"/>
        <w:left w:val="none" w:sz="0" w:space="0" w:color="auto"/>
        <w:bottom w:val="none" w:sz="0" w:space="0" w:color="auto"/>
        <w:right w:val="none" w:sz="0" w:space="0" w:color="auto"/>
      </w:divBdr>
      <w:divsChild>
        <w:div w:id="1738700332">
          <w:marLeft w:val="360"/>
          <w:marRight w:val="0"/>
          <w:marTop w:val="140"/>
          <w:marBottom w:val="0"/>
          <w:divBdr>
            <w:top w:val="none" w:sz="0" w:space="0" w:color="auto"/>
            <w:left w:val="none" w:sz="0" w:space="0" w:color="auto"/>
            <w:bottom w:val="none" w:sz="0" w:space="0" w:color="auto"/>
            <w:right w:val="none" w:sz="0" w:space="0" w:color="auto"/>
          </w:divBdr>
        </w:div>
        <w:div w:id="1472752642">
          <w:marLeft w:val="360"/>
          <w:marRight w:val="0"/>
          <w:marTop w:val="140"/>
          <w:marBottom w:val="0"/>
          <w:divBdr>
            <w:top w:val="none" w:sz="0" w:space="0" w:color="auto"/>
            <w:left w:val="none" w:sz="0" w:space="0" w:color="auto"/>
            <w:bottom w:val="none" w:sz="0" w:space="0" w:color="auto"/>
            <w:right w:val="none" w:sz="0" w:space="0" w:color="auto"/>
          </w:divBdr>
        </w:div>
        <w:div w:id="828449798">
          <w:marLeft w:val="360"/>
          <w:marRight w:val="0"/>
          <w:marTop w:val="140"/>
          <w:marBottom w:val="0"/>
          <w:divBdr>
            <w:top w:val="none" w:sz="0" w:space="0" w:color="auto"/>
            <w:left w:val="none" w:sz="0" w:space="0" w:color="auto"/>
            <w:bottom w:val="none" w:sz="0" w:space="0" w:color="auto"/>
            <w:right w:val="none" w:sz="0" w:space="0" w:color="auto"/>
          </w:divBdr>
        </w:div>
        <w:div w:id="1526939798">
          <w:marLeft w:val="360"/>
          <w:marRight w:val="0"/>
          <w:marTop w:val="140"/>
          <w:marBottom w:val="0"/>
          <w:divBdr>
            <w:top w:val="none" w:sz="0" w:space="0" w:color="auto"/>
            <w:left w:val="none" w:sz="0" w:space="0" w:color="auto"/>
            <w:bottom w:val="none" w:sz="0" w:space="0" w:color="auto"/>
            <w:right w:val="none" w:sz="0" w:space="0" w:color="auto"/>
          </w:divBdr>
        </w:div>
        <w:div w:id="1922910264">
          <w:marLeft w:val="360"/>
          <w:marRight w:val="0"/>
          <w:marTop w:val="140"/>
          <w:marBottom w:val="0"/>
          <w:divBdr>
            <w:top w:val="none" w:sz="0" w:space="0" w:color="auto"/>
            <w:left w:val="none" w:sz="0" w:space="0" w:color="auto"/>
            <w:bottom w:val="none" w:sz="0" w:space="0" w:color="auto"/>
            <w:right w:val="none" w:sz="0" w:space="0" w:color="auto"/>
          </w:divBdr>
        </w:div>
        <w:div w:id="1919484597">
          <w:marLeft w:val="360"/>
          <w:marRight w:val="0"/>
          <w:marTop w:val="140"/>
          <w:marBottom w:val="0"/>
          <w:divBdr>
            <w:top w:val="none" w:sz="0" w:space="0" w:color="auto"/>
            <w:left w:val="none" w:sz="0" w:space="0" w:color="auto"/>
            <w:bottom w:val="none" w:sz="0" w:space="0" w:color="auto"/>
            <w:right w:val="none" w:sz="0" w:space="0" w:color="auto"/>
          </w:divBdr>
        </w:div>
        <w:div w:id="901449088">
          <w:marLeft w:val="360"/>
          <w:marRight w:val="0"/>
          <w:marTop w:val="140"/>
          <w:marBottom w:val="0"/>
          <w:divBdr>
            <w:top w:val="none" w:sz="0" w:space="0" w:color="auto"/>
            <w:left w:val="none" w:sz="0" w:space="0" w:color="auto"/>
            <w:bottom w:val="none" w:sz="0" w:space="0" w:color="auto"/>
            <w:right w:val="none" w:sz="0" w:space="0" w:color="auto"/>
          </w:divBdr>
        </w:div>
        <w:div w:id="239140984">
          <w:marLeft w:val="360"/>
          <w:marRight w:val="0"/>
          <w:marTop w:val="140"/>
          <w:marBottom w:val="0"/>
          <w:divBdr>
            <w:top w:val="none" w:sz="0" w:space="0" w:color="auto"/>
            <w:left w:val="none" w:sz="0" w:space="0" w:color="auto"/>
            <w:bottom w:val="none" w:sz="0" w:space="0" w:color="auto"/>
            <w:right w:val="none" w:sz="0" w:space="0" w:color="auto"/>
          </w:divBdr>
        </w:div>
        <w:div w:id="2014380697">
          <w:marLeft w:val="360"/>
          <w:marRight w:val="0"/>
          <w:marTop w:val="140"/>
          <w:marBottom w:val="0"/>
          <w:divBdr>
            <w:top w:val="none" w:sz="0" w:space="0" w:color="auto"/>
            <w:left w:val="none" w:sz="0" w:space="0" w:color="auto"/>
            <w:bottom w:val="none" w:sz="0" w:space="0" w:color="auto"/>
            <w:right w:val="none" w:sz="0" w:space="0" w:color="auto"/>
          </w:divBdr>
        </w:div>
        <w:div w:id="2030451717">
          <w:marLeft w:val="360"/>
          <w:marRight w:val="0"/>
          <w:marTop w:val="140"/>
          <w:marBottom w:val="0"/>
          <w:divBdr>
            <w:top w:val="none" w:sz="0" w:space="0" w:color="auto"/>
            <w:left w:val="none" w:sz="0" w:space="0" w:color="auto"/>
            <w:bottom w:val="none" w:sz="0" w:space="0" w:color="auto"/>
            <w:right w:val="none" w:sz="0" w:space="0" w:color="auto"/>
          </w:divBdr>
        </w:div>
      </w:divsChild>
    </w:div>
    <w:div w:id="816803834">
      <w:bodyDiv w:val="1"/>
      <w:marLeft w:val="0"/>
      <w:marRight w:val="0"/>
      <w:marTop w:val="0"/>
      <w:marBottom w:val="0"/>
      <w:divBdr>
        <w:top w:val="none" w:sz="0" w:space="0" w:color="auto"/>
        <w:left w:val="none" w:sz="0" w:space="0" w:color="auto"/>
        <w:bottom w:val="none" w:sz="0" w:space="0" w:color="auto"/>
        <w:right w:val="none" w:sz="0" w:space="0" w:color="auto"/>
      </w:divBdr>
      <w:divsChild>
        <w:div w:id="1142111654">
          <w:marLeft w:val="0"/>
          <w:marRight w:val="0"/>
          <w:marTop w:val="0"/>
          <w:marBottom w:val="0"/>
          <w:divBdr>
            <w:top w:val="none" w:sz="0" w:space="0" w:color="auto"/>
            <w:left w:val="none" w:sz="0" w:space="0" w:color="auto"/>
            <w:bottom w:val="none" w:sz="0" w:space="0" w:color="auto"/>
            <w:right w:val="none" w:sz="0" w:space="0" w:color="auto"/>
          </w:divBdr>
          <w:divsChild>
            <w:div w:id="1693414500">
              <w:marLeft w:val="0"/>
              <w:marRight w:val="0"/>
              <w:marTop w:val="0"/>
              <w:marBottom w:val="0"/>
              <w:divBdr>
                <w:top w:val="none" w:sz="0" w:space="0" w:color="auto"/>
                <w:left w:val="none" w:sz="0" w:space="0" w:color="auto"/>
                <w:bottom w:val="none" w:sz="0" w:space="0" w:color="auto"/>
                <w:right w:val="none" w:sz="0" w:space="0" w:color="auto"/>
              </w:divBdr>
              <w:divsChild>
                <w:div w:id="201695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988304">
      <w:bodyDiv w:val="1"/>
      <w:marLeft w:val="0"/>
      <w:marRight w:val="0"/>
      <w:marTop w:val="0"/>
      <w:marBottom w:val="0"/>
      <w:divBdr>
        <w:top w:val="none" w:sz="0" w:space="0" w:color="auto"/>
        <w:left w:val="none" w:sz="0" w:space="0" w:color="auto"/>
        <w:bottom w:val="none" w:sz="0" w:space="0" w:color="auto"/>
        <w:right w:val="none" w:sz="0" w:space="0" w:color="auto"/>
      </w:divBdr>
    </w:div>
    <w:div w:id="1453595406">
      <w:bodyDiv w:val="1"/>
      <w:marLeft w:val="0"/>
      <w:marRight w:val="0"/>
      <w:marTop w:val="0"/>
      <w:marBottom w:val="0"/>
      <w:divBdr>
        <w:top w:val="none" w:sz="0" w:space="0" w:color="auto"/>
        <w:left w:val="none" w:sz="0" w:space="0" w:color="auto"/>
        <w:bottom w:val="none" w:sz="0" w:space="0" w:color="auto"/>
        <w:right w:val="none" w:sz="0" w:space="0" w:color="auto"/>
      </w:divBdr>
    </w:div>
    <w:div w:id="1466124461">
      <w:bodyDiv w:val="1"/>
      <w:marLeft w:val="0"/>
      <w:marRight w:val="0"/>
      <w:marTop w:val="0"/>
      <w:marBottom w:val="0"/>
      <w:divBdr>
        <w:top w:val="none" w:sz="0" w:space="0" w:color="auto"/>
        <w:left w:val="none" w:sz="0" w:space="0" w:color="auto"/>
        <w:bottom w:val="none" w:sz="0" w:space="0" w:color="auto"/>
        <w:right w:val="none" w:sz="0" w:space="0" w:color="auto"/>
      </w:divBdr>
      <w:divsChild>
        <w:div w:id="141313031">
          <w:marLeft w:val="0"/>
          <w:marRight w:val="0"/>
          <w:marTop w:val="0"/>
          <w:marBottom w:val="0"/>
          <w:divBdr>
            <w:top w:val="none" w:sz="0" w:space="0" w:color="auto"/>
            <w:left w:val="none" w:sz="0" w:space="0" w:color="auto"/>
            <w:bottom w:val="none" w:sz="0" w:space="0" w:color="auto"/>
            <w:right w:val="none" w:sz="0" w:space="0" w:color="auto"/>
          </w:divBdr>
          <w:divsChild>
            <w:div w:id="1423646966">
              <w:marLeft w:val="0"/>
              <w:marRight w:val="0"/>
              <w:marTop w:val="0"/>
              <w:marBottom w:val="0"/>
              <w:divBdr>
                <w:top w:val="none" w:sz="0" w:space="0" w:color="auto"/>
                <w:left w:val="none" w:sz="0" w:space="0" w:color="auto"/>
                <w:bottom w:val="none" w:sz="0" w:space="0" w:color="auto"/>
                <w:right w:val="none" w:sz="0" w:space="0" w:color="auto"/>
              </w:divBdr>
              <w:divsChild>
                <w:div w:id="174226756">
                  <w:marLeft w:val="0"/>
                  <w:marRight w:val="0"/>
                  <w:marTop w:val="0"/>
                  <w:marBottom w:val="0"/>
                  <w:divBdr>
                    <w:top w:val="none" w:sz="0" w:space="0" w:color="auto"/>
                    <w:left w:val="none" w:sz="0" w:space="0" w:color="auto"/>
                    <w:bottom w:val="none" w:sz="0" w:space="0" w:color="auto"/>
                    <w:right w:val="none" w:sz="0" w:space="0" w:color="auto"/>
                  </w:divBdr>
                  <w:divsChild>
                    <w:div w:id="72321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950122">
      <w:bodyDiv w:val="1"/>
      <w:marLeft w:val="0"/>
      <w:marRight w:val="0"/>
      <w:marTop w:val="0"/>
      <w:marBottom w:val="0"/>
      <w:divBdr>
        <w:top w:val="none" w:sz="0" w:space="0" w:color="auto"/>
        <w:left w:val="none" w:sz="0" w:space="0" w:color="auto"/>
        <w:bottom w:val="none" w:sz="0" w:space="0" w:color="auto"/>
        <w:right w:val="none" w:sz="0" w:space="0" w:color="auto"/>
      </w:divBdr>
    </w:div>
    <w:div w:id="1748266637">
      <w:bodyDiv w:val="1"/>
      <w:marLeft w:val="0"/>
      <w:marRight w:val="0"/>
      <w:marTop w:val="0"/>
      <w:marBottom w:val="0"/>
      <w:divBdr>
        <w:top w:val="none" w:sz="0" w:space="0" w:color="auto"/>
        <w:left w:val="none" w:sz="0" w:space="0" w:color="auto"/>
        <w:bottom w:val="none" w:sz="0" w:space="0" w:color="auto"/>
        <w:right w:val="none" w:sz="0" w:space="0" w:color="auto"/>
      </w:divBdr>
    </w:div>
    <w:div w:id="1865557319">
      <w:bodyDiv w:val="1"/>
      <w:marLeft w:val="0"/>
      <w:marRight w:val="0"/>
      <w:marTop w:val="0"/>
      <w:marBottom w:val="0"/>
      <w:divBdr>
        <w:top w:val="none" w:sz="0" w:space="0" w:color="auto"/>
        <w:left w:val="none" w:sz="0" w:space="0" w:color="auto"/>
        <w:bottom w:val="none" w:sz="0" w:space="0" w:color="auto"/>
        <w:right w:val="none" w:sz="0" w:space="0" w:color="auto"/>
      </w:divBdr>
      <w:divsChild>
        <w:div w:id="2025134158">
          <w:marLeft w:val="0"/>
          <w:marRight w:val="0"/>
          <w:marTop w:val="0"/>
          <w:marBottom w:val="0"/>
          <w:divBdr>
            <w:top w:val="none" w:sz="0" w:space="0" w:color="auto"/>
            <w:left w:val="none" w:sz="0" w:space="0" w:color="auto"/>
            <w:bottom w:val="none" w:sz="0" w:space="0" w:color="auto"/>
            <w:right w:val="none" w:sz="0" w:space="0" w:color="auto"/>
          </w:divBdr>
          <w:divsChild>
            <w:div w:id="987636254">
              <w:marLeft w:val="0"/>
              <w:marRight w:val="0"/>
              <w:marTop w:val="0"/>
              <w:marBottom w:val="0"/>
              <w:divBdr>
                <w:top w:val="none" w:sz="0" w:space="0" w:color="auto"/>
                <w:left w:val="none" w:sz="0" w:space="0" w:color="auto"/>
                <w:bottom w:val="none" w:sz="0" w:space="0" w:color="auto"/>
                <w:right w:val="none" w:sz="0" w:space="0" w:color="auto"/>
              </w:divBdr>
              <w:divsChild>
                <w:div w:id="195351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2848">
      <w:bodyDiv w:val="1"/>
      <w:marLeft w:val="0"/>
      <w:marRight w:val="0"/>
      <w:marTop w:val="0"/>
      <w:marBottom w:val="0"/>
      <w:divBdr>
        <w:top w:val="none" w:sz="0" w:space="0" w:color="auto"/>
        <w:left w:val="none" w:sz="0" w:space="0" w:color="auto"/>
        <w:bottom w:val="none" w:sz="0" w:space="0" w:color="auto"/>
        <w:right w:val="none" w:sz="0" w:space="0" w:color="auto"/>
      </w:divBdr>
    </w:div>
    <w:div w:id="1949238425">
      <w:bodyDiv w:val="1"/>
      <w:marLeft w:val="0"/>
      <w:marRight w:val="0"/>
      <w:marTop w:val="0"/>
      <w:marBottom w:val="0"/>
      <w:divBdr>
        <w:top w:val="none" w:sz="0" w:space="0" w:color="auto"/>
        <w:left w:val="none" w:sz="0" w:space="0" w:color="auto"/>
        <w:bottom w:val="none" w:sz="0" w:space="0" w:color="auto"/>
        <w:right w:val="none" w:sz="0" w:space="0" w:color="auto"/>
      </w:divBdr>
    </w:div>
    <w:div w:id="1973557629">
      <w:bodyDiv w:val="1"/>
      <w:marLeft w:val="0"/>
      <w:marRight w:val="0"/>
      <w:marTop w:val="0"/>
      <w:marBottom w:val="0"/>
      <w:divBdr>
        <w:top w:val="none" w:sz="0" w:space="0" w:color="auto"/>
        <w:left w:val="none" w:sz="0" w:space="0" w:color="auto"/>
        <w:bottom w:val="none" w:sz="0" w:space="0" w:color="auto"/>
        <w:right w:val="none" w:sz="0" w:space="0" w:color="auto"/>
      </w:divBdr>
      <w:divsChild>
        <w:div w:id="271086545">
          <w:marLeft w:val="0"/>
          <w:marRight w:val="0"/>
          <w:marTop w:val="0"/>
          <w:marBottom w:val="0"/>
          <w:divBdr>
            <w:top w:val="none" w:sz="0" w:space="0" w:color="auto"/>
            <w:left w:val="none" w:sz="0" w:space="0" w:color="auto"/>
            <w:bottom w:val="none" w:sz="0" w:space="0" w:color="auto"/>
            <w:right w:val="none" w:sz="0" w:space="0" w:color="auto"/>
          </w:divBdr>
          <w:divsChild>
            <w:div w:id="524102172">
              <w:marLeft w:val="0"/>
              <w:marRight w:val="0"/>
              <w:marTop w:val="0"/>
              <w:marBottom w:val="0"/>
              <w:divBdr>
                <w:top w:val="none" w:sz="0" w:space="0" w:color="auto"/>
                <w:left w:val="none" w:sz="0" w:space="0" w:color="auto"/>
                <w:bottom w:val="none" w:sz="0" w:space="0" w:color="auto"/>
                <w:right w:val="none" w:sz="0" w:space="0" w:color="auto"/>
              </w:divBdr>
              <w:divsChild>
                <w:div w:id="1229074106">
                  <w:marLeft w:val="0"/>
                  <w:marRight w:val="0"/>
                  <w:marTop w:val="0"/>
                  <w:marBottom w:val="0"/>
                  <w:divBdr>
                    <w:top w:val="none" w:sz="0" w:space="0" w:color="auto"/>
                    <w:left w:val="none" w:sz="0" w:space="0" w:color="auto"/>
                    <w:bottom w:val="none" w:sz="0" w:space="0" w:color="auto"/>
                    <w:right w:val="none" w:sz="0" w:space="0" w:color="auto"/>
                  </w:divBdr>
                </w:div>
              </w:divsChild>
            </w:div>
            <w:div w:id="2092653561">
              <w:marLeft w:val="0"/>
              <w:marRight w:val="0"/>
              <w:marTop w:val="0"/>
              <w:marBottom w:val="0"/>
              <w:divBdr>
                <w:top w:val="none" w:sz="0" w:space="0" w:color="auto"/>
                <w:left w:val="none" w:sz="0" w:space="0" w:color="auto"/>
                <w:bottom w:val="none" w:sz="0" w:space="0" w:color="auto"/>
                <w:right w:val="none" w:sz="0" w:space="0" w:color="auto"/>
              </w:divBdr>
              <w:divsChild>
                <w:div w:id="1214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341759">
          <w:marLeft w:val="0"/>
          <w:marRight w:val="0"/>
          <w:marTop w:val="0"/>
          <w:marBottom w:val="0"/>
          <w:divBdr>
            <w:top w:val="none" w:sz="0" w:space="0" w:color="auto"/>
            <w:left w:val="none" w:sz="0" w:space="0" w:color="auto"/>
            <w:bottom w:val="none" w:sz="0" w:space="0" w:color="auto"/>
            <w:right w:val="none" w:sz="0" w:space="0" w:color="auto"/>
          </w:divBdr>
          <w:divsChild>
            <w:div w:id="1470366230">
              <w:marLeft w:val="0"/>
              <w:marRight w:val="0"/>
              <w:marTop w:val="0"/>
              <w:marBottom w:val="0"/>
              <w:divBdr>
                <w:top w:val="none" w:sz="0" w:space="0" w:color="auto"/>
                <w:left w:val="none" w:sz="0" w:space="0" w:color="auto"/>
                <w:bottom w:val="none" w:sz="0" w:space="0" w:color="auto"/>
                <w:right w:val="none" w:sz="0" w:space="0" w:color="auto"/>
              </w:divBdr>
              <w:divsChild>
                <w:div w:id="156895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2019">
      <w:bodyDiv w:val="1"/>
      <w:marLeft w:val="0"/>
      <w:marRight w:val="0"/>
      <w:marTop w:val="0"/>
      <w:marBottom w:val="0"/>
      <w:divBdr>
        <w:top w:val="none" w:sz="0" w:space="0" w:color="auto"/>
        <w:left w:val="none" w:sz="0" w:space="0" w:color="auto"/>
        <w:bottom w:val="none" w:sz="0" w:space="0" w:color="auto"/>
        <w:right w:val="none" w:sz="0" w:space="0" w:color="auto"/>
      </w:divBdr>
    </w:div>
    <w:div w:id="212522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6</Pages>
  <Words>2329</Words>
  <Characters>11763</Characters>
  <Application>Microsoft Office Word</Application>
  <DocSecurity>0</DocSecurity>
  <Lines>117</Lines>
  <Paragraphs>4</Paragraphs>
  <ScaleCrop>false</ScaleCrop>
  <Company/>
  <LinksUpToDate>false</LinksUpToDate>
  <CharactersWithSpaces>14088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2019-04-28T23:20:00Z</dcterms:created>
  <dcterms:modified xsi:type="dcterms:W3CDTF">2019-04-29T15:58:00Z</dcterms:modified>
</cp:coreProperties>
</file>