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FFFFFF"/>
          <w:spacing w:val="10"/>
          <w:position w:val="0"/>
          <w:sz w:val="24"/>
          <w:shd w:fill="C0504D" w:val="clear"/>
        </w:rPr>
      </w:pPr>
      <w:r>
        <w:rPr>
          <w:rFonts w:ascii="Times New Roman" w:hAnsi="Times New Roman" w:cs="Times New Roman" w:eastAsia="Times New Roman"/>
          <w:color w:val="FFFFFF"/>
          <w:spacing w:val="10"/>
          <w:position w:val="0"/>
          <w:sz w:val="24"/>
          <w:shd w:fill="C0504D" w:val="clear"/>
        </w:rPr>
        <w:t xml:space="preserve"> BANKING FINANCIAL MANAGEMENT AND FINANCIAL MARKETS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jatin parmar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1705600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Title : SBMA7117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Lecture's name : jia miao</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480" w:after="100" w:line="360"/>
        <w:ind w:right="0" w:left="0" w:firstLine="0"/>
        <w:jc w:val="both"/>
        <w:rPr>
          <w:rFonts w:ascii="Times New Roman" w:hAnsi="Times New Roman" w:cs="Times New Roman" w:eastAsia="Times New Roman"/>
          <w:b/>
          <w:color w:val="622423"/>
          <w:spacing w:val="0"/>
          <w:position w:val="0"/>
          <w:sz w:val="24"/>
          <w:shd w:fill="F2DBDB" w:val="clear"/>
        </w:rPr>
      </w:pPr>
      <w:r>
        <w:rPr>
          <w:rFonts w:ascii="Times New Roman" w:hAnsi="Times New Roman" w:cs="Times New Roman" w:eastAsia="Times New Roman"/>
          <w:b/>
          <w:color w:val="622423"/>
          <w:spacing w:val="0"/>
          <w:position w:val="0"/>
          <w:sz w:val="24"/>
          <w:shd w:fill="F2DBDB" w:val="clear"/>
        </w:rPr>
        <w:t xml:space="preserve">Part a) Lloyds Bank company history</w:t>
      </w:r>
    </w:p>
    <w:p>
      <w:pPr>
        <w:spacing w:before="200" w:after="100" w:line="360"/>
        <w:ind w:right="0" w:left="144" w:firstLine="0"/>
        <w:jc w:val="both"/>
        <w:rPr>
          <w:rFonts w:ascii="Times New Roman" w:hAnsi="Times New Roman" w:cs="Times New Roman" w:eastAsia="Times New Roman"/>
          <w:b/>
          <w:color w:val="943634"/>
          <w:spacing w:val="0"/>
          <w:position w:val="0"/>
          <w:sz w:val="24"/>
          <w:shd w:fill="auto" w:val="clear"/>
        </w:rPr>
      </w:pPr>
      <w:r>
        <w:rPr>
          <w:rFonts w:ascii="Times New Roman" w:hAnsi="Times New Roman" w:cs="Times New Roman" w:eastAsia="Times New Roman"/>
          <w:b/>
          <w:color w:val="943634"/>
          <w:spacing w:val="0"/>
          <w:position w:val="0"/>
          <w:sz w:val="24"/>
          <w:shd w:fill="auto" w:val="clear"/>
        </w:rPr>
        <w:t xml:space="preserve">Evolution of Lloyds banking group</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Lloyds Banking group is one of the new institutions in the banking industry which came into existence in the 2009 after the HBOS is acquired by the TSB arm of the Lloyds Bank. But the original history of the Lloyds Bank goes back to the time of 1765 (lloydsbankinggroup, 2018). The current day evolution of the Lloyds Banking group can be understood from the diagram below.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8038" w:dyaOrig="4373">
          <v:rect xmlns:o="urn:schemas-microsoft-com:office:office" xmlns:v="urn:schemas-microsoft-com:vml" id="rectole0000000000" style="width:401.900000pt;height:218.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lloydsbankinggroup,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particular the history of the Lloyds Bank in Birmingham started in the 1765 as Taylors and Lloyds. The operation of initial 100 years was centred to this single branch of the bank.  The growth in the business started in the 1860 onward. In the 1995 the merger of TBS was preceded by more than 200 banks acquisition (lloydsbankinggroup, 2018). The list of acquisition is depicted below. In their operation one international branch of banking operation had also been absorbed in the year 1986. Much of their prior operation in the international market was focused in the South America and the Europe. The start of their international expansion happened by acquiring the ‘Armstrong and CO’ in the year 1911. After that acquisitions like London and Brazilian bank and London and River Plate bank in the 1918 and 1923 respectively happened to expand the international operation and then finally in the 1986 the merger of the international arm in the Lloyds Bank improved its operational scope (lloydsbankinggroup, 2018).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7613" w:dyaOrig="7693">
          <v:rect xmlns:o="urn:schemas-microsoft-com:office:office" xmlns:v="urn:schemas-microsoft-com:vml" id="rectole0000000001" style="width:380.650000pt;height:384.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lloydsbankinggroup, 2018]</w:t>
      </w:r>
    </w:p>
    <w:p>
      <w:pPr>
        <w:spacing w:before="200" w:after="100" w:line="360"/>
        <w:ind w:right="0" w:left="144" w:firstLine="0"/>
        <w:jc w:val="both"/>
        <w:rPr>
          <w:rFonts w:ascii="Times New Roman" w:hAnsi="Times New Roman" w:cs="Times New Roman" w:eastAsia="Times New Roman"/>
          <w:b/>
          <w:color w:val="943634"/>
          <w:spacing w:val="0"/>
          <w:position w:val="0"/>
          <w:sz w:val="24"/>
          <w:shd w:fill="auto" w:val="clear"/>
        </w:rPr>
      </w:pPr>
      <w:r>
        <w:rPr>
          <w:rFonts w:ascii="Times New Roman" w:hAnsi="Times New Roman" w:cs="Times New Roman" w:eastAsia="Times New Roman"/>
          <w:b/>
          <w:color w:val="943634"/>
          <w:spacing w:val="0"/>
          <w:position w:val="0"/>
          <w:sz w:val="24"/>
          <w:shd w:fill="auto" w:val="clear"/>
        </w:rPr>
        <w:t xml:space="preserve">Recent incidents in Lloyds Banking group</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recent time there were some significant events in the Lloyds Banking group. During the financial crises the lender of this banking group is bailed out by the government. Therefore the government had a significant proportion of share in the banking group. The government slowly offloaded their proportion of shares in the group and finally in the 2017 they declared that the government completely came out of the investment in the group. From the 2013’s operation the government reduced closely 40% of their stake in the group (Cox, 2017).  Another significant event in the recent time is the fraud case in bank. The purchase of HBOS in the 2009 was the reason of these fraud cases where the bank only made payment for 8 customers. Here the bank found that close to 67 defrauded businesses but the victim group claimed more. Because of these reasons the bank had to pay close to £1 bn in fraud compensation payment (Chapman, 2017). But the situation of 2017 is that the bank has missed the deadline in this regard. Another significant event for the bank in the 2018 is the profitability position of the bank. In the 2017 the bank became fully privatised bank after the government exit. Therefore the current pre taxed profit figure of £5.3 bn is one of the significant business profitability positions since 2006. During this time the profitability of the group grew by 6% to the figure of £18.5bn (Moore, 2018). The better profitability position of the group is been done through some tough business decision making process. One of the decisions is the reducing number of bank branches by 39 numbers in the UK operation. This would make close to 1230 roles redundant in the organisation (Morrison and Chapman, 2018). But at the same time the projection is that the current existing operation would also be able to increase number of job by 925 (Morrison and Chapman, 2018). Therefore the efficiency and profitability position of the business taken care off with higher focus and there some of the hard decision are from the 2011’s operation the organisation has been able to reduce their roles by 90% to improve efficiency  (Morrison and Chapman , 2018). During this time the voluntary redundancy, redeployment and attrition was combined to complete the processes. All of these significant events in the recent past of the Lloyds banking groups operation provide relevance for further evaluation of the organisational performance. </w:t>
      </w:r>
    </w:p>
    <w:p>
      <w:pPr>
        <w:spacing w:before="480" w:after="100" w:line="360"/>
        <w:ind w:right="0" w:left="0" w:firstLine="0"/>
        <w:jc w:val="both"/>
        <w:rPr>
          <w:rFonts w:ascii="Times New Roman" w:hAnsi="Times New Roman" w:cs="Times New Roman" w:eastAsia="Times New Roman"/>
          <w:b/>
          <w:color w:val="622423"/>
          <w:spacing w:val="0"/>
          <w:position w:val="0"/>
          <w:sz w:val="24"/>
          <w:shd w:fill="F2DBDB" w:val="clear"/>
        </w:rPr>
      </w:pPr>
      <w:r>
        <w:rPr>
          <w:rFonts w:ascii="Times New Roman" w:hAnsi="Times New Roman" w:cs="Times New Roman" w:eastAsia="Times New Roman"/>
          <w:b/>
          <w:color w:val="622423"/>
          <w:spacing w:val="0"/>
          <w:position w:val="0"/>
          <w:sz w:val="24"/>
          <w:shd w:fill="F2DBDB" w:val="clear"/>
        </w:rPr>
        <w:t xml:space="preserve">Part b) Lloyds Bank performance analysis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Ratios analysis techniques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Ratios analysis techniques is the most convenient and easiest way to compare companies performance with others organization. Ratios analysis techniques are done within the organization, comparing the organization ratios from different years and analyzing the changes (Madura, 2011). To compare the performance of the organization, through ratios financial managers uses balance sheet, cash flow statement and income statement of the organization. In this section five years ratios analysis techniques is performed between financial years 2013 to financial year 2017. The main ratios analysis techniques includes in this section are; capital adequate ratios, common equity ratios, ROE, ROA, liquidity coverage ratios and asset quality ratios.       </w:t>
      </w:r>
    </w:p>
    <w:p>
      <w:pPr>
        <w:spacing w:before="200" w:after="100" w:line="360"/>
        <w:ind w:right="0" w:left="144" w:firstLine="0"/>
        <w:jc w:val="both"/>
        <w:rPr>
          <w:rFonts w:ascii="Times New Roman" w:hAnsi="Times New Roman" w:cs="Times New Roman" w:eastAsia="Times New Roman"/>
          <w:b/>
          <w:color w:val="943634"/>
          <w:spacing w:val="0"/>
          <w:position w:val="0"/>
          <w:sz w:val="24"/>
          <w:shd w:fill="auto" w:val="clear"/>
        </w:rPr>
      </w:pPr>
      <w:r>
        <w:rPr>
          <w:rFonts w:ascii="Times New Roman" w:hAnsi="Times New Roman" w:cs="Times New Roman" w:eastAsia="Times New Roman"/>
          <w:b/>
          <w:color w:val="943634"/>
          <w:spacing w:val="0"/>
          <w:position w:val="0"/>
          <w:sz w:val="24"/>
          <w:shd w:fill="auto" w:val="clear"/>
        </w:rPr>
        <w:t xml:space="preserve">Ratios analysis for Lloyds bank from FY2013 to FY2017</w:t>
      </w:r>
    </w:p>
    <w:tbl>
      <w:tblPr>
        <w:tblInd w:w="91" w:type="dxa"/>
      </w:tblPr>
      <w:tblGrid>
        <w:gridCol w:w="3760"/>
        <w:gridCol w:w="960"/>
        <w:gridCol w:w="960"/>
        <w:gridCol w:w="1076"/>
        <w:gridCol w:w="1076"/>
        <w:gridCol w:w="1076"/>
      </w:tblGrid>
      <w:tr>
        <w:trPr>
          <w:trHeight w:val="300" w:hRule="auto"/>
          <w:jc w:val="left"/>
        </w:trPr>
        <w:tc>
          <w:tcPr>
            <w:tcW w:w="3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ratios analysis </w:t>
            </w:r>
          </w:p>
        </w:tc>
        <w:tc>
          <w:tcPr>
            <w:tcW w:w="96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2013</w:t>
            </w:r>
          </w:p>
        </w:tc>
        <w:tc>
          <w:tcPr>
            <w:tcW w:w="96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2014</w:t>
            </w:r>
          </w:p>
        </w:tc>
        <w:tc>
          <w:tcPr>
            <w:tcW w:w="1076"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2015</w:t>
            </w:r>
          </w:p>
        </w:tc>
        <w:tc>
          <w:tcPr>
            <w:tcW w:w="1076"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2016</w:t>
            </w:r>
          </w:p>
        </w:tc>
        <w:tc>
          <w:tcPr>
            <w:tcW w:w="1076"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2017</w:t>
            </w:r>
          </w:p>
        </w:tc>
      </w:tr>
      <w:tr>
        <w:trPr>
          <w:trHeight w:val="300" w:hRule="auto"/>
          <w:jc w:val="left"/>
        </w:trPr>
        <w:tc>
          <w:tcPr>
            <w:tcW w:w="3760"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capital adequacy ratio</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14.50%</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16.50%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16.40%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17.00%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17.50%</w:t>
            </w:r>
          </w:p>
        </w:tc>
      </w:tr>
      <w:tr>
        <w:trPr>
          <w:trHeight w:val="300" w:hRule="auto"/>
          <w:jc w:val="left"/>
        </w:trPr>
        <w:tc>
          <w:tcPr>
            <w:tcW w:w="3760"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common equity tier 1 capital ratios </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12%</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1.28%</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13.00%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13.80%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13.90%</w:t>
            </w:r>
          </w:p>
        </w:tc>
      </w:tr>
      <w:tr>
        <w:trPr>
          <w:trHeight w:val="300" w:hRule="auto"/>
          <w:jc w:val="left"/>
        </w:trPr>
        <w:tc>
          <w:tcPr>
            <w:tcW w:w="3760"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ROE</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1.19%</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-2.86%</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2.26%</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1.26%</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3.51%</w:t>
            </w:r>
          </w:p>
        </w:tc>
      </w:tr>
      <w:tr>
        <w:trPr>
          <w:trHeight w:val="300" w:hRule="auto"/>
          <w:jc w:val="left"/>
        </w:trPr>
        <w:tc>
          <w:tcPr>
            <w:tcW w:w="3760"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ROA</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0.06%</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-1.14%</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0.15%</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0.08%</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0.22%</w:t>
            </w:r>
          </w:p>
        </w:tc>
      </w:tr>
      <w:tr>
        <w:trPr>
          <w:trHeight w:val="300" w:hRule="auto"/>
          <w:jc w:val="left"/>
        </w:trPr>
        <w:tc>
          <w:tcPr>
            <w:tcW w:w="3760"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liquidity coverage ratios</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113.00%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121.00%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133.00%</w:t>
            </w:r>
          </w:p>
        </w:tc>
      </w:tr>
      <w:tr>
        <w:trPr>
          <w:trHeight w:val="300" w:hRule="auto"/>
          <w:jc w:val="left"/>
        </w:trPr>
        <w:tc>
          <w:tcPr>
            <w:tcW w:w="3760"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asset quality ratio</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w:t>
            </w:r>
          </w:p>
        </w:tc>
        <w:tc>
          <w:tcPr>
            <w:tcW w:w="96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23.00%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14.00%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15.00%</w:t>
            </w:r>
          </w:p>
        </w:tc>
        <w:tc>
          <w:tcPr>
            <w:tcW w:w="1076"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18.00%</w:t>
            </w:r>
          </w:p>
        </w:tc>
      </w:tr>
    </w:tbl>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Capital adequate ratios techniques are the ratios, implemented by the bank and financial institution, in order to determine the bank’s capital in context to its risks current liabilities and weighted assets. Capital adequate ratios are computed by division of summation of the tier1, tier2, tier 3(known as capital funds) by risk weighed assets. The Basel 111 norms stipulated the values of capital to risks weighed assets of 8% (Allen, 2014). Therefore from the calculation and findings it can be observed that values of the Lloyds banks capital adequate ratios is above than 8% in all years i.e. from 2013 to 2017. Moreover from the findings, it can be seen that values of capital adequate ratios of bank is 14.50% in 2013, where in 2017 its values is 17.50 %( lloydsbankinggroup, 2018). Therefore the observation shows that trend of capital adequate ratios of business is in increasing ordered. Analysing the organization performance with capital adequate ratios it can be said that bank is safe.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Tier 1 capital, according to the Basel, measure financial institutions or bank’s core capital and also helps to measure bank’s financial wealth, its total weighted assets, its core capital relative. According to the Basel 111, minimum values of tier 1 capital ratio is 3%.  From the findings, it can be seen that values of the common equity tier 1 ratios of the organization is in increasing and in 2017, its values is 13.9%, increased 6.89% from previous years. The findings also show that a value of common equity tier 1 ratios is slightly increased from 2015 to 2016i.e. FY2016 13.8%; FY2015 13.0%. This figure indicates that performance of the business is increased and the organization is continuous to generate strong capital for business (Hartlage, (2012). This figure shows that Lloyds also remain one of the strongest as compared to other competitors. On the other hand, it is found that CET1 ratios of the business are improved. Findings from the calculations shows that the organization Lloyds is effectively manage their resources and successfully to manage funds. Analyzing the present performance of the organization, it can be said that depositor is highly assured regarding their money in this bank.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ROE and ROA helps the management to measure bank performance in successful manner. With help of this ratios, management successfully determined that how successfully all assets is measured by the organization (Fridson, &amp; Alvarez, 2011). From the findings it can be seen that organization performance in terms of both ROE and ROA is decreased in year of 2014 as compared to the previous years. Moreover, the findings also indicate that in 2015 and 2017 organization performance in terms of ROE is better as compared to the 2016[FY2015 2.26%, FY2016 1.26%, FY2017 3.51%]. In context to ROA, it is seen that in 2017 it values is 0.22% increased by 6.63% from previous year. In 2017 net income of the organization is £ 17472m incensed by 5% from previous years (FY2016 £16065). Therefore from the findings it can be concluded that, organization performance in ROE and ROA is much better and this indicates that assets are successfully managed by management.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Organization assets quality ratios remains strong and representing organization better risks management strategies. From the findings, it can be seen that values of assets quality ratio of organization Lloyds is 18% in FY2017, whereas in FY2016 it was 15%, Observation also indicates that values of Assets quality ratio of business in 2014 was 23%, but after that performance in terms of assets equality ratios is degreased. But with better management strategies and risks assessment strategies organization assets quality performance is increased in 2017. Therefore this shows that depositor fund is safe in bank.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Liquidity coverage ratios used by management for business obligations fulfilments. It is mainly referred as the higher liquid assets of organization successful fulfil the short term liabilities. Main aim of this ratio is to evaluate the market wide shocks.  Basel 111 regulations established the standard for liquidity coverage ratios. The exposure of the financial institution or bank in foreign exchange is associated dealing, if total consolidated assets are 250billion dollar or more than 10bn dollar (Hartlage, 2012). The business requires establishing this ratio from 60% to 100% from 2014 to 2019. From the findings it can be said that, values of the LCR of organization from 2015 to 2017 are 113%, 121% and 133% respectively. Therefore it can be said that the organization Lloyds bank is comfortable position from starting and successfully able to manage the ratio above than 100%. This highly values of LCR shows that performance of the business is more favourable and business is successfully able to sustain in competitive market above than thirty periods.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Comparison between Lloyds banks Barclays PLC from FY2013 to FY 2017</w:t>
      </w:r>
    </w:p>
    <w:tbl>
      <w:tblPr>
        <w:tblInd w:w="91" w:type="dxa"/>
      </w:tblPr>
      <w:tblGrid>
        <w:gridCol w:w="3164"/>
        <w:gridCol w:w="956"/>
        <w:gridCol w:w="956"/>
        <w:gridCol w:w="1076"/>
        <w:gridCol w:w="1076"/>
        <w:gridCol w:w="1076"/>
      </w:tblGrid>
      <w:tr>
        <w:trPr>
          <w:trHeight w:val="315" w:hRule="auto"/>
          <w:jc w:val="left"/>
        </w:trPr>
        <w:tc>
          <w:tcPr>
            <w:tcW w:w="8304" w:type="dxa"/>
            <w:gridSpan w:val="6"/>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u w:val="single"/>
                <w:shd w:fill="auto" w:val="clear"/>
              </w:rPr>
              <w:t xml:space="preserve">LLOYDS BANKING GROUP PLC</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ratios analysis </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2013</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2014</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2015</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2016</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2017</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capital adequacy ratio</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14.50%</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16.50%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16.40%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17.00%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17.50%</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common equity tier 1 capital ratios </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12%</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1.28%</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13.80%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13.90%</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ROE</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1.19%</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-2.86%</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2.26%</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1.26%</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3.51%</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ROA</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0.06%</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-1.14%</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0.15%</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0.08%</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0.22%</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liquidity coverage ratios</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113.00%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121.00%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133.00%</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asset quality ratio</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23.00%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15.00%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18.00%</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rFonts w:ascii="Calibri" w:hAnsi="Calibri" w:cs="Calibri" w:eastAsia="Calibri"/>
                <w:color w:val="auto"/>
                <w:spacing w:val="0"/>
                <w:position w:val="0"/>
                <w:sz w:val="22"/>
                <w:shd w:fill="auto" w:val="clear"/>
              </w:rPr>
            </w:pPr>
          </w:p>
        </w:tc>
        <w:tc>
          <w:tcPr>
            <w:tcW w:w="95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rFonts w:ascii="Calibri" w:hAnsi="Calibri" w:cs="Calibri" w:eastAsia="Calibri"/>
                <w:color w:val="auto"/>
                <w:spacing w:val="0"/>
                <w:position w:val="0"/>
                <w:sz w:val="22"/>
                <w:shd w:fill="auto" w:val="clear"/>
              </w:rPr>
            </w:pPr>
          </w:p>
        </w:tc>
        <w:tc>
          <w:tcPr>
            <w:tcW w:w="95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rFonts w:ascii="Calibri" w:hAnsi="Calibri" w:cs="Calibri" w:eastAsia="Calibri"/>
                <w:color w:val="auto"/>
                <w:spacing w:val="0"/>
                <w:position w:val="0"/>
                <w:sz w:val="22"/>
                <w:shd w:fill="auto" w:val="clear"/>
              </w:rPr>
            </w:pPr>
          </w:p>
        </w:tc>
        <w:tc>
          <w:tcPr>
            <w:tcW w:w="10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rFonts w:ascii="Calibri" w:hAnsi="Calibri" w:cs="Calibri" w:eastAsia="Calibri"/>
                <w:color w:val="auto"/>
                <w:spacing w:val="0"/>
                <w:position w:val="0"/>
                <w:sz w:val="22"/>
                <w:shd w:fill="auto" w:val="clear"/>
              </w:rPr>
            </w:pPr>
          </w:p>
        </w:tc>
        <w:tc>
          <w:tcPr>
            <w:tcW w:w="10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rFonts w:ascii="Calibri" w:hAnsi="Calibri" w:cs="Calibri" w:eastAsia="Calibri"/>
                <w:color w:val="auto"/>
                <w:spacing w:val="0"/>
                <w:position w:val="0"/>
                <w:sz w:val="22"/>
                <w:shd w:fill="auto" w:val="clear"/>
              </w:rPr>
            </w:pPr>
          </w:p>
        </w:tc>
        <w:tc>
          <w:tcPr>
            <w:tcW w:w="10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rFonts w:ascii="Calibri" w:hAnsi="Calibri" w:cs="Calibri" w:eastAsia="Calibri"/>
                <w:color w:val="auto"/>
                <w:spacing w:val="0"/>
                <w:position w:val="0"/>
                <w:sz w:val="22"/>
                <w:shd w:fill="auto" w:val="clear"/>
              </w:rPr>
            </w:pPr>
          </w:p>
        </w:tc>
      </w:tr>
      <w:tr>
        <w:trPr>
          <w:trHeight w:val="315" w:hRule="auto"/>
          <w:jc w:val="left"/>
        </w:trPr>
        <w:tc>
          <w:tcPr>
            <w:tcW w:w="8304" w:type="dxa"/>
            <w:gridSpan w:val="6"/>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u w:val="single"/>
                <w:shd w:fill="auto" w:val="clear"/>
              </w:rPr>
              <w:t xml:space="preserve">BARCLAYS PLC</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ratios analysis </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2013</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2014</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2015</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2016</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2017</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capital adequacy ratio</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14.6%</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18.4%</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19.3%</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21.5%</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20.3%</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common equity tier 1 capital ratios </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10.30%</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11.40%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12.40%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13.30%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17.50%</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ROE</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1.03</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-0.2</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-0.53</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2.56</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-2.81</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ROA</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0.04</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0.01</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-0.03</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0.13</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-0.17</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liquidity coverage ratios</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138.00%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140.00%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147.00%</w:t>
            </w:r>
          </w:p>
        </w:tc>
      </w:tr>
      <w:tr>
        <w:trPr>
          <w:trHeight w:val="300" w:hRule="auto"/>
          <w:jc w:val="left"/>
        </w:trPr>
        <w:tc>
          <w:tcPr>
            <w:tcW w:w="3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asset quality ratio</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14%</w:t>
            </w:r>
          </w:p>
        </w:tc>
        <w:tc>
          <w:tcPr>
            <w:tcW w:w="9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15.30%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12.20%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13.20%</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17.60%</w:t>
            </w:r>
          </w:p>
        </w:tc>
      </w:tr>
    </w:tbl>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comparison of the performance of Lloyds banking group and Barclays plc, it can be found that capital adequate ratios performance of the organization Barclays is much better than Lloyds banking group plc. In year 2017, Lloyds banking group performance in CAR is 17.50%, whereas its competitors Barclays CAR values is 20.30%; which signifies that in terms of assets management Barclays is performing well (Madura, 2011). On the other hand it can be found that values of common equity tier capital ratios, of Lloyds banking plc is 12%, 1.28%, 13%, 13.08% and 13.9%; whereas its Barclays plc values are 10.30%,11.40%,19.30%,21.50% and 20.30% from 2013 to 2017. According to Basel 111, organization specially banking sectors needs to keep values of CET1 of minimum 4.50% at the end of 2019. In addition to this, it is seen that values of Barclay’s  CET1 ratios is increased by 11.4 %( 2014; 10.3%) driven by a 43.5billion pound deceased in RWAs to 358.4bn pound partial offset by reduced in fully lorded CRD four CET1 capital of 0.7bn pound to 40.7bn pound. Therefore comparison of this value from both organizations, it can be said that both are performing well in market. Findings from CET1, shows that organization Barclays plc provides highly secure of depositors funds as compared to the Lloyds banking plc.  While comprising ROE and ROA, values then it can be said Barclays plc performance in 2017 are -2.81% and -0.17%; whereas, its competitors Lloyds banking performance values are 3.51% and 0.22%. Positive values of ROA and ROE show that Lloyd’s management successfully managed their assets in successful manner and it helps the business to perform in business operations in market in successful manner (Brigham, &amp; Houston, 2012).  Basel 111 stated that organization needs to manage LCR values 60% in 2015, 70%, in 2016, 80% in 2017, 90% in 2018 and 100% in 2019 (Allen, 2014). While comparing these values with LCR’s values of both organizations, it is found that both are performing well and obtained values above than 100% in 2016. Therefore, Barclays plc is comfortable positions as compared to the Lloyds plc.  In terms of assets quality ratios organization Lloyds is performing well as compared to the Lloyds banking plc.  From the findings and evaluation it can be said that both bank performance in terms of CET1 ratio, LCR ratios and CAR ratios are well. While comparing the performance of organization i.e. Lloyds banking plc and Barclays plc, then it is found that Barclays is performing well as compared Lloyds. Higher values of the CET1 ratios of Barclays indicates that, organization successfully able to sustain in crisis; which is better news for its depositors and investors. From the findings, it can be recommend that the organization Lloyds banking plc, needs to implement better management and cost cutting approach in its organization. Moreover, organization needs to also emphasize of optimum utilization of the resources which helps them to manage their assets in successful manner. Apart from that it is recommended that organization needs to implement better risks management strategies which would  helps them to manage their risks in successful manner.              </w:t>
      </w:r>
    </w:p>
    <w:p>
      <w:pPr>
        <w:spacing w:before="200" w:after="100" w:line="360"/>
        <w:ind w:right="0" w:left="144" w:firstLine="0"/>
        <w:jc w:val="both"/>
        <w:rPr>
          <w:rFonts w:ascii="Times New Roman" w:hAnsi="Times New Roman" w:cs="Times New Roman" w:eastAsia="Times New Roman"/>
          <w:b/>
          <w:color w:val="943634"/>
          <w:spacing w:val="0"/>
          <w:position w:val="0"/>
          <w:sz w:val="24"/>
          <w:shd w:fill="auto" w:val="clear"/>
        </w:rPr>
      </w:pPr>
      <w:r>
        <w:rPr>
          <w:rFonts w:ascii="Times New Roman" w:hAnsi="Times New Roman" w:cs="Times New Roman" w:eastAsia="Times New Roman"/>
          <w:b/>
          <w:color w:val="943634"/>
          <w:spacing w:val="0"/>
          <w:position w:val="0"/>
          <w:sz w:val="24"/>
          <w:shd w:fill="auto" w:val="clear"/>
        </w:rPr>
        <w:t xml:space="preserve">Advantage and disadvantage of ratio analysis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some advantages and some limitations of conducting ratio analyses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of ratio analysis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ratio analysis ensures that the financial statements are easily readable. The ratios ensure that the data are in a form which is comparable with the similar data of different companies. The trend analysis is also aided by the use of ratio analysis. The key information that is to be drawn from the entire analysis is focused in the ratio analysis. Thus the ratios can give a clear picture of the condition of the organisation without studying the detail of the bank’s financial analysis (</w:t>
      </w:r>
      <w:r>
        <w:rPr>
          <w:rFonts w:ascii="Times New Roman" w:hAnsi="Times New Roman" w:cs="Times New Roman" w:eastAsia="Times New Roman"/>
          <w:color w:val="auto"/>
          <w:spacing w:val="0"/>
          <w:position w:val="0"/>
          <w:sz w:val="24"/>
          <w:shd w:fill="FFFFFF" w:val="clear"/>
        </w:rPr>
        <w:t xml:space="preserve">Deddens and Petersen 2008</w:t>
      </w:r>
      <w:r>
        <w:rPr>
          <w:rFonts w:ascii="Times New Roman" w:hAnsi="Times New Roman" w:cs="Times New Roman" w:eastAsia="Times New Roman"/>
          <w:color w:val="auto"/>
          <w:spacing w:val="0"/>
          <w:position w:val="0"/>
          <w:sz w:val="24"/>
          <w:shd w:fill="auto" w:val="clear"/>
        </w:rPr>
        <w:t xml:space="preserve">). There are several other advantages of conducting ratio analysis which has made it an integral part of accounting in recent times.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Disadvantages of ratio analysis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limitations of conducting ratio analysis as well. The macro environmental factors of each organisation are different thus only considering some of the financial aspects of the company while making comparison cannot provide the organisation with a wholesome picture. The estimations and assumptions are two common practices in financial accounting. Thus the different accounting standards that are followed in different countries as a result the comparison may turn out to be faulty in nature. However there is increasing efforts that are being made in ensuring that there is uniformity of accounting standards that can be introduced among the financial analyst but it is still not there and hence different countries allow the use of different accountings standards which. The ratio analyses in most of the cases are more stressed on the previous records of the organisation than the future prediction (</w:t>
      </w:r>
      <w:r>
        <w:rPr>
          <w:rFonts w:ascii="Times New Roman" w:hAnsi="Times New Roman" w:cs="Times New Roman" w:eastAsia="Times New Roman"/>
          <w:color w:val="auto"/>
          <w:spacing w:val="0"/>
          <w:position w:val="0"/>
          <w:sz w:val="24"/>
          <w:shd w:fill="FFFFFF" w:val="clear"/>
        </w:rPr>
        <w:t xml:space="preserve">Ross et al. 2008</w:t>
      </w:r>
      <w:r>
        <w:rPr>
          <w:rFonts w:ascii="Times New Roman" w:hAnsi="Times New Roman" w:cs="Times New Roman" w:eastAsia="Times New Roman"/>
          <w:color w:val="auto"/>
          <w:spacing w:val="0"/>
          <w:position w:val="0"/>
          <w:sz w:val="24"/>
          <w:shd w:fill="auto" w:val="clear"/>
        </w:rPr>
        <w:t xml:space="preserve">). But the marketing study is highly stressed on the future of the organisation than in the past. However there is a trend that can be predicted by the ratio analysis that is done of past financial records of the organisations. </w:t>
      </w:r>
    </w:p>
    <w:p>
      <w:pPr>
        <w:spacing w:before="200" w:after="100" w:line="360"/>
        <w:ind w:right="0" w:left="144" w:firstLine="0"/>
        <w:jc w:val="both"/>
        <w:rPr>
          <w:rFonts w:ascii="Times New Roman" w:hAnsi="Times New Roman" w:cs="Times New Roman" w:eastAsia="Times New Roman"/>
          <w:b/>
          <w:color w:val="943634"/>
          <w:spacing w:val="0"/>
          <w:position w:val="0"/>
          <w:sz w:val="24"/>
          <w:shd w:fill="auto" w:val="clear"/>
        </w:rPr>
      </w:pPr>
      <w:r>
        <w:rPr>
          <w:rFonts w:ascii="Times New Roman" w:hAnsi="Times New Roman" w:cs="Times New Roman" w:eastAsia="Times New Roman"/>
          <w:b/>
          <w:color w:val="943634"/>
          <w:spacing w:val="0"/>
          <w:position w:val="0"/>
          <w:sz w:val="24"/>
          <w:shd w:fill="auto" w:val="clear"/>
        </w:rPr>
        <w:t xml:space="preserve">Contemporary issues in banking sector and its impact on Lloyd’s performance in future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economic and political issues that are impacting the banking sector as well as the Lloyd bank. The Brexit is one of the key recent issues that have caused a sense of uncertainty in the banking sector like many other sectors. There has demand for new capital because of regulatory changes. The government has levied an 8 per cent surcharge on the profits of the bank from January 2016 which has impacted the entire banking sector and the Lloyd Bank is no exception. The Brexit has anyways made the banks to reduce the rate of interest to a record low of 25 per cent. This is reducing the profitability of the banks considerably (</w:t>
      </w:r>
      <w:r>
        <w:rPr>
          <w:rFonts w:ascii="Times New Roman" w:hAnsi="Times New Roman" w:cs="Times New Roman" w:eastAsia="Times New Roman"/>
          <w:color w:val="auto"/>
          <w:spacing w:val="0"/>
          <w:position w:val="0"/>
          <w:sz w:val="24"/>
          <w:shd w:fill="FFFFFF" w:val="clear"/>
        </w:rPr>
        <w:t xml:space="preserve">Kolios and Read 2013</w:t>
      </w:r>
      <w:r>
        <w:rPr>
          <w:rFonts w:ascii="Times New Roman" w:hAnsi="Times New Roman" w:cs="Times New Roman" w:eastAsia="Times New Roman"/>
          <w:color w:val="auto"/>
          <w:spacing w:val="0"/>
          <w:position w:val="0"/>
          <w:sz w:val="24"/>
          <w:shd w:fill="auto" w:val="clear"/>
        </w:rPr>
        <w:t xml:space="preserve">). The growth of the entire economy of the country has come to a halt. There are developments in terms of technologies that have impacted the banking sector both in terms of opportunity and threat. Apart from that the Lloyd banking group is fighting lawsuits of 400 million pound.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environment in the banking sector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growth rate for the entire European Union is 2.5 per cent which is a considerable growth rate. The financial environment in UK which is separated from the union appears to be growing as well but at a lesser pace. The current year has recorded the growth to be at the pace of 1 per cent. The stronger grip on the labour market by the European Union and the United States is likely to have an impact in terms of expansion in credit which is going to impact the banking sector. The future cycle of investment is likely to be impacted by the event. The depreciation of pound in such circumstance is likely to impact the banks of the country. The foreign banks will get better chance of investment because of the same reason (</w:t>
      </w:r>
      <w:r>
        <w:rPr>
          <w:rFonts w:ascii="Times New Roman" w:hAnsi="Times New Roman" w:cs="Times New Roman" w:eastAsia="Times New Roman"/>
          <w:color w:val="auto"/>
          <w:spacing w:val="0"/>
          <w:position w:val="0"/>
          <w:sz w:val="24"/>
          <w:shd w:fill="FFFFFF" w:val="clear"/>
        </w:rPr>
        <w:t xml:space="preserve">Dhingra et al. 2016</w:t>
      </w:r>
      <w:r>
        <w:rPr>
          <w:rFonts w:ascii="Times New Roman" w:hAnsi="Times New Roman" w:cs="Times New Roman" w:eastAsia="Times New Roman"/>
          <w:color w:val="auto"/>
          <w:spacing w:val="0"/>
          <w:position w:val="0"/>
          <w:sz w:val="24"/>
          <w:shd w:fill="auto" w:val="clear"/>
        </w:rPr>
        <w:t xml:space="preserve">). The all time low interest rate is predicted to increase over the period of time. Both the fact that the pound has weakened as a currency and the rate of interest is at a position that it is likely to increase suggest foreign investment for better affordability of the currency and the higher rate of interest.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component of the banking sector the Lloyd is also likely to be impacted in similar ways in which the other companies in the banking sector is going to be impacted. The bank is likely to face challenges from the other investment sectors but it is more likely to be able to get more chance to invest.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Security in lending in banking sector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Even though increased chances of investment is a positive news for the banking sector there are certain criteria that has to be kept in mind while investing or the result is likely to be increasing the unsecured credit amount. There is a growing trend in the market of banks in UK that provides unsecured credit. This comes both from the source of credit cards and other methods of credit. The crisis in the year 2008 has created a higher need for investment by the bank which has resulted in a 10 per cent increase in the year 2009 in unsecured bank loans (</w:t>
      </w:r>
      <w:r>
        <w:rPr>
          <w:rFonts w:ascii="Times New Roman" w:hAnsi="Times New Roman" w:cs="Times New Roman" w:eastAsia="Times New Roman"/>
          <w:color w:val="auto"/>
          <w:spacing w:val="0"/>
          <w:position w:val="0"/>
          <w:sz w:val="24"/>
          <w:shd w:fill="FFFFFF" w:val="clear"/>
        </w:rPr>
        <w:t xml:space="preserve">Davydenko and Franks 2008</w:t>
      </w:r>
      <w:r>
        <w:rPr>
          <w:rFonts w:ascii="Times New Roman" w:hAnsi="Times New Roman" w:cs="Times New Roman" w:eastAsia="Times New Roman"/>
          <w:color w:val="auto"/>
          <w:spacing w:val="0"/>
          <w:position w:val="0"/>
          <w:sz w:val="24"/>
          <w:shd w:fill="auto" w:val="clear"/>
        </w:rPr>
        <w:t xml:space="preserve">). In the near future there is likely to be competition in the banking sector because of increased investment opportunity and higher competition as par our analysis of the possible economic condition.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going to impact Lloyd as well as the bank is also offering unsecured loans in terms of personal loan. This is an aspect that has to be taken care by the organisation while higher level of investment opportunity is going to present itself. This can be done by the formation of policies that are to be followed while making an investment.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 that is going to impact the banking sector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have been several changes in the technologies that have impacted the activities of the bank. It is also to be noted that the technological changes has been a key factor in terms of business of the bank. These technological advancements have played a vital role in developing revenue stream for the banking sector. The mobile applications and use by a customer has increased by 354 per cent by the year 2017. The visits of customers to branches of the banks have also been reduced considerably over the period of time. This is the picture of the entire banking sector in UK. the online banking services reduces the cost of providing service to its customers and thus increasing the profit amount and at the same time it also provides the bank with more channels of generating revenue. This is one of the trends that can be seen in the banking sector. There is increase presence of the banks in the social media which is a growing banking trend (</w:t>
      </w:r>
      <w:r>
        <w:rPr>
          <w:rFonts w:ascii="Times New Roman" w:hAnsi="Times New Roman" w:cs="Times New Roman" w:eastAsia="Times New Roman"/>
          <w:color w:val="auto"/>
          <w:spacing w:val="0"/>
          <w:position w:val="0"/>
          <w:sz w:val="24"/>
          <w:shd w:fill="FFFFFF" w:val="clear"/>
        </w:rPr>
        <w:t xml:space="preserve">Dapp et al. 2014</w:t>
      </w:r>
      <w:r>
        <w:rPr>
          <w:rFonts w:ascii="Times New Roman" w:hAnsi="Times New Roman" w:cs="Times New Roman" w:eastAsia="Times New Roman"/>
          <w:color w:val="auto"/>
          <w:spacing w:val="0"/>
          <w:position w:val="0"/>
          <w:sz w:val="24"/>
          <w:shd w:fill="auto" w:val="clear"/>
        </w:rPr>
        <w:t xml:space="preserve">). Along with this increasing online presence there are also higher numbers of cyber crimes or cyber attacks in the world and UK is no exception.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Lloyd bank has taken up several steps in developing its digitisation mission. It has taken up a 3 years plan for the purpose of digitisation. It has invested 3 billion pounds in its digitization venture. But there is much scope for development as the competitors in the market are investing even more in the digital facilities. The Lloyd bank also has to ensure that it increases its social media presence which is going to positively impact the image of the bank after the lawsuit. Silence on the part of the bank can impact its image even further thus better communication is definitely going to provide a positive edge to the bank. The Lloyd bank is also likely to be impacted by these trends. Thus it is important for the organisation to make sure that the cyber security aspect is being focused on by the organisation (</w:t>
      </w:r>
      <w:r>
        <w:rPr>
          <w:rFonts w:ascii="Times New Roman" w:hAnsi="Times New Roman" w:cs="Times New Roman" w:eastAsia="Times New Roman"/>
          <w:color w:val="auto"/>
          <w:spacing w:val="0"/>
          <w:position w:val="0"/>
          <w:sz w:val="24"/>
          <w:shd w:fill="FFFFFF" w:val="clear"/>
        </w:rPr>
        <w:t xml:space="preserve">Cavanaugh et al. 2010</w:t>
      </w:r>
      <w:r>
        <w:rPr>
          <w:rFonts w:ascii="Times New Roman" w:hAnsi="Times New Roman" w:cs="Times New Roman" w:eastAsia="Times New Roman"/>
          <w:color w:val="auto"/>
          <w:spacing w:val="0"/>
          <w:position w:val="0"/>
          <w:sz w:val="24"/>
          <w:shd w:fill="auto" w:val="clear"/>
        </w:rPr>
        <w:t xml:space="preserve">). The 3 billion pound investment has also certain portions that are invested for purchasing cyber security by the bank.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480" w:after="100" w:line="360"/>
        <w:ind w:right="0" w:left="0" w:firstLine="0"/>
        <w:jc w:val="both"/>
        <w:rPr>
          <w:rFonts w:ascii="Times New Roman" w:hAnsi="Times New Roman" w:cs="Times New Roman" w:eastAsia="Times New Roman"/>
          <w:b/>
          <w:color w:val="622423"/>
          <w:spacing w:val="0"/>
          <w:position w:val="0"/>
          <w:sz w:val="24"/>
          <w:shd w:fill="F2DBDB" w:val="clear"/>
        </w:rPr>
      </w:pPr>
      <w:r>
        <w:rPr>
          <w:rFonts w:ascii="Times New Roman" w:hAnsi="Times New Roman" w:cs="Times New Roman" w:eastAsia="Times New Roman"/>
          <w:b/>
          <w:color w:val="622423"/>
          <w:spacing w:val="0"/>
          <w:position w:val="0"/>
          <w:sz w:val="24"/>
          <w:shd w:fill="F2DBDB" w:val="clear"/>
        </w:rPr>
        <w:t xml:space="preserve">Part c) UK Treasury bill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a money market instrument used by the government for their fund generation need. On the other hand for the investors the instrument would provide an approach to earn in risk free manner. This instrument is used by the government for the short term fund requirement purpose.  The treasury bills or the often called as the T bills is a credit requirement fulfilling tool for the government that they can use in open market based operation through proper regulatory process (Ehrmann et al., 2011). The resource for the consolidated fund and the resource for the national loan fund are managed through this instrument. To manage this government has developed an account called (DMO) ‘Debt management office.  This issuance of the T bills as well as the pay back is also done by the DMO.  The figure below provides a picture of the UK T bills market and other risk free returns like the interest rate or the government securities and so on for lat 10 years (alfred.stlouisfed, 2018). the return for the investors has dropped sharply from the 2009 onwards.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8868" w:dyaOrig="4089">
          <v:rect xmlns:o="urn:schemas-microsoft-com:office:office" xmlns:v="urn:schemas-microsoft-com:vml" id="rectole0000000002" style="width:443.400000pt;height:204.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alfred.stlouisfed,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weekly issuance of the T bills is followed in most cases but there are issuances which are done on Ad hoc manner (Ehrmann et al., 2011). The issues are done to the counter parties but here the terms and conditions are decided by the DMO. The main legislative basis of these T bills in the UK market comes from the ‘Treasury bills Act’ which was passed in the year 1877 and later amended in the year 1968 and amended as the ‘Treasury bill regulates’ (dmo.gov.uk, 2018). The National loan funds need funds for the different governmental activity. The job of the HM treasury is to assess the short fall or surpluses and predict the demand so that it can be managed through the T bills like instruments by the DMA. The issuance of the Treasury bills is based on the maturity period. Here the maturity date varies from 1 day to 364 days. The weekly issuances of the Treasury bills are based on the 28 days, 91 days and 182days maturity period (dmo.gov.uk, 2018). The Treasury bills are having the ISIN codes to be identified. Later similar maturity day based bills are merged and a single code is provided for those Treasury bills.  The Treasury bills are used by the investors for the collaterals in the open as well as in the ‘real time gross settlement’ purpose. ‘Delivery by value’ (DBV) considers the Treasury bills as the gilt of trader class type.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zero risk status of the Treasury bills are achieved through the ‘Basal capital accord’ of 1988. The issuance of Treasury bills with minimum denomination is £25k as nominal value. The Treasury bills can be held in the Euroclear and the CMO.  The money market yield is the basis for the issuance of Treasury bills issuance at tenders.  The yields of the Treasury bills are considered at the 3 decimal places. The pricing of the Treasury bills is calculated on the basis of the following formula.</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6762" w:dyaOrig="3077">
          <v:rect xmlns:o="urn:schemas-microsoft-com:office:office" xmlns:v="urn:schemas-microsoft-com:vml" id="rectole0000000003" style="width:338.100000pt;height:153.8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tendering process of the Treasury bills done by DMO and those are held on the final business day of a particular week.  The next announcement for the Treasury bills by the DMO is for the preceding week’s bills maturity and the following week tender size.  One of the requirements of the tendering of Treasury bills by the DMO is for the assistance purpose of Bank of England (dmo.gov.uk, 2018).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issuance of the Treasury bills is done on discount manner. The primary market agents purchase these Treasury bills. In the table followed by this section of report is showing the current primary market participant for the Treasury bills in the UK market (dmo.gov.uk, 2018). The primary market based participant for the Treasury bills the organisations which on their due diligence showed agreement to be part of the tendering bidding process for their investors. The authorities like the PRA or the ‘Prudential Regulation Authority’ and FCA or the ‘Financial Conduct Authority’ are the main regulatory institution for regulating the listed financial organisation who is taking part in the Treasury bills bidding process (dmo.gov.uk, 2018).  The issuance of the Treasury bills is done by mentioning the maturity period and the total value of the bill. Then the bill’s bidding is done on the basis of the discounted value. At the time of selling the bill after the maturity period the initially mentioned value is achieved by the investors (Kidwell et al., 2016).  The difference is the return from the investment. The general public can buy these Treasury bills from the primary participants.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6377" w:dyaOrig="8605">
          <v:rect xmlns:o="urn:schemas-microsoft-com:office:office" xmlns:v="urn:schemas-microsoft-com:vml" id="rectole0000000004" style="width:318.850000pt;height:430.2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dmo.gov.uk,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primary market based participant of the Treasury bills bid for the different types of Treasury bills. One of the common formats is the weekly Treasury bills (Kidwell et al., 2016). These bills are issued on the last financial day of the week. The bills maturity can be 28 days, 91 days, 182 days and 364 days maturity period type. But in the UK Treasury bills market the 364 days maturity Treasury bills does not have any providence. The current market of Treasury bills in UK is limited and shorter term investments are most applied one. This type of Treasury bills is having a minimum purchase of £500000 (dmo.gov.uk, 2018). Then there is the Ad hoc Treasury bill and these are of 1 day to 364 days maturity based. But these bills can have the nonstandard maturity date. The last type of Treasury bills are the bilaterally issued Treasury bills. These are issued on the request of the counter parties for the cash management process.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processing of the Treasury bills bids are done by different approach. The bids are done by the participant on the basis of the yield and maturity. Then the ranking of the bills are done by the DMO on the basis of the DMO selected yield. The highest accepted bid in this list that are below or at the same level as of the DMO yield rate would be accepted one. DMO may not allot the total bill amount as a right. DMO also can scale or reject the allotment. The top accepted yield based bid would have an application of a scaling ratio based on the cut off point.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8868" w:dyaOrig="6094">
          <v:rect xmlns:o="urn:schemas-microsoft-com:office:office" xmlns:v="urn:schemas-microsoft-com:vml" id="rectole0000000005" style="width:443.400000pt;height:304.7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investing,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Treasury bills market in the UK in recent time showed some positive aspect. Since the 2008’s crises the Treasury bills market in the UK for the first time crossed the 0.608% return market for the 92 day maturity bills (investing, 2018). This is significant aspect of the market. In recent time the interest rate in the UK market has been increased from the 0.5% to the 0.75%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Petroff</w:t>
        </w:r>
      </w:hyperlink>
      <w:r>
        <w:rPr>
          <w:rFonts w:ascii="Times New Roman" w:hAnsi="Times New Roman" w:cs="Times New Roman" w:eastAsia="Times New Roman"/>
          <w:color w:val="auto"/>
          <w:spacing w:val="0"/>
          <w:position w:val="0"/>
          <w:sz w:val="24"/>
          <w:shd w:fill="auto" w:val="clear"/>
        </w:rPr>
        <w:t xml:space="preserve">, 2018). That has an impact on the Treasury bills market also. The return for the Treasury bills from the 2010 period onward is at lower level. During these times the interest rate of Uk was close to 0% level for pushing the economic growth. But in the recent times the inflation rate in the market forces this monitory policy tightening through interest rate hike. Apart from these money market type government source investments there are other types of investment destinations like the corporate bonds and stocks (Kacperczyk and Schnabl, 2013). But these are highly risky investment for the investors. One of the significant aspects of the demand of the Treasury bills market is the risk perception of the market. During the financial crises of the 2008 the demand of the Treasury bills or the government bond market is the reflection of those concerns. The current improvement in the yield in the Treasury bills market would attract investors to get risk free types of return which are more generally more than the base interest rate of the market (Krishnamurthy and Vissing-Jorgensen, 2012).  The previous trend of the lower return of the Treasury bills market can also be explained through the demand position of the market. As the demand for the risk free return increased in the market and the quantitative easing were initiated in the market through the government printed money circulation the demand for the safe return also increased which pushed up the Treasury bills demand (Kacperczyk and Schnabl, 2013). The result is the historic lower return of the Treasury bills market in the UK. But in the recent times the hike of interest sucked up some amount of liquidity from the market. This has reduced the easy money in the market. Moreover the inflation rate rising sign is also a sign for the investors to look for other high yield but more risk taking approach to compensate the higher inflation rate in the UK (Krishnamurthy and Vissing-Jorgensen, 2012). this could have resulted in lowering demand in the market and that may have pushed the yield of the Treasury bills in the UK market. But this logic does not explain the still lower return of the Treasury bills compared to the interest rate prevailing in the market. the trend is upward and may equal the interest rate and go beyond. One the explanation of the lower return in the Treasury bills is the economy situation of UK (Pettinger, 2017).  The Brexit like event has caused the economic uncertainty and privet investors are not confident on the risk investments for the time being. The result is that the demand for the risk free investment is high in the market and that may not improve the yield of the Treasury bills significantly in the market.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480" w:after="100" w:line="360"/>
        <w:ind w:right="0" w:left="0" w:firstLine="0"/>
        <w:jc w:val="both"/>
        <w:rPr>
          <w:rFonts w:ascii="Times New Roman" w:hAnsi="Times New Roman" w:cs="Times New Roman" w:eastAsia="Times New Roman"/>
          <w:b/>
          <w:color w:val="622423"/>
          <w:spacing w:val="0"/>
          <w:position w:val="0"/>
          <w:sz w:val="24"/>
          <w:shd w:fill="F2DBDB" w:val="clear"/>
        </w:rPr>
      </w:pPr>
      <w:r>
        <w:rPr>
          <w:rFonts w:ascii="Times New Roman" w:hAnsi="Times New Roman" w:cs="Times New Roman" w:eastAsia="Times New Roman"/>
          <w:b/>
          <w:color w:val="622423"/>
          <w:spacing w:val="0"/>
          <w:position w:val="0"/>
          <w:sz w:val="24"/>
          <w:shd w:fill="F2DBDB" w:val="clear"/>
        </w:rPr>
        <w:t xml:space="preserve">Reference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Cox, J. (2017). Lloyds Bank has confirmed it's no longer owned by the taxpayer. [online] The Independent. Available at: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https://www.independent.co.uk/news/business/news/lloyds-bank-government-cut-stake-zero-taxpayer-bailout-a7739801.html</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Chapman, B. (2017). Lloyds bank misses own deadline to pay compensation to victims of £1bn fraud. [online] The Independent. Available at: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https://www.independent.co.uk/news/business/news/lloyds-bank-compensation-victims-1-billion-fraud-customers-deadline-miss-payments-a7816776.htmltml</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Moore, J. (2018). Lloyds rakes in billions but how much is too much?. [online] The Independent. Available at: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https://www.independent.co.uk/news/business/comment/lloyds-rakes-in-billions-but-how-much-is-too-much-a8220956.html</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Morrison, C., and Chapman , B. (2018). Lloyds Banking group to cut 305 jobs and close 49 branches across UK. [online] The Independent. Available at: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https://www.independent.co.uk/news/business/news/lloyds-banking-group-job-cuts-close-branches-across-uk-a8308721.html</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lloydsbankinggroup. (2018). OUR HISTORY. [online]. Available at: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https://www.lloydsbankinggroup.com/our-group/our-heritage/our-history/#</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alfred.stlouisfed. (2018). Interest Rates, Government Securities, Treasury Bills for United Kingdom. [online]. Available at: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utm_source=series_page</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utm_medium=related_content</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utm_term=related_resources</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r>
          <w:rPr>
            <w:rFonts w:ascii="Times New Roman" w:hAnsi="Times New Roman" w:cs="Times New Roman" w:eastAsia="Times New Roman"/>
            <w:color w:val="0000FF"/>
            <w:spacing w:val="0"/>
            <w:position w:val="0"/>
            <w:sz w:val="24"/>
            <w:u w:val="single"/>
            <w:shd w:fill="auto" w:val="clear"/>
          </w:rPr>
          <w:t xml:space="preserve"> HYPERLINK "https://alfred.stlouisfed.org/series?seid=INTGSTGBM193N&amp;utm_source=series_page&amp;utm_medium=related_content&amp;utm_term=related_resources&amp;utm_campaign=alfred"</w:t>
        </w:r>
        <w:r>
          <w:rPr>
            <w:rFonts w:ascii="Times New Roman" w:hAnsi="Times New Roman" w:cs="Times New Roman" w:eastAsia="Times New Roman"/>
            <w:color w:val="0000FF"/>
            <w:spacing w:val="0"/>
            <w:position w:val="0"/>
            <w:sz w:val="24"/>
            <w:u w:val="single"/>
            <w:shd w:fill="auto" w:val="clear"/>
          </w:rPr>
          <w:t xml:space="preserve">utm_campaign=alfred</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investing. (2018). United Kingdom 3-Month Bond Yield. [online]. Available at: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auto" w:val="clear"/>
          </w:rPr>
          <w:t xml:space="preserve">https://www.investing.com/rates-bonds/uk-3-month-bond-yield</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Petroff</w:t>
        </w:r>
      </w:hyperlink>
      <w:r>
        <w:rPr>
          <w:rFonts w:ascii="Times New Roman" w:hAnsi="Times New Roman" w:cs="Times New Roman" w:eastAsia="Times New Roman"/>
          <w:color w:val="auto"/>
          <w:spacing w:val="0"/>
          <w:position w:val="0"/>
          <w:sz w:val="24"/>
          <w:shd w:fill="auto" w:val="clear"/>
        </w:rPr>
        <w:t xml:space="preserve">, A . (2018). UK hikes interest rates for second time in a decade. [online]. Available at: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auto" w:val="clear"/>
          </w:rPr>
          <w:t xml:space="preserve">https://money.cnn.com/2018/08/02/news/economy/boe-interest-rate-decision/index.html</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Pettinger, T . (2017). UK Bond Yields Explained. [online]. Available at: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auto" w:val="clear"/>
          </w:rPr>
          <w:t xml:space="preserve">https://www.economicshelp.org/blog/5604/economics/uk-bond-yields-explained/</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Krishnamurthy, A., and Vissing-Jorgensen, A. (2012). The aggregate demand for treasury debt. Journal of Political Economy, 120(2), 233-267.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dmo.gov.uk. (2018). Treasury Bills. [online] Available at: </w:t>
      </w:r>
      <w:hyperlink xmlns:r="http://schemas.openxmlformats.org/officeDocument/2006/relationships" r:id="docRId23">
        <w:r>
          <w:rPr>
            <w:rFonts w:ascii="Times New Roman" w:hAnsi="Times New Roman" w:cs="Times New Roman" w:eastAsia="Times New Roman"/>
            <w:color w:val="0000FF"/>
            <w:spacing w:val="0"/>
            <w:position w:val="0"/>
            <w:sz w:val="24"/>
            <w:u w:val="single"/>
            <w:shd w:fill="auto" w:val="clear"/>
          </w:rPr>
          <w:t xml:space="preserve">https://www.dmo.gov.uk/data/treasury-bills/</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Ehrmann, M., Fratzscher, M., and Rigobon, R. (2011). Stocks, bonds, money markets and exchange rates: measuring international financial transmission. Journal of Applied Econometrics, 26(6), 948-974.</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Kidwell, D. S., Blackwell, D. W., Sias, R. W., and Whidbee, D. A. (2016). Financial institutions, markets, and money. John Wiley &amp; Sons.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dmo.gov.uk. (2018). Treasury Bills. [online] Available at: </w:t>
      </w:r>
      <w:hyperlink xmlns:r="http://schemas.openxmlformats.org/officeDocument/2006/relationships" r:id="docRId24">
        <w:r>
          <w:rPr>
            <w:rFonts w:ascii="Times New Roman" w:hAnsi="Times New Roman" w:cs="Times New Roman" w:eastAsia="Times New Roman"/>
            <w:color w:val="0000FF"/>
            <w:spacing w:val="0"/>
            <w:position w:val="0"/>
            <w:sz w:val="24"/>
            <w:u w:val="single"/>
            <w:shd w:fill="auto" w:val="clear"/>
          </w:rPr>
          <w:t xml:space="preserve">https://www.dmo.gov.uk/responsibilities/money-markets/primary-participants/</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Kacperczyk, M., and Schnabl, P. (2013). How safe are money market funds?. The Quarterly Journal of Economics, 128(3), 1073-1122.</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Kolios, A. and Read, G., 2013. A political, economic, social, technology, legal and environmental (PESTLE) approach for risk identification of the tidal industry in the United Kingdom. Energies, 6(10), pp.5023-5045.</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Dapp, T., Slomka, L., AG, D.B. and Hoffmann, R., 2014. Fintech</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The digital (r) evolution in the financial sector.</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Deutsche Bank Research</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Frankfurt am Main.</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Dhingra, S., Ottaviano, G., Sampson, T. and Van Reenen, J., 2016. The impact of Brexit on foreign investment in the UK. BREXIT 2016, 24.</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Davydenko, S.A. and Franks, J.R., 2008. Do bankruptcy codes matter? A study of defaults in France, Germany, and the UK. The Journal of Finance, 63(2), pp.565-608.</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Cavanaugh, G.V., ePlanet United LLC, 2010. System and method for banking. U.S. Patent Application 12/249,694.</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Deddens, J.A. and Petersen, M.R., 2008. Approaches for estimating prevalence ratios. Occupational and environmental medicine, 65(7), pp.501-506.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Ross, S.A., Westerfield, R. and Jordan, B.D., 2008. Fundamentals of corporate finance. Tata McGraw-Hill Education.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Hartlage, A. W. (2012). The Basel III liquidity coverage ratio and financial stability. Michigan Law Review, 453-483.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Allen, W. (2014). Eligibility, bank liquidity, Basel 3, bank credit and macro-prudential policy: History and current issues.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lloydsbankinggroup. (2018). 2017 RESULTS News ReleaseL loyds Banking Group. [online] Available at: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auto" w:val="clear"/>
          </w:rPr>
          <w:t xml:space="preserve">https://www.lloydsbankinggroup.com/globalassets/documents/investors/2017/2017_lbg_fy_results.pdf</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barclays. (2017). Barclays PLC Annual Report 2017. [online] Available at: </w:t>
      </w:r>
      <w:hyperlink xmlns:r="http://schemas.openxmlformats.org/officeDocument/2006/relationships" r:id="docRId26">
        <w:r>
          <w:rPr>
            <w:rFonts w:ascii="Times New Roman" w:hAnsi="Times New Roman" w:cs="Times New Roman" w:eastAsia="Times New Roman"/>
            <w:color w:val="0000FF"/>
            <w:spacing w:val="0"/>
            <w:position w:val="0"/>
            <w:sz w:val="24"/>
            <w:u w:val="single"/>
            <w:shd w:fill="auto" w:val="clear"/>
          </w:rPr>
          <w:t xml:space="preserve">https://www.home.barclays/content/dam/barclayspublic/docs/InvestorRelations/AnnualReports/AR2014/Barclays_PLC_Annual_Report_%202014.pdf</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lloydsbankinggroup. (2016). Lloyds Banking Group Annual Report and Accounts 2016. [online] Available at: </w:t>
      </w:r>
      <w:hyperlink xmlns:r="http://schemas.openxmlformats.org/officeDocument/2006/relationships" r:id="docRId27">
        <w:r>
          <w:rPr>
            <w:rFonts w:ascii="Times New Roman" w:hAnsi="Times New Roman" w:cs="Times New Roman" w:eastAsia="Times New Roman"/>
            <w:color w:val="0000FF"/>
            <w:spacing w:val="0"/>
            <w:position w:val="0"/>
            <w:sz w:val="24"/>
            <w:u w:val="single"/>
            <w:shd w:fill="auto" w:val="clear"/>
          </w:rPr>
          <w:t xml:space="preserve">https://www.lloydsbankinggroup.com/globalassets/documents/investors/2016/2016_lbg_annual_report_v2.pdf</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lloydsbankinggroup. (2017). Lloyds Banking Group Annual Report and Accounts 2017. [online] Available at: </w:t>
      </w:r>
      <w:hyperlink xmlns:r="http://schemas.openxmlformats.org/officeDocument/2006/relationships" r:id="docRId28">
        <w:r>
          <w:rPr>
            <w:rFonts w:ascii="Times New Roman" w:hAnsi="Times New Roman" w:cs="Times New Roman" w:eastAsia="Times New Roman"/>
            <w:color w:val="0000FF"/>
            <w:spacing w:val="0"/>
            <w:position w:val="0"/>
            <w:sz w:val="24"/>
            <w:u w:val="single"/>
            <w:shd w:fill="auto" w:val="clear"/>
          </w:rPr>
          <w:t xml:space="preserve">https://www.lloydsbankinggroup.com/globalassets/documents/investors/2017/2017_lbg_annual_report_v3.pdf</w:t>
        </w:r>
      </w:hyperlink>
      <w:r>
        <w:rPr>
          <w:rFonts w:ascii="Times New Roman" w:hAnsi="Times New Roman" w:cs="Times New Roman" w:eastAsia="Times New Roman"/>
          <w:color w:val="auto"/>
          <w:spacing w:val="0"/>
          <w:position w:val="0"/>
          <w:sz w:val="24"/>
          <w:shd w:fill="auto" w:val="clear"/>
        </w:rPr>
        <w:t xml:space="preserve"> [Accessed 17 Aug.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Madura, J. (2011). International financial management. Cengage Learning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Fridson, M. S., &amp; Alvarez, F. (2011). Financial statement analysis: a practitioner's guide (Vol. 597). John Wiley &amp; Sons.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Brigham, E. F., &amp; Houston, J. F. (2012). Fundamentals of financial management. Cengage Learning.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lloydsbankinggroup.com/our-group/our-heritage/our-history/#" Id="docRId17" Type="http://schemas.openxmlformats.org/officeDocument/2006/relationships/hyperlink" /><Relationship TargetMode="External" Target="https://www.dmo.gov.uk/responsibilities/money-markets/primary-participants/" Id="docRId24" Type="http://schemas.openxmlformats.org/officeDocument/2006/relationships/hyperlink" /><Relationship Target="media/image3.wmf" Id="docRId7" Type="http://schemas.openxmlformats.org/officeDocument/2006/relationships/image" /><Relationship TargetMode="External" Target="https://www.independent.co.uk/news/business/news/lloyds-bank-compensation-victims-1-billion-fraud-customers-deadline-miss-payments-a7816776.htmltml" Id="docRId14" Type="http://schemas.openxmlformats.org/officeDocument/2006/relationships/hyperlink" /><Relationship TargetMode="External" Target="https://www.dmo.gov.uk/data/treasury-bills/" Id="docRId23"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www.independent.co.uk/news/business/comment/lloyds-rakes-in-billions-but-how-much-is-too-much-a8220956.html" Id="docRId15" Type="http://schemas.openxmlformats.org/officeDocument/2006/relationships/hyperlink" /><Relationship TargetMode="External" Target="https://www.economicshelp.org/blog/5604/economics/uk-bond-yields-explained/" Id="docRId22" Type="http://schemas.openxmlformats.org/officeDocument/2006/relationships/hyperlink"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cnn.com/profiles/alanna-petroff" Id="docRId12" Type="http://schemas.openxmlformats.org/officeDocument/2006/relationships/hyperlink" /><Relationship TargetMode="External" Target="https://money.cnn.com/2018/08/02/news/economy/boe-interest-rate-decision/index.html" Id="docRId21" Type="http://schemas.openxmlformats.org/officeDocument/2006/relationships/hyperlink" /><Relationship Target="numbering.xml" Id="docRId29" Type="http://schemas.openxmlformats.org/officeDocument/2006/relationships/numbering" /><Relationship Target="embeddings/oleObject4.bin" Id="docRId8" Type="http://schemas.openxmlformats.org/officeDocument/2006/relationships/oleObject" /><Relationship TargetMode="External" Target="https://www.independent.co.uk/news/business/news/lloyds-bank-government-cut-stake-zero-taxpayer-bailout-a7739801.html" Id="docRId13" Type="http://schemas.openxmlformats.org/officeDocument/2006/relationships/hyperlink" /><Relationship TargetMode="External" Target="https://www.cnn.com/profiles/alanna-petroff" Id="docRId20" Type="http://schemas.openxmlformats.org/officeDocument/2006/relationships/hyperlink" /><Relationship TargetMode="External" Target="https://www.lloydsbankinggroup.com/globalassets/documents/investors/2017/2017_lbg_annual_report_v3.pdf" Id="docRId28" Type="http://schemas.openxmlformats.org/officeDocument/2006/relationships/hyperlink" /><Relationship Target="media/image1.wmf" Id="docRId3" Type="http://schemas.openxmlformats.org/officeDocument/2006/relationships/image" /><Relationship Target="embeddings/oleObject5.bin" Id="docRId10" Type="http://schemas.openxmlformats.org/officeDocument/2006/relationships/oleObject" /><Relationship TargetMode="External" Target="https://alfred.stlouisfed.org/series?seid=INTGSTGBM193N&amp;utm_source=series_page&amp;utm_medium=related_content&amp;utm_term=related_resources&amp;utm_campaign=alfred" Id="docRId18" Type="http://schemas.openxmlformats.org/officeDocument/2006/relationships/hyperlink" /><Relationship Target="embeddings/oleObject1.bin" Id="docRId2" Type="http://schemas.openxmlformats.org/officeDocument/2006/relationships/oleObject" /><Relationship TargetMode="External" Target="https://www.lloydsbankinggroup.com/globalassets/documents/investors/2016/2016_lbg_annual_report_v2.pdf" Id="docRId27" Type="http://schemas.openxmlformats.org/officeDocument/2006/relationships/hyperlink" /><Relationship Target="styles.xml" Id="docRId30" Type="http://schemas.openxmlformats.org/officeDocument/2006/relationships/styles" /><Relationship Target="media/image5.wmf" Id="docRId11" Type="http://schemas.openxmlformats.org/officeDocument/2006/relationships/image" /><Relationship TargetMode="External" Target="https://www.investing.com/rates-bonds/uk-3-month-bond-yield" Id="docRId19" Type="http://schemas.openxmlformats.org/officeDocument/2006/relationships/hyperlink" /><Relationship TargetMode="External" Target="https://www.home.barclays/content/dam/barclayspublic/docs/InvestorRelations/AnnualReports/AR2014/Barclays_PLC_Annual_Report_%202014.pdf" Id="docRId26" Type="http://schemas.openxmlformats.org/officeDocument/2006/relationships/hyperlink" /><Relationship Target="media/image2.wmf" Id="docRId5" Type="http://schemas.openxmlformats.org/officeDocument/2006/relationships/image" /><Relationship TargetMode="External" Target="https://www.independent.co.uk/news/business/news/lloyds-banking-group-job-cuts-close-branches-across-uk-a8308721.html" Id="docRId16" Type="http://schemas.openxmlformats.org/officeDocument/2006/relationships/hyperlink" /><Relationship TargetMode="External" Target="https://www.lloydsbankinggroup.com/globalassets/documents/investors/2017/2017_lbg_fy_results.pdf" Id="docRId25" Type="http://schemas.openxmlformats.org/officeDocument/2006/relationships/hyperlink" /><Relationship Target="embeddings/oleObject2.bin" Id="docRId4" Type="http://schemas.openxmlformats.org/officeDocument/2006/relationships/oleObject" /></Relationships>
</file>