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462DD" w14:textId="77777777" w:rsidR="00D2447B" w:rsidRPr="0038285D" w:rsidRDefault="00D2447B" w:rsidP="00D2447B">
      <w:pPr>
        <w:rPr>
          <w:rFonts w:ascii="Aptos Display" w:hAnsi="Aptos Display" w:cs="Arial"/>
          <w:b/>
          <w:bCs/>
          <w:sz w:val="26"/>
          <w:szCs w:val="26"/>
        </w:rPr>
      </w:pPr>
      <w:r w:rsidRPr="0038285D">
        <w:rPr>
          <w:rFonts w:ascii="Aptos Display" w:hAnsi="Aptos Display" w:cs="Arial"/>
          <w:b/>
          <w:bCs/>
          <w:sz w:val="26"/>
          <w:szCs w:val="26"/>
        </w:rPr>
        <w:t xml:space="preserve">CIPD Level 5 </w:t>
      </w:r>
    </w:p>
    <w:p w14:paraId="16A187A3" w14:textId="77777777" w:rsidR="00D2447B" w:rsidRPr="0038285D" w:rsidRDefault="00D2447B" w:rsidP="00D2447B">
      <w:pPr>
        <w:rPr>
          <w:rFonts w:ascii="Aptos Display" w:hAnsi="Aptos Display" w:cs="Arial"/>
          <w:b/>
          <w:bCs/>
          <w:sz w:val="26"/>
          <w:szCs w:val="26"/>
        </w:rPr>
      </w:pPr>
      <w:r w:rsidRPr="0038285D">
        <w:rPr>
          <w:rFonts w:ascii="Aptos Display" w:hAnsi="Aptos Display" w:cs="Arial"/>
          <w:b/>
          <w:bCs/>
          <w:sz w:val="26"/>
          <w:szCs w:val="26"/>
        </w:rPr>
        <w:t>Laura Luff</w:t>
      </w:r>
    </w:p>
    <w:p w14:paraId="4DDD3967" w14:textId="77777777" w:rsidR="00D2447B" w:rsidRPr="0038285D" w:rsidRDefault="00D2447B" w:rsidP="00D2447B">
      <w:pPr>
        <w:rPr>
          <w:rFonts w:ascii="Aptos Display" w:hAnsi="Aptos Display" w:cs="Arial"/>
          <w:b/>
          <w:bCs/>
          <w:sz w:val="26"/>
          <w:szCs w:val="26"/>
        </w:rPr>
      </w:pPr>
      <w:r w:rsidRPr="0038285D">
        <w:rPr>
          <w:rFonts w:ascii="Aptos Display" w:hAnsi="Aptos Display" w:cs="Arial"/>
          <w:b/>
          <w:bCs/>
          <w:sz w:val="26"/>
          <w:szCs w:val="26"/>
        </w:rPr>
        <w:t>Student Number 2513091</w:t>
      </w:r>
    </w:p>
    <w:p w14:paraId="3AEFFF4E" w14:textId="77777777" w:rsidR="00D2447B" w:rsidRPr="0038285D" w:rsidRDefault="00D2447B" w:rsidP="00D2447B">
      <w:pPr>
        <w:rPr>
          <w:rFonts w:ascii="Aptos Display" w:hAnsi="Aptos Display" w:cs="Arial"/>
          <w:b/>
          <w:bCs/>
          <w:sz w:val="26"/>
          <w:szCs w:val="26"/>
        </w:rPr>
      </w:pPr>
      <w:r w:rsidRPr="0038285D">
        <w:rPr>
          <w:rFonts w:ascii="Aptos Display" w:hAnsi="Aptos Display" w:cs="Arial"/>
          <w:b/>
          <w:bCs/>
          <w:sz w:val="26"/>
          <w:szCs w:val="26"/>
        </w:rPr>
        <w:t>Cohort 12</w:t>
      </w:r>
    </w:p>
    <w:p w14:paraId="242239D7" w14:textId="347C28E4" w:rsidR="00D2447B" w:rsidRPr="0038285D" w:rsidRDefault="0038285D" w:rsidP="00D2447B">
      <w:pPr>
        <w:rPr>
          <w:rFonts w:ascii="Aptos Display" w:hAnsi="Aptos Display" w:cs="Arial"/>
          <w:b/>
          <w:bCs/>
          <w:sz w:val="26"/>
          <w:szCs w:val="26"/>
        </w:rPr>
      </w:pPr>
      <w:r w:rsidRPr="0038285D">
        <w:rPr>
          <w:rFonts w:ascii="Aptos Display" w:hAnsi="Aptos Display"/>
          <w:b/>
          <w:bCs/>
          <w:sz w:val="26"/>
          <w:szCs w:val="26"/>
          <w:u w:color="004147"/>
          <w:lang w:val="en-US"/>
        </w:rPr>
        <w:t xml:space="preserve">5OS01 </w:t>
      </w:r>
      <w:r w:rsidRPr="0038285D">
        <w:rPr>
          <w:rFonts w:ascii="Aptos Display" w:eastAsia="Trebuchet MS" w:hAnsi="Aptos Display" w:cs="Trebuchet MS"/>
          <w:b/>
          <w:bCs/>
          <w:sz w:val="26"/>
          <w:szCs w:val="26"/>
          <w:u w:color="004147"/>
          <w:lang w:val="en-US"/>
        </w:rPr>
        <w:br/>
      </w:r>
      <w:r w:rsidRPr="0038285D">
        <w:rPr>
          <w:rFonts w:ascii="Aptos Display" w:hAnsi="Aptos Display"/>
          <w:b/>
          <w:bCs/>
          <w:sz w:val="26"/>
          <w:szCs w:val="26"/>
          <w:u w:color="004147"/>
          <w:lang w:val="en-US"/>
        </w:rPr>
        <w:t>Specialist employment law</w:t>
      </w:r>
      <w:r w:rsidRPr="0038285D">
        <w:rPr>
          <w:rFonts w:ascii="Aptos Display" w:hAnsi="Aptos Display" w:cs="Arial"/>
          <w:b/>
          <w:bCs/>
          <w:sz w:val="26"/>
          <w:szCs w:val="26"/>
        </w:rPr>
        <w:t xml:space="preserve"> </w:t>
      </w:r>
    </w:p>
    <w:p w14:paraId="5011B32A" w14:textId="7B7A12A2" w:rsidR="00D2447B" w:rsidRPr="0038285D" w:rsidRDefault="00D2447B" w:rsidP="00D2447B">
      <w:pPr>
        <w:rPr>
          <w:rFonts w:ascii="Aptos Display" w:hAnsi="Aptos Display" w:cs="Arial"/>
          <w:b/>
          <w:bCs/>
          <w:sz w:val="26"/>
          <w:szCs w:val="26"/>
        </w:rPr>
      </w:pPr>
      <w:r w:rsidRPr="0038285D">
        <w:rPr>
          <w:rFonts w:ascii="Aptos Display" w:hAnsi="Aptos Display" w:cs="Arial"/>
          <w:b/>
          <w:bCs/>
          <w:sz w:val="26"/>
          <w:szCs w:val="26"/>
        </w:rPr>
        <w:t xml:space="preserve">Word Count: </w:t>
      </w:r>
      <w:r w:rsidR="003D1A00" w:rsidRPr="0038285D">
        <w:rPr>
          <w:rFonts w:ascii="Aptos Display" w:hAnsi="Aptos Display" w:cs="Arial"/>
          <w:b/>
          <w:bCs/>
          <w:sz w:val="26"/>
          <w:szCs w:val="26"/>
        </w:rPr>
        <w:t>4124</w:t>
      </w:r>
    </w:p>
    <w:p w14:paraId="4CB34ADF" w14:textId="77777777" w:rsidR="008F667E" w:rsidRDefault="008F667E" w:rsidP="00891701">
      <w:pPr>
        <w:pStyle w:val="NormalWeb"/>
        <w:rPr>
          <w:rFonts w:ascii="Aptos Display" w:hAnsi="Aptos Display"/>
          <w:b/>
          <w:bCs/>
          <w:sz w:val="26"/>
          <w:szCs w:val="26"/>
        </w:rPr>
      </w:pPr>
    </w:p>
    <w:p w14:paraId="235EE32F" w14:textId="77777777" w:rsidR="008F667E" w:rsidRDefault="008F667E" w:rsidP="00891701">
      <w:pPr>
        <w:pStyle w:val="NormalWeb"/>
        <w:rPr>
          <w:rFonts w:ascii="Aptos Display" w:hAnsi="Aptos Display"/>
          <w:b/>
          <w:bCs/>
          <w:sz w:val="26"/>
          <w:szCs w:val="26"/>
        </w:rPr>
      </w:pPr>
    </w:p>
    <w:p w14:paraId="10A767BE" w14:textId="77777777" w:rsidR="008F667E" w:rsidRDefault="008F667E" w:rsidP="00891701">
      <w:pPr>
        <w:pStyle w:val="NormalWeb"/>
        <w:rPr>
          <w:rFonts w:ascii="Aptos Display" w:hAnsi="Aptos Display"/>
          <w:b/>
          <w:bCs/>
          <w:sz w:val="26"/>
          <w:szCs w:val="26"/>
        </w:rPr>
      </w:pPr>
    </w:p>
    <w:p w14:paraId="1876E26B" w14:textId="77777777" w:rsidR="008F667E" w:rsidRDefault="008F667E" w:rsidP="00891701">
      <w:pPr>
        <w:pStyle w:val="NormalWeb"/>
        <w:rPr>
          <w:rFonts w:ascii="Aptos Display" w:hAnsi="Aptos Display"/>
          <w:b/>
          <w:bCs/>
          <w:sz w:val="26"/>
          <w:szCs w:val="26"/>
        </w:rPr>
      </w:pPr>
    </w:p>
    <w:p w14:paraId="50A9B13F" w14:textId="77777777" w:rsidR="008F667E" w:rsidRDefault="008F667E" w:rsidP="00891701">
      <w:pPr>
        <w:pStyle w:val="NormalWeb"/>
        <w:rPr>
          <w:rFonts w:ascii="Aptos Display" w:hAnsi="Aptos Display"/>
          <w:b/>
          <w:bCs/>
          <w:sz w:val="26"/>
          <w:szCs w:val="26"/>
        </w:rPr>
      </w:pPr>
    </w:p>
    <w:p w14:paraId="6E0B11FF" w14:textId="77777777" w:rsidR="008F667E" w:rsidRDefault="008F667E" w:rsidP="00891701">
      <w:pPr>
        <w:pStyle w:val="NormalWeb"/>
        <w:rPr>
          <w:rFonts w:ascii="Aptos Display" w:hAnsi="Aptos Display"/>
          <w:b/>
          <w:bCs/>
          <w:sz w:val="26"/>
          <w:szCs w:val="26"/>
        </w:rPr>
      </w:pPr>
    </w:p>
    <w:p w14:paraId="55629F5F" w14:textId="77777777" w:rsidR="008F667E" w:rsidRDefault="008F667E" w:rsidP="00891701">
      <w:pPr>
        <w:pStyle w:val="NormalWeb"/>
        <w:rPr>
          <w:rFonts w:ascii="Aptos Display" w:hAnsi="Aptos Display"/>
          <w:b/>
          <w:bCs/>
          <w:sz w:val="26"/>
          <w:szCs w:val="26"/>
        </w:rPr>
      </w:pPr>
    </w:p>
    <w:p w14:paraId="7706A0D6" w14:textId="77777777" w:rsidR="008F667E" w:rsidRDefault="008F667E" w:rsidP="00891701">
      <w:pPr>
        <w:pStyle w:val="NormalWeb"/>
        <w:rPr>
          <w:rFonts w:ascii="Aptos Display" w:hAnsi="Aptos Display"/>
          <w:b/>
          <w:bCs/>
          <w:sz w:val="26"/>
          <w:szCs w:val="26"/>
        </w:rPr>
      </w:pPr>
    </w:p>
    <w:p w14:paraId="5F6D707F" w14:textId="77777777" w:rsidR="008F667E" w:rsidRDefault="008F667E" w:rsidP="00891701">
      <w:pPr>
        <w:pStyle w:val="NormalWeb"/>
        <w:rPr>
          <w:rFonts w:ascii="Aptos Display" w:hAnsi="Aptos Display"/>
          <w:b/>
          <w:bCs/>
          <w:sz w:val="26"/>
          <w:szCs w:val="26"/>
        </w:rPr>
      </w:pPr>
    </w:p>
    <w:p w14:paraId="7A7F0D57" w14:textId="77777777" w:rsidR="008F667E" w:rsidRDefault="008F667E" w:rsidP="00891701">
      <w:pPr>
        <w:pStyle w:val="NormalWeb"/>
        <w:rPr>
          <w:rFonts w:ascii="Aptos Display" w:hAnsi="Aptos Display"/>
          <w:b/>
          <w:bCs/>
          <w:sz w:val="26"/>
          <w:szCs w:val="26"/>
        </w:rPr>
      </w:pPr>
    </w:p>
    <w:p w14:paraId="7F962241" w14:textId="77777777" w:rsidR="008F667E" w:rsidRDefault="008F667E" w:rsidP="00891701">
      <w:pPr>
        <w:pStyle w:val="NormalWeb"/>
        <w:rPr>
          <w:rFonts w:ascii="Aptos Display" w:hAnsi="Aptos Display"/>
          <w:b/>
          <w:bCs/>
          <w:sz w:val="26"/>
          <w:szCs w:val="26"/>
        </w:rPr>
      </w:pPr>
    </w:p>
    <w:p w14:paraId="339D0881" w14:textId="77777777" w:rsidR="008F667E" w:rsidRDefault="008F667E" w:rsidP="00891701">
      <w:pPr>
        <w:pStyle w:val="NormalWeb"/>
        <w:rPr>
          <w:rFonts w:ascii="Aptos Display" w:hAnsi="Aptos Display"/>
          <w:b/>
          <w:bCs/>
          <w:sz w:val="26"/>
          <w:szCs w:val="26"/>
        </w:rPr>
      </w:pPr>
    </w:p>
    <w:p w14:paraId="260B952A" w14:textId="77777777" w:rsidR="008F667E" w:rsidRDefault="008F667E" w:rsidP="00891701">
      <w:pPr>
        <w:pStyle w:val="NormalWeb"/>
        <w:rPr>
          <w:rFonts w:ascii="Aptos Display" w:hAnsi="Aptos Display"/>
          <w:b/>
          <w:bCs/>
          <w:sz w:val="26"/>
          <w:szCs w:val="26"/>
        </w:rPr>
      </w:pPr>
    </w:p>
    <w:p w14:paraId="5D6B77F9" w14:textId="77777777" w:rsidR="008F667E" w:rsidRDefault="008F667E" w:rsidP="00891701">
      <w:pPr>
        <w:pStyle w:val="NormalWeb"/>
        <w:rPr>
          <w:rFonts w:ascii="Aptos Display" w:hAnsi="Aptos Display"/>
          <w:b/>
          <w:bCs/>
          <w:sz w:val="26"/>
          <w:szCs w:val="26"/>
        </w:rPr>
      </w:pPr>
    </w:p>
    <w:p w14:paraId="676A0A8C" w14:textId="77777777" w:rsidR="008F667E" w:rsidRDefault="008F667E" w:rsidP="00891701">
      <w:pPr>
        <w:pStyle w:val="NormalWeb"/>
        <w:rPr>
          <w:rFonts w:ascii="Aptos Display" w:hAnsi="Aptos Display"/>
          <w:b/>
          <w:bCs/>
          <w:sz w:val="26"/>
          <w:szCs w:val="26"/>
        </w:rPr>
      </w:pPr>
    </w:p>
    <w:p w14:paraId="70A11F43" w14:textId="77777777" w:rsidR="008F667E" w:rsidRDefault="008F667E" w:rsidP="00891701">
      <w:pPr>
        <w:pStyle w:val="NormalWeb"/>
        <w:rPr>
          <w:rFonts w:ascii="Aptos Display" w:hAnsi="Aptos Display"/>
          <w:b/>
          <w:bCs/>
          <w:sz w:val="26"/>
          <w:szCs w:val="26"/>
        </w:rPr>
      </w:pPr>
    </w:p>
    <w:p w14:paraId="18F4608B" w14:textId="77777777" w:rsidR="009A14B3" w:rsidRDefault="009A14B3" w:rsidP="00891701">
      <w:pPr>
        <w:pStyle w:val="NormalWeb"/>
        <w:rPr>
          <w:rFonts w:ascii="Aptos Display" w:hAnsi="Aptos Display"/>
          <w:b/>
          <w:bCs/>
          <w:sz w:val="26"/>
          <w:szCs w:val="26"/>
        </w:rPr>
      </w:pPr>
    </w:p>
    <w:p w14:paraId="4FC73EC8" w14:textId="34C23191" w:rsidR="00891701" w:rsidRPr="0038285D" w:rsidRDefault="00891701" w:rsidP="00891701">
      <w:pPr>
        <w:pStyle w:val="NormalWeb"/>
        <w:rPr>
          <w:rFonts w:ascii="Aptos Display" w:hAnsi="Aptos Display"/>
          <w:sz w:val="26"/>
          <w:szCs w:val="26"/>
        </w:rPr>
      </w:pPr>
      <w:r w:rsidRPr="0038285D">
        <w:rPr>
          <w:rFonts w:ascii="Aptos Display" w:hAnsi="Aptos Display"/>
          <w:b/>
          <w:bCs/>
          <w:sz w:val="26"/>
          <w:szCs w:val="26"/>
        </w:rPr>
        <w:lastRenderedPageBreak/>
        <w:t>AC 1.1</w:t>
      </w:r>
      <w:r w:rsidRPr="0038285D">
        <w:rPr>
          <w:rFonts w:ascii="Aptos Display" w:hAnsi="Aptos Display"/>
          <w:sz w:val="26"/>
          <w:szCs w:val="26"/>
        </w:rPr>
        <w:br/>
      </w:r>
      <w:r w:rsidRPr="0038285D">
        <w:rPr>
          <w:rFonts w:ascii="Aptos Display" w:hAnsi="Aptos Display"/>
          <w:sz w:val="26"/>
          <w:szCs w:val="26"/>
        </w:rPr>
        <w:br/>
        <w:t>I appreciate your concerns regarding the time spent on employment regulation, particularly where this may reduce opportunities to focus on improving employee experience within the Trust. However, employment regulation is essential for supporting both employees and employers and ensuring organisations operate fairly and effectively.</w:t>
      </w:r>
      <w:r w:rsidR="0066760F" w:rsidRPr="0038285D">
        <w:rPr>
          <w:rFonts w:ascii="Aptos Display" w:hAnsi="Aptos Display"/>
          <w:sz w:val="26"/>
          <w:szCs w:val="26"/>
        </w:rPr>
        <w:br/>
      </w:r>
      <w:r w:rsidRPr="0038285D">
        <w:rPr>
          <w:rFonts w:ascii="Aptos Display" w:hAnsi="Aptos Display"/>
          <w:sz w:val="26"/>
          <w:szCs w:val="26"/>
        </w:rPr>
        <w:t>Employment law sets minimum workplace standards covering areas such as pay, equality, working hours, family leave, dismissal, and health and safety. These protections help prevent discrimination, unsafe conditions, and unfair treatment, creating a safer and more inclusive workplace.</w:t>
      </w:r>
      <w:r w:rsidR="0066760F" w:rsidRPr="0038285D">
        <w:rPr>
          <w:rFonts w:ascii="Aptos Display" w:hAnsi="Aptos Display"/>
          <w:sz w:val="26"/>
          <w:szCs w:val="26"/>
        </w:rPr>
        <w:br/>
      </w:r>
      <w:r w:rsidRPr="0038285D">
        <w:rPr>
          <w:rFonts w:ascii="Aptos Display" w:hAnsi="Aptos Display"/>
          <w:sz w:val="26"/>
          <w:szCs w:val="26"/>
        </w:rPr>
        <w:t>It also provides organisations with clear processes for recruitment, disciplinary action, grievances, redundancy, and dismissal. While compliance can be time-consuming, it helps reduce the risk of tribunals, financial penalties, reputational damage, and employee relations issues.</w:t>
      </w:r>
      <w:r w:rsidR="0066760F" w:rsidRPr="0038285D">
        <w:rPr>
          <w:rFonts w:ascii="Aptos Display" w:hAnsi="Aptos Display"/>
          <w:sz w:val="26"/>
          <w:szCs w:val="26"/>
        </w:rPr>
        <w:br/>
      </w:r>
      <w:r w:rsidRPr="0038285D">
        <w:rPr>
          <w:rFonts w:ascii="Aptos Display" w:hAnsi="Aptos Display"/>
          <w:sz w:val="26"/>
          <w:szCs w:val="26"/>
        </w:rPr>
        <w:t>Employment legislation also supports wellbeing and organisational performance. Employees are more likely to feel engaged and motivated when treated fairly and consistently. Equality and health and safety laws help promote inclusion and protect wellbeing, meaning regulation often improves employee experience rather than detracting from it.</w:t>
      </w:r>
      <w:r w:rsidR="0066760F" w:rsidRPr="0038285D">
        <w:rPr>
          <w:rFonts w:ascii="Aptos Display" w:hAnsi="Aptos Display"/>
          <w:sz w:val="26"/>
          <w:szCs w:val="26"/>
        </w:rPr>
        <w:br/>
      </w:r>
      <w:r w:rsidRPr="0038285D">
        <w:rPr>
          <w:rFonts w:ascii="Aptos Display" w:hAnsi="Aptos Display"/>
          <w:sz w:val="26"/>
          <w:szCs w:val="26"/>
        </w:rPr>
        <w:t>Furthermore, as a Trust, maintaining compliance with employment law is particularly important due to public accountability and ethical responsibilities. Demonstrating fair and lawful employment practices helps build trust with employees, trade unions, service users and regulators.</w:t>
      </w:r>
      <w:r w:rsidR="0066760F" w:rsidRPr="0038285D">
        <w:rPr>
          <w:rFonts w:ascii="Aptos Display" w:hAnsi="Aptos Display"/>
          <w:sz w:val="26"/>
          <w:szCs w:val="26"/>
        </w:rPr>
        <w:br/>
      </w:r>
      <w:r w:rsidRPr="0038285D">
        <w:rPr>
          <w:rFonts w:ascii="Aptos Display" w:hAnsi="Aptos Display"/>
          <w:sz w:val="26"/>
          <w:szCs w:val="26"/>
        </w:rPr>
        <w:t>Although employment regulation can create administrative burdens, these activities provide the legal and ethical foundation for positive people practices. Without effective compliance, efforts to improve employee experience may lack fairness and consistency.</w:t>
      </w:r>
      <w:r w:rsidR="0066760F" w:rsidRPr="0038285D">
        <w:rPr>
          <w:rFonts w:ascii="Aptos Display" w:hAnsi="Aptos Display"/>
          <w:sz w:val="26"/>
          <w:szCs w:val="26"/>
        </w:rPr>
        <w:br/>
      </w:r>
      <w:r w:rsidRPr="0038285D">
        <w:rPr>
          <w:rFonts w:ascii="Aptos Display" w:hAnsi="Aptos Display"/>
          <w:sz w:val="26"/>
          <w:szCs w:val="26"/>
        </w:rPr>
        <w:t>Overall, while employment regulation can take significant time, it plays a vital role in protecting employees, supporting organisational effectiveness, and creating a positive workplace culture.</w:t>
      </w:r>
    </w:p>
    <w:p w14:paraId="2E837319" w14:textId="4CAF5940" w:rsidR="00891701" w:rsidRPr="0038285D" w:rsidRDefault="00891701" w:rsidP="00891701">
      <w:pPr>
        <w:pStyle w:val="NormalWeb"/>
        <w:rPr>
          <w:rFonts w:ascii="Aptos Display" w:hAnsi="Aptos Display"/>
          <w:b/>
          <w:bCs/>
          <w:sz w:val="26"/>
          <w:szCs w:val="26"/>
        </w:rPr>
      </w:pPr>
      <w:r w:rsidRPr="0038285D">
        <w:rPr>
          <w:rFonts w:ascii="Aptos Display" w:hAnsi="Aptos Display"/>
          <w:b/>
          <w:bCs/>
          <w:sz w:val="26"/>
          <w:szCs w:val="26"/>
        </w:rPr>
        <w:t>AC 1.2</w:t>
      </w:r>
    </w:p>
    <w:p w14:paraId="5CC41B82" w14:textId="4474A678" w:rsidR="00891701" w:rsidRPr="0038285D" w:rsidRDefault="00891701" w:rsidP="00891701">
      <w:pPr>
        <w:pStyle w:val="NormalWeb"/>
        <w:spacing w:before="0" w:beforeAutospacing="0" w:after="180" w:afterAutospacing="0"/>
        <w:rPr>
          <w:rFonts w:ascii="Aptos Display" w:hAnsi="Aptos Display"/>
          <w:sz w:val="26"/>
          <w:szCs w:val="26"/>
        </w:rPr>
      </w:pPr>
      <w:r w:rsidRPr="0038285D">
        <w:rPr>
          <w:rFonts w:ascii="Aptos Display" w:hAnsi="Aptos Display" w:cs="Times New Roman"/>
          <w:sz w:val="26"/>
          <w:szCs w:val="26"/>
        </w:rPr>
        <w:t>Further to your query regarding the status of judgments made by the European Court of Justice (ECJ) prior to the UK leaving the European Union in 2020, these judgments largely continue to remain part of UK law, although their legal authority has changed since Brexit.</w:t>
      </w:r>
      <w:r w:rsidR="0066760F" w:rsidRPr="0038285D">
        <w:rPr>
          <w:rFonts w:ascii="Aptos Display" w:hAnsi="Aptos Display"/>
          <w:sz w:val="26"/>
          <w:szCs w:val="26"/>
        </w:rPr>
        <w:br/>
      </w:r>
      <w:r w:rsidRPr="0038285D">
        <w:rPr>
          <w:rFonts w:ascii="Aptos Display" w:hAnsi="Aptos Display" w:cs="Times New Roman"/>
          <w:sz w:val="26"/>
          <w:szCs w:val="26"/>
        </w:rPr>
        <w:t>Under the European Union (Withdrawal) Act 2018, EU law that applied in the UK before the end of the transition period on 31 December 2020 was incorporated into domestic legislation as “retained EU law.” This included existing ECJ decisions and legal principles. The purpose of retaining this law was to ensure continuity, stability and legal certainty following the UK’s withdrawal from the EU.</w:t>
      </w:r>
      <w:r w:rsidR="0066760F" w:rsidRPr="0038285D">
        <w:rPr>
          <w:rFonts w:ascii="Aptos Display" w:hAnsi="Aptos Display"/>
          <w:sz w:val="26"/>
          <w:szCs w:val="26"/>
        </w:rPr>
        <w:br/>
      </w:r>
      <w:r w:rsidRPr="0038285D">
        <w:rPr>
          <w:rFonts w:ascii="Aptos Display" w:hAnsi="Aptos Display" w:cs="Times New Roman"/>
          <w:sz w:val="26"/>
          <w:szCs w:val="26"/>
        </w:rPr>
        <w:t xml:space="preserve">As a result, pre-Brexit ECJ judgments did not automatically cease to apply after Brexit. </w:t>
      </w:r>
      <w:r w:rsidRPr="0038285D">
        <w:rPr>
          <w:rFonts w:ascii="Aptos Display" w:hAnsi="Aptos Display" w:cs="Times New Roman"/>
          <w:sz w:val="26"/>
          <w:szCs w:val="26"/>
        </w:rPr>
        <w:lastRenderedPageBreak/>
        <w:t>UK courts and tribunals generally continue to consider and follow these decisions, particularly where they relate to employment law and workers’ rights. However, the position is no longer the same as when the UK was an EU member state, as the ECJ no longer has direct authority over UK courts.</w:t>
      </w:r>
      <w:r w:rsidR="0066760F" w:rsidRPr="0038285D">
        <w:rPr>
          <w:rFonts w:ascii="Aptos Display" w:hAnsi="Aptos Display"/>
          <w:sz w:val="26"/>
          <w:szCs w:val="26"/>
        </w:rPr>
        <w:br/>
      </w:r>
      <w:r w:rsidRPr="0038285D">
        <w:rPr>
          <w:rFonts w:ascii="Aptos Display" w:hAnsi="Aptos Display" w:cs="Times New Roman"/>
          <w:sz w:val="26"/>
          <w:szCs w:val="26"/>
        </w:rPr>
        <w:t>The Supreme Court and the Court of Appeal now have the power to depart from retained ECJ case law where they believe it is appropriate to do so. They apply similar principles to those used when deciding whether to depart from their own previous judgments. This means that ECJ decisions are no longer absolutely binding at the highest level of the UK legal system. However, lower courts and employment tribunals are still generally expected to follow retained ECJ judgments unless a higher court or Parliament has changed the legal position.</w:t>
      </w:r>
      <w:r w:rsidR="0066760F" w:rsidRPr="0038285D">
        <w:rPr>
          <w:rFonts w:ascii="Aptos Display" w:hAnsi="Aptos Display"/>
          <w:sz w:val="26"/>
          <w:szCs w:val="26"/>
        </w:rPr>
        <w:br/>
      </w:r>
      <w:r w:rsidRPr="0038285D">
        <w:rPr>
          <w:rFonts w:ascii="Aptos Display" w:hAnsi="Aptos Display" w:cs="Times New Roman"/>
          <w:sz w:val="26"/>
          <w:szCs w:val="26"/>
        </w:rPr>
        <w:t xml:space="preserve">An important example can be seen </w:t>
      </w:r>
      <w:r w:rsidR="0038285D" w:rsidRPr="0038285D">
        <w:rPr>
          <w:rFonts w:ascii="Aptos Display" w:hAnsi="Aptos Display" w:cs="Times New Roman"/>
          <w:sz w:val="26"/>
          <w:szCs w:val="26"/>
        </w:rPr>
        <w:t>around</w:t>
      </w:r>
      <w:r w:rsidRPr="0038285D">
        <w:rPr>
          <w:rFonts w:ascii="Aptos Display" w:hAnsi="Aptos Display" w:cs="Times New Roman"/>
          <w:sz w:val="26"/>
          <w:szCs w:val="26"/>
        </w:rPr>
        <w:t xml:space="preserve"> holiday pay. In the ECJ case of Williams v British Airways plc (2011), the court ruled that holiday pay should reflect a worker’s “normal remuneration” rather than basic salary alone. This principle was later adopted by UK courts and significantly influenced UK employment law, particularly regarding overtime and commission payments being included in holiday pay calculations. Despite Brexit, UK courts have continued to apply these principles because they remain part of retained EU case law unless amended by legislation or overturned by a higher court.</w:t>
      </w:r>
      <w:r w:rsidR="0066760F" w:rsidRPr="0038285D">
        <w:rPr>
          <w:rFonts w:ascii="Aptos Display" w:hAnsi="Aptos Display"/>
          <w:sz w:val="26"/>
          <w:szCs w:val="26"/>
        </w:rPr>
        <w:br/>
      </w:r>
      <w:r w:rsidRPr="0038285D">
        <w:rPr>
          <w:rFonts w:ascii="Aptos Display" w:hAnsi="Aptos Display" w:cs="Times New Roman"/>
          <w:sz w:val="26"/>
          <w:szCs w:val="26"/>
        </w:rPr>
        <w:t>Overall, whilst Brexit has reduced the direct influence of the ECJ within the UK legal system, pre-2021 ECJ judgments still remain highly persuasive and, in many cases, continue to form part of UK employment law. They cannot simply be disregarded, as they continue to provide important legal guidance and consistency within the courts and tribunals.</w:t>
      </w:r>
    </w:p>
    <w:p w14:paraId="6A603E4A" w14:textId="77777777" w:rsidR="00891701" w:rsidRPr="0038285D" w:rsidRDefault="00891701" w:rsidP="00891701">
      <w:pPr>
        <w:pStyle w:val="NormalWeb"/>
        <w:spacing w:before="0" w:beforeAutospacing="0" w:after="180" w:afterAutospacing="0"/>
        <w:rPr>
          <w:rFonts w:ascii="Aptos Display" w:hAnsi="Aptos Display" w:cs="Times New Roman"/>
          <w:sz w:val="26"/>
          <w:szCs w:val="26"/>
        </w:rPr>
      </w:pPr>
    </w:p>
    <w:p w14:paraId="7298EA6C" w14:textId="2AAA84F3" w:rsidR="00891701" w:rsidRPr="0038285D" w:rsidRDefault="00891701" w:rsidP="00891701">
      <w:pPr>
        <w:pStyle w:val="NormalWeb"/>
        <w:spacing w:before="0" w:beforeAutospacing="0" w:after="180" w:afterAutospacing="0"/>
        <w:rPr>
          <w:rFonts w:ascii="Aptos Display" w:hAnsi="Aptos Display" w:cs="Times New Roman"/>
          <w:b/>
          <w:bCs/>
          <w:sz w:val="26"/>
          <w:szCs w:val="26"/>
        </w:rPr>
      </w:pPr>
      <w:r w:rsidRPr="0038285D">
        <w:rPr>
          <w:rFonts w:ascii="Aptos Display" w:hAnsi="Aptos Display" w:cs="Times New Roman"/>
          <w:b/>
          <w:bCs/>
          <w:sz w:val="26"/>
          <w:szCs w:val="26"/>
        </w:rPr>
        <w:t xml:space="preserve">AC 2.1 </w:t>
      </w:r>
    </w:p>
    <w:p w14:paraId="64A586DA" w14:textId="6405C58C" w:rsidR="0066243C" w:rsidRPr="0038285D" w:rsidRDefault="0066243C" w:rsidP="0066243C">
      <w:pPr>
        <w:pStyle w:val="NormalWeb"/>
        <w:spacing w:before="0" w:beforeAutospacing="0" w:after="180" w:afterAutospacing="0"/>
        <w:rPr>
          <w:rFonts w:ascii="Aptos Display" w:hAnsi="Aptos Display"/>
          <w:sz w:val="26"/>
          <w:szCs w:val="26"/>
        </w:rPr>
      </w:pPr>
      <w:r w:rsidRPr="0038285D">
        <w:rPr>
          <w:rFonts w:ascii="Aptos Display" w:hAnsi="Aptos Display" w:cs="Times New Roman"/>
          <w:sz w:val="26"/>
          <w:szCs w:val="26"/>
        </w:rPr>
        <w:t xml:space="preserve">Further to your query regarding occupational requirements, the Equality Act 2010 generally makes it unlawful to discriminate against applicants or employees </w:t>
      </w:r>
      <w:r w:rsidR="0038285D" w:rsidRPr="0038285D">
        <w:rPr>
          <w:rFonts w:ascii="Aptos Display" w:hAnsi="Aptos Display" w:cs="Times New Roman"/>
          <w:sz w:val="26"/>
          <w:szCs w:val="26"/>
        </w:rPr>
        <w:t>based on</w:t>
      </w:r>
      <w:r w:rsidRPr="0038285D">
        <w:rPr>
          <w:rFonts w:ascii="Aptos Display" w:hAnsi="Aptos Display" w:cs="Times New Roman"/>
          <w:sz w:val="26"/>
          <w:szCs w:val="26"/>
        </w:rPr>
        <w:t xml:space="preserve"> protected characteristics, including sex, during recruitment and selection. In most circumstances, employers must ensure vacancies are open to all suitably qualified candidates regardless of whether they are male or female.</w:t>
      </w:r>
      <w:r w:rsidR="0066760F" w:rsidRPr="0038285D">
        <w:rPr>
          <w:rFonts w:ascii="Aptos Display" w:hAnsi="Aptos Display"/>
          <w:sz w:val="26"/>
          <w:szCs w:val="26"/>
        </w:rPr>
        <w:br/>
      </w:r>
      <w:r w:rsidRPr="0038285D">
        <w:rPr>
          <w:rFonts w:ascii="Aptos Display" w:hAnsi="Aptos Display" w:cs="Times New Roman"/>
          <w:sz w:val="26"/>
          <w:szCs w:val="26"/>
        </w:rPr>
        <w:t>However, there are limited situations where an employer may lawfully specify that a role must be carried out by either a man or a woman. This is known as a “genuine occupational requirement” or occupational requirement. To rely on this exception, the requirement must be a proportionate means of achieving a legitimate aim and must be crucial to the role itself rather than based on preference, assumptions or stereotypes.</w:t>
      </w:r>
      <w:r w:rsidR="0066760F" w:rsidRPr="0038285D">
        <w:rPr>
          <w:rFonts w:ascii="Aptos Display" w:hAnsi="Aptos Display"/>
          <w:sz w:val="26"/>
          <w:szCs w:val="26"/>
        </w:rPr>
        <w:br/>
      </w:r>
      <w:r w:rsidRPr="0038285D">
        <w:rPr>
          <w:rFonts w:ascii="Aptos Display" w:hAnsi="Aptos Display" w:cs="Times New Roman"/>
          <w:sz w:val="26"/>
          <w:szCs w:val="26"/>
        </w:rPr>
        <w:t>For example, it may be lawful to recruit only female support workers within a women’s refuge supporting victims of domestic abuse where privacy, dignity and emotional wellbeing are essential considerations. Similarly, a male care worker may be required in certain situations involving intimate personal care for male service users where privacy and decency are significant factors. Another example could include an acting role where a specific gender is required for authenticity.</w:t>
      </w:r>
      <w:r w:rsidR="0066760F" w:rsidRPr="0038285D">
        <w:rPr>
          <w:rFonts w:ascii="Aptos Display" w:hAnsi="Aptos Display"/>
          <w:sz w:val="26"/>
          <w:szCs w:val="26"/>
        </w:rPr>
        <w:br/>
      </w:r>
      <w:r w:rsidRPr="0038285D">
        <w:rPr>
          <w:rFonts w:ascii="Aptos Display" w:hAnsi="Aptos Display" w:cs="Times New Roman"/>
          <w:sz w:val="26"/>
          <w:szCs w:val="26"/>
        </w:rPr>
        <w:lastRenderedPageBreak/>
        <w:t>In contrast, employers cannot specify gender requirements simply because of customer preference, workplace tradition, or assumptions about suitability. For example, stating that only men can apply for a management role because the work is “demanding” or only women can apply for administrative roles because they are viewed as “better communicators” would amount to direct sex discrimination and would likely be unlawful under the Equality Act 2010.</w:t>
      </w:r>
      <w:r w:rsidR="0066760F" w:rsidRPr="0038285D">
        <w:rPr>
          <w:rFonts w:ascii="Aptos Display" w:hAnsi="Aptos Display"/>
          <w:sz w:val="26"/>
          <w:szCs w:val="26"/>
        </w:rPr>
        <w:br/>
      </w:r>
      <w:r w:rsidRPr="0038285D">
        <w:rPr>
          <w:rFonts w:ascii="Aptos Display" w:hAnsi="Aptos Display" w:cs="Times New Roman"/>
          <w:sz w:val="26"/>
          <w:szCs w:val="26"/>
        </w:rPr>
        <w:t>The key principle within discrimination law is that recruitment and selection decisions should be based on objective criteria such as skills, qualifications, competence and experience. Employers should ensure job descriptions, person specifications and interview processes are fair, consistent and non-discriminatory. Where an occupational requirement is considered necessary, it should be carefully assessed, clearly justified and documented to demonstrate that the requirement is lawful and proportionate.</w:t>
      </w:r>
      <w:r w:rsidR="0066760F" w:rsidRPr="0038285D">
        <w:rPr>
          <w:rFonts w:ascii="Aptos Display" w:hAnsi="Aptos Display"/>
          <w:sz w:val="26"/>
          <w:szCs w:val="26"/>
        </w:rPr>
        <w:br/>
      </w:r>
      <w:r w:rsidRPr="0038285D">
        <w:rPr>
          <w:rFonts w:ascii="Aptos Display" w:hAnsi="Aptos Display" w:cs="Times New Roman"/>
          <w:sz w:val="26"/>
          <w:szCs w:val="26"/>
        </w:rPr>
        <w:t>It is important to remember that occupational requirements are interpreted narrowly by tribunals, meaning employers should apply them only in exceptional and genuinely necessary circumstances. Seeking legal or HR advice before advertising a gender-specific role is advisable to minimise the risk of discrimination claims and reputational damage.</w:t>
      </w:r>
    </w:p>
    <w:p w14:paraId="3D335115" w14:textId="77777777" w:rsidR="0066243C" w:rsidRPr="0038285D" w:rsidRDefault="0066243C" w:rsidP="0066243C">
      <w:pPr>
        <w:pStyle w:val="NormalWeb"/>
        <w:spacing w:before="0" w:beforeAutospacing="0" w:after="180" w:afterAutospacing="0"/>
        <w:rPr>
          <w:rFonts w:ascii="Aptos Display" w:hAnsi="Aptos Display" w:cs="Times New Roman"/>
          <w:sz w:val="26"/>
          <w:szCs w:val="26"/>
        </w:rPr>
      </w:pPr>
    </w:p>
    <w:p w14:paraId="4110F278" w14:textId="4C0F02AE" w:rsidR="0066243C" w:rsidRPr="0038285D" w:rsidRDefault="0066243C" w:rsidP="0066243C">
      <w:pPr>
        <w:pStyle w:val="NormalWeb"/>
        <w:spacing w:before="0" w:beforeAutospacing="0" w:after="180" w:afterAutospacing="0"/>
        <w:rPr>
          <w:rFonts w:ascii="Aptos Display" w:hAnsi="Aptos Display" w:cs="Times New Roman"/>
          <w:b/>
          <w:bCs/>
          <w:sz w:val="26"/>
          <w:szCs w:val="26"/>
        </w:rPr>
      </w:pPr>
      <w:r w:rsidRPr="0038285D">
        <w:rPr>
          <w:rFonts w:ascii="Aptos Display" w:hAnsi="Aptos Display" w:cs="Times New Roman"/>
          <w:b/>
          <w:bCs/>
          <w:sz w:val="26"/>
          <w:szCs w:val="26"/>
        </w:rPr>
        <w:t xml:space="preserve">AC 2.2 </w:t>
      </w:r>
    </w:p>
    <w:p w14:paraId="6D1476E2" w14:textId="17AF47B5" w:rsidR="00DB16A4" w:rsidRPr="0038285D" w:rsidRDefault="00DB16A4" w:rsidP="00DB16A4">
      <w:pPr>
        <w:pStyle w:val="NormalWeb"/>
        <w:spacing w:before="0" w:beforeAutospacing="0" w:after="180" w:afterAutospacing="0"/>
        <w:rPr>
          <w:rFonts w:ascii="Aptos Display" w:hAnsi="Aptos Display"/>
          <w:sz w:val="26"/>
          <w:szCs w:val="26"/>
        </w:rPr>
      </w:pPr>
      <w:r w:rsidRPr="0038285D">
        <w:rPr>
          <w:rFonts w:ascii="Aptos Display" w:hAnsi="Aptos Display" w:cs="Times New Roman"/>
          <w:sz w:val="26"/>
          <w:szCs w:val="26"/>
        </w:rPr>
        <w:t>Thank you for your request regarding the proposed upgrade of two healthcare assistants from Grade A to Grade B using surplus funding remaining from your recent research project. Before any approval can be considered, it is important to assess the proposal carefully in relation to equal pay legislation and the Trust’s obligations under the Equality Act 2010.</w:t>
      </w:r>
      <w:r w:rsidR="0066760F" w:rsidRPr="0038285D">
        <w:rPr>
          <w:rFonts w:ascii="Aptos Display" w:hAnsi="Aptos Display"/>
          <w:sz w:val="26"/>
          <w:szCs w:val="26"/>
        </w:rPr>
        <w:br/>
      </w:r>
      <w:r w:rsidRPr="0038285D">
        <w:rPr>
          <w:rFonts w:ascii="Aptos Display" w:hAnsi="Aptos Display" w:cs="Times New Roman"/>
          <w:sz w:val="26"/>
          <w:szCs w:val="26"/>
        </w:rPr>
        <w:t>Under equal pay law, men and women performing equal work must receive equal terms and conditions of employment unless any difference in pay can be objectively justified by a material factor unrelated to sex. Equal work may include like work, work rated as equivalent under a job evaluation scheme, or work of equal value. As approximately 80% of healthcare assistants within the Trust are women, upgrading two male healthcare assistants above the grade received by the majority of employees carrying out similar roles could potentially expose the Trust to equal pay claims if the decision cannot be objectively justified.</w:t>
      </w:r>
      <w:r w:rsidR="0066760F" w:rsidRPr="0038285D">
        <w:rPr>
          <w:rFonts w:ascii="Aptos Display" w:hAnsi="Aptos Display"/>
          <w:sz w:val="26"/>
          <w:szCs w:val="26"/>
        </w:rPr>
        <w:br/>
      </w:r>
      <w:r w:rsidRPr="0038285D">
        <w:rPr>
          <w:rFonts w:ascii="Aptos Display" w:hAnsi="Aptos Display" w:cs="Times New Roman"/>
          <w:sz w:val="26"/>
          <w:szCs w:val="26"/>
        </w:rPr>
        <w:t>To lawfully approve the upgrades, the Trust would need clear evidence that the two individuals are undertaking duties and responsibilities that are substantially different from those expected of Grade A healthcare assistants and that these duties genuinely meet the criteria for Grade B work. For example, this could include additional clinical responsibilities, specialist competencies, supervisory duties, or ongoing project-related responsibilities that are not carried out by other healthcare assistants on Grade A.</w:t>
      </w:r>
      <w:r w:rsidR="0066760F" w:rsidRPr="0038285D">
        <w:rPr>
          <w:rFonts w:ascii="Aptos Display" w:hAnsi="Aptos Display"/>
          <w:sz w:val="26"/>
          <w:szCs w:val="26"/>
        </w:rPr>
        <w:br/>
      </w:r>
      <w:r w:rsidRPr="0038285D">
        <w:rPr>
          <w:rFonts w:ascii="Aptos Display" w:hAnsi="Aptos Display" w:cs="Times New Roman"/>
          <w:sz w:val="26"/>
          <w:szCs w:val="26"/>
        </w:rPr>
        <w:t xml:space="preserve">The source of the funding itself is unlikely to provide sufficient legal justification for higher pay. Employment tribunals generally focus on whether the work being </w:t>
      </w:r>
      <w:r w:rsidRPr="0038285D">
        <w:rPr>
          <w:rFonts w:ascii="Aptos Display" w:hAnsi="Aptos Display" w:cs="Times New Roman"/>
          <w:sz w:val="26"/>
          <w:szCs w:val="26"/>
        </w:rPr>
        <w:lastRenderedPageBreak/>
        <w:t>undertaken justifies the difference in pay rather than whether funding is available. If the employees remain undertaking substantially the same role as other Grade A healthcare assistants, particularly where the majority affected are women, there is a significant risk that the Trust could face claims of indirect discrimination or breach of equal pay provisions.</w:t>
      </w:r>
      <w:r w:rsidR="0066760F" w:rsidRPr="0038285D">
        <w:rPr>
          <w:rFonts w:ascii="Aptos Display" w:hAnsi="Aptos Display"/>
          <w:sz w:val="26"/>
          <w:szCs w:val="26"/>
        </w:rPr>
        <w:br/>
      </w:r>
      <w:r w:rsidRPr="0038285D">
        <w:rPr>
          <w:rFonts w:ascii="Aptos Display" w:hAnsi="Aptos Display" w:cs="Times New Roman"/>
          <w:sz w:val="26"/>
          <w:szCs w:val="26"/>
        </w:rPr>
        <w:t>It would therefore be advisable to undertake a formal job evaluation or review of the roles before making any decision. This would help determine whether the duties align with the Grade B profile and ensure the process remains fair, transparent and legally compliant. Applying grading decisions consistently across the organisation is essential in minimising legal risk and maintaining employee trust and confidence.</w:t>
      </w:r>
    </w:p>
    <w:p w14:paraId="4521BE8D" w14:textId="77777777" w:rsidR="00DB16A4" w:rsidRPr="0038285D" w:rsidRDefault="00DB16A4" w:rsidP="00DB16A4">
      <w:pPr>
        <w:pStyle w:val="NormalWeb"/>
        <w:spacing w:before="0" w:beforeAutospacing="0" w:after="180" w:afterAutospacing="0"/>
        <w:rPr>
          <w:rFonts w:ascii="Aptos Display" w:hAnsi="Aptos Display" w:cs="Times New Roman"/>
          <w:sz w:val="26"/>
          <w:szCs w:val="26"/>
        </w:rPr>
      </w:pPr>
    </w:p>
    <w:p w14:paraId="60B1ACC0" w14:textId="77777777" w:rsidR="00DB16A4" w:rsidRPr="0038285D" w:rsidRDefault="00DB16A4" w:rsidP="00DB16A4">
      <w:pPr>
        <w:rPr>
          <w:rFonts w:ascii="Aptos Display" w:eastAsia="Times New Roman" w:hAnsi="Aptos Display"/>
          <w:b/>
          <w:bCs/>
          <w:sz w:val="26"/>
          <w:szCs w:val="26"/>
        </w:rPr>
      </w:pPr>
      <w:r w:rsidRPr="0038285D">
        <w:rPr>
          <w:rFonts w:ascii="Aptos Display" w:eastAsia="Times New Roman" w:hAnsi="Aptos Display"/>
          <w:b/>
          <w:bCs/>
          <w:sz w:val="26"/>
          <w:szCs w:val="26"/>
        </w:rPr>
        <w:t>AC 3.1</w:t>
      </w:r>
    </w:p>
    <w:p w14:paraId="68F48555" w14:textId="76DBF21E" w:rsidR="00DB16A4" w:rsidRPr="0038285D" w:rsidRDefault="00DB16A4" w:rsidP="00DB16A4">
      <w:pPr>
        <w:pStyle w:val="NormalWeb"/>
        <w:spacing w:before="0" w:beforeAutospacing="0" w:after="180" w:afterAutospacing="0"/>
        <w:rPr>
          <w:rFonts w:ascii="Aptos Display" w:hAnsi="Aptos Display"/>
          <w:sz w:val="26"/>
          <w:szCs w:val="26"/>
        </w:rPr>
      </w:pPr>
      <w:r w:rsidRPr="0038285D">
        <w:rPr>
          <w:rFonts w:ascii="Aptos Display" w:hAnsi="Aptos Display" w:cs="Times New Roman"/>
          <w:sz w:val="26"/>
          <w:szCs w:val="26"/>
        </w:rPr>
        <w:t>Further to your query regarding the radiographer who recently resigned following changes to his working hours, there is a possibility that he may seek to bring a constructive dismissal claim depending on the circumstances surrounding the change and how it was managed by the Trust.</w:t>
      </w:r>
      <w:r w:rsidR="0066760F" w:rsidRPr="0038285D">
        <w:rPr>
          <w:rFonts w:ascii="Aptos Display" w:hAnsi="Aptos Display"/>
          <w:sz w:val="26"/>
          <w:szCs w:val="26"/>
        </w:rPr>
        <w:br/>
      </w:r>
      <w:r w:rsidRPr="0038285D">
        <w:rPr>
          <w:rFonts w:ascii="Aptos Display" w:hAnsi="Aptos Display" w:cs="Times New Roman"/>
          <w:sz w:val="26"/>
          <w:szCs w:val="26"/>
        </w:rPr>
        <w:t>Constructive dismissal occurs where an employee resigns in response to a serious breach of contract by their employer. Under the Employment Rights Act 1996, the employee must demonstrate that the employer fundamentally breached either an express contractual term or the implied term of mutual trust and confidence. In these situations, the resignation is treated legally as a dismissal even though the employee chose to resign.</w:t>
      </w:r>
      <w:r w:rsidR="0066760F" w:rsidRPr="0038285D">
        <w:rPr>
          <w:rFonts w:ascii="Aptos Display" w:hAnsi="Aptos Display"/>
          <w:sz w:val="26"/>
          <w:szCs w:val="26"/>
        </w:rPr>
        <w:br/>
      </w:r>
      <w:r w:rsidRPr="0038285D">
        <w:rPr>
          <w:rFonts w:ascii="Aptos Display" w:hAnsi="Aptos Display" w:cs="Times New Roman"/>
          <w:sz w:val="26"/>
          <w:szCs w:val="26"/>
        </w:rPr>
        <w:t>Changes to working hours can potentially form the basis of a constructive dismissal claim where the alteration is significant, imposed unreasonably, or introduced without proper consultation or agreement. For example, if an employee’s contractual hours were changed substantially in a way that negatively affected their work-life balance, caring responsibilities, health, or pay, and the Trust implemented the change without consent, this could amount to a breach of contract. Similarly, where the employee feels they have been treated unfairly or pressured into accepting unreasonable changes, this may undermine trust and confidence in the employment relationship.</w:t>
      </w:r>
      <w:r w:rsidR="0066760F" w:rsidRPr="0038285D">
        <w:rPr>
          <w:rFonts w:ascii="Aptos Display" w:hAnsi="Aptos Display"/>
          <w:sz w:val="26"/>
          <w:szCs w:val="26"/>
        </w:rPr>
        <w:br/>
      </w:r>
      <w:r w:rsidRPr="0038285D">
        <w:rPr>
          <w:rFonts w:ascii="Aptos Display" w:hAnsi="Aptos Display" w:cs="Times New Roman"/>
          <w:sz w:val="26"/>
          <w:szCs w:val="26"/>
        </w:rPr>
        <w:t>However, not every change to working arrangements will result in a successful claim. The tribunal would consider factors such as whether the contract included flexibility clauses allowing changes to hours, whether consultation took place, whether the change was reasonable and necessary for service delivery, and whether the Trust acted fairly and proportionately throughout the process. Employers are generally expected to consult meaningfully with employees before implementing contractual changes and to explore alternatives where possible.</w:t>
      </w:r>
      <w:r w:rsidR="0066760F" w:rsidRPr="0038285D">
        <w:rPr>
          <w:rFonts w:ascii="Aptos Display" w:hAnsi="Aptos Display"/>
          <w:sz w:val="26"/>
          <w:szCs w:val="26"/>
        </w:rPr>
        <w:br/>
      </w:r>
      <w:r w:rsidRPr="0038285D">
        <w:rPr>
          <w:rFonts w:ascii="Aptos Display" w:hAnsi="Aptos Display" w:cs="Times New Roman"/>
          <w:sz w:val="26"/>
          <w:szCs w:val="26"/>
        </w:rPr>
        <w:t xml:space="preserve">In terms of timescales, an individual generally has three months less one day from the effective date of termination to submit a claim to the Employment Tribunal. Before lodging a claim, the former employee must normally contact ACAS for Early Conciliation, which can pause the limitation period while conciliation is attempted. If the claim is submitted outside the required timeframe, the tribunal will usually </w:t>
      </w:r>
      <w:r w:rsidRPr="0038285D">
        <w:rPr>
          <w:rFonts w:ascii="Aptos Display" w:hAnsi="Aptos Display" w:cs="Times New Roman"/>
          <w:sz w:val="26"/>
          <w:szCs w:val="26"/>
        </w:rPr>
        <w:lastRenderedPageBreak/>
        <w:t>consider it out of time unless exceptional circumstances apply.</w:t>
      </w:r>
      <w:r w:rsidR="0066760F" w:rsidRPr="0038285D">
        <w:rPr>
          <w:rFonts w:ascii="Aptos Display" w:hAnsi="Aptos Display"/>
          <w:sz w:val="26"/>
          <w:szCs w:val="26"/>
        </w:rPr>
        <w:br/>
      </w:r>
      <w:r w:rsidRPr="0038285D">
        <w:rPr>
          <w:rFonts w:ascii="Aptos Display" w:hAnsi="Aptos Display" w:cs="Times New Roman"/>
          <w:sz w:val="26"/>
          <w:szCs w:val="26"/>
        </w:rPr>
        <w:t>It would therefore be advisable to review the contractual position, consultation records, correspondence, and the reasons for the working hours change to assess the potential legal risk and whether the Trust acted reasonably and lawfully throughout the process.</w:t>
      </w:r>
    </w:p>
    <w:p w14:paraId="07AC0ADD" w14:textId="77777777" w:rsidR="00DB16A4" w:rsidRPr="0038285D" w:rsidRDefault="00DB16A4" w:rsidP="00DB16A4">
      <w:pPr>
        <w:pStyle w:val="NormalWeb"/>
        <w:spacing w:before="0" w:beforeAutospacing="0" w:after="180" w:afterAutospacing="0"/>
        <w:rPr>
          <w:rFonts w:ascii="Aptos Display" w:hAnsi="Aptos Display" w:cs="Times New Roman"/>
          <w:sz w:val="26"/>
          <w:szCs w:val="26"/>
        </w:rPr>
      </w:pPr>
    </w:p>
    <w:p w14:paraId="1E1C91CE" w14:textId="47FC2D34" w:rsidR="00DB16A4" w:rsidRPr="0038285D" w:rsidRDefault="00DB16A4" w:rsidP="00DB16A4">
      <w:pPr>
        <w:pStyle w:val="NormalWeb"/>
        <w:spacing w:before="0" w:beforeAutospacing="0" w:after="180" w:afterAutospacing="0"/>
        <w:rPr>
          <w:rFonts w:ascii="Aptos Display" w:hAnsi="Aptos Display" w:cs="Times New Roman"/>
          <w:b/>
          <w:bCs/>
          <w:sz w:val="26"/>
          <w:szCs w:val="26"/>
        </w:rPr>
      </w:pPr>
      <w:r w:rsidRPr="0038285D">
        <w:rPr>
          <w:rFonts w:ascii="Aptos Display" w:hAnsi="Aptos Display" w:cs="Times New Roman"/>
          <w:b/>
          <w:bCs/>
          <w:sz w:val="26"/>
          <w:szCs w:val="26"/>
        </w:rPr>
        <w:t>AC 3.2</w:t>
      </w:r>
    </w:p>
    <w:p w14:paraId="7099D48B" w14:textId="31DBD4EF" w:rsidR="00DB16A4" w:rsidRPr="0038285D" w:rsidRDefault="00DB16A4" w:rsidP="00DB16A4">
      <w:pPr>
        <w:pStyle w:val="NormalWeb"/>
        <w:spacing w:before="0" w:beforeAutospacing="0" w:after="180" w:afterAutospacing="0"/>
        <w:rPr>
          <w:rFonts w:ascii="Aptos Display" w:hAnsi="Aptos Display"/>
          <w:sz w:val="26"/>
          <w:szCs w:val="26"/>
        </w:rPr>
      </w:pPr>
      <w:r w:rsidRPr="0038285D">
        <w:rPr>
          <w:rFonts w:ascii="Aptos Display" w:hAnsi="Aptos Display" w:cs="Times New Roman"/>
          <w:sz w:val="26"/>
          <w:szCs w:val="26"/>
        </w:rPr>
        <w:t>Further to your comments regarding the proposed reorganisation and potential compulsory redundancies within the directorate, it is important that the redundancy process is managed carefully and in accordance with employment law requirements. Although there may be pressure to progress quickly, simply dismissing employees considered to be the poorest performers without appropriate consultation or a fair process could expose the Trust to significant legal and employee relations risks.</w:t>
      </w:r>
      <w:r w:rsidR="0066760F" w:rsidRPr="0038285D">
        <w:rPr>
          <w:rFonts w:ascii="Aptos Display" w:hAnsi="Aptos Display"/>
          <w:sz w:val="26"/>
          <w:szCs w:val="26"/>
        </w:rPr>
        <w:br/>
      </w:r>
      <w:r w:rsidRPr="0038285D">
        <w:rPr>
          <w:rFonts w:ascii="Aptos Display" w:hAnsi="Aptos Display" w:cs="Times New Roman"/>
          <w:sz w:val="26"/>
          <w:szCs w:val="26"/>
        </w:rPr>
        <w:t>Under the Employment Rights Act 1996, redundancy is considered a potentially fair reason for dismissal where there is a genuine reduction in the requirement for employees to carry out work of a particular kind. However, employers must still follow a fair and reasonable procedure when selecting employees for redundancy.</w:t>
      </w:r>
      <w:r w:rsidR="0066760F" w:rsidRPr="0038285D">
        <w:rPr>
          <w:rFonts w:ascii="Aptos Display" w:hAnsi="Aptos Display"/>
          <w:sz w:val="26"/>
          <w:szCs w:val="26"/>
        </w:rPr>
        <w:br/>
      </w:r>
      <w:r w:rsidRPr="0038285D">
        <w:rPr>
          <w:rFonts w:ascii="Aptos Display" w:hAnsi="Aptos Display" w:cs="Times New Roman"/>
          <w:sz w:val="26"/>
          <w:szCs w:val="26"/>
        </w:rPr>
        <w:t>As 50 posts are proposed to be removed, the Trust will be required to undertake collective consultation obligations under the Trade Union and Labour Relations (Consolidation) Act 1992. Where 20 or more redundancies are proposed within a 90-day period, employers must consult appropriate employee representatives or recognised trade unions. In cases involving 100 or more redundancies, consultation must begin at least 45 days before the first dismissal takes effect. Although the current proposal involves 50 redundancies, consultation must still begin at least 30 days before any dismissals occur.</w:t>
      </w:r>
      <w:r w:rsidR="0066760F" w:rsidRPr="0038285D">
        <w:rPr>
          <w:rFonts w:ascii="Aptos Display" w:hAnsi="Aptos Display"/>
          <w:sz w:val="26"/>
          <w:szCs w:val="26"/>
        </w:rPr>
        <w:br/>
      </w:r>
      <w:r w:rsidRPr="0038285D">
        <w:rPr>
          <w:rFonts w:ascii="Aptos Display" w:hAnsi="Aptos Display" w:cs="Times New Roman"/>
          <w:sz w:val="26"/>
          <w:szCs w:val="26"/>
        </w:rPr>
        <w:t>The purpose of consultation is not simply to inform employees of decisions already made. Employers are legally expected to consult meaningfully about ways to avoid redundancies, reduce the number of dismissals, and mitigate the impact on affected employees. Failure to consult appropriately can lead to protective awards being made by employment tribunals.</w:t>
      </w:r>
      <w:r w:rsidR="0066760F" w:rsidRPr="0038285D">
        <w:rPr>
          <w:rFonts w:ascii="Aptos Display" w:hAnsi="Aptos Display"/>
          <w:sz w:val="26"/>
          <w:szCs w:val="26"/>
        </w:rPr>
        <w:br/>
      </w:r>
      <w:r w:rsidRPr="0038285D">
        <w:rPr>
          <w:rFonts w:ascii="Aptos Display" w:hAnsi="Aptos Display" w:cs="Times New Roman"/>
          <w:sz w:val="26"/>
          <w:szCs w:val="26"/>
        </w:rPr>
        <w:t>Selection processes must also be fair, objective and non-discriminatory. While performance can form part of redundancy selection criteria, relying solely on managers’ opinions or targeting “poor performers” without objective evidence could lead to claims of unfair dismissal or discrimination. Selection criteria should be measurable, consistently applied and supported by evidence such as appraisals, attendance records or skills assessments.</w:t>
      </w:r>
      <w:r w:rsidR="0066760F" w:rsidRPr="0038285D">
        <w:rPr>
          <w:rFonts w:ascii="Aptos Display" w:hAnsi="Aptos Display"/>
          <w:sz w:val="26"/>
          <w:szCs w:val="26"/>
        </w:rPr>
        <w:br/>
      </w:r>
      <w:r w:rsidRPr="0038285D">
        <w:rPr>
          <w:rFonts w:ascii="Aptos Display" w:hAnsi="Aptos Display" w:cs="Times New Roman"/>
          <w:sz w:val="26"/>
          <w:szCs w:val="26"/>
        </w:rPr>
        <w:t>In addition, employees selected for redundancy should be individually consulted, provided with notice, considered for suitable alternative employment where possible, and informed of their right to appeal. Employees with sufficient service may also be entitled to statutory redundancy pay.</w:t>
      </w:r>
      <w:r w:rsidR="0066760F" w:rsidRPr="0038285D">
        <w:rPr>
          <w:rFonts w:ascii="Aptos Display" w:hAnsi="Aptos Display"/>
          <w:sz w:val="26"/>
          <w:szCs w:val="26"/>
        </w:rPr>
        <w:br/>
      </w:r>
      <w:r w:rsidRPr="0038285D">
        <w:rPr>
          <w:rFonts w:ascii="Aptos Display" w:hAnsi="Aptos Display" w:cs="Times New Roman"/>
          <w:sz w:val="26"/>
          <w:szCs w:val="26"/>
        </w:rPr>
        <w:t xml:space="preserve">Overall, although a quicker process may appear operationally attractive, failing to follow legal redundancy requirements could result in costly tribunal claims, </w:t>
      </w:r>
      <w:r w:rsidRPr="0038285D">
        <w:rPr>
          <w:rFonts w:ascii="Aptos Display" w:hAnsi="Aptos Display" w:cs="Times New Roman"/>
          <w:sz w:val="26"/>
          <w:szCs w:val="26"/>
        </w:rPr>
        <w:lastRenderedPageBreak/>
        <w:t>reputational damage and reduced employee trust. A fair, transparent and properly consulted process is therefore essential.</w:t>
      </w:r>
    </w:p>
    <w:p w14:paraId="587BCF8E" w14:textId="77777777" w:rsidR="00DB16A4" w:rsidRPr="0038285D" w:rsidRDefault="00DB16A4" w:rsidP="00DB16A4">
      <w:pPr>
        <w:pStyle w:val="NormalWeb"/>
        <w:spacing w:before="0" w:beforeAutospacing="0" w:after="180" w:afterAutospacing="0"/>
        <w:rPr>
          <w:rFonts w:ascii="Aptos Display" w:hAnsi="Aptos Display" w:cs="Times New Roman"/>
          <w:b/>
          <w:bCs/>
          <w:sz w:val="26"/>
          <w:szCs w:val="26"/>
        </w:rPr>
      </w:pPr>
    </w:p>
    <w:p w14:paraId="497E51CA" w14:textId="7E1D4AE2" w:rsidR="00DB16A4" w:rsidRPr="0038285D" w:rsidRDefault="00DB16A4" w:rsidP="00DB16A4">
      <w:pPr>
        <w:pStyle w:val="NormalWeb"/>
        <w:spacing w:before="0" w:beforeAutospacing="0" w:after="180" w:afterAutospacing="0"/>
        <w:rPr>
          <w:rFonts w:ascii="Aptos Display" w:hAnsi="Aptos Display" w:cs="Times New Roman"/>
          <w:b/>
          <w:bCs/>
          <w:sz w:val="26"/>
          <w:szCs w:val="26"/>
        </w:rPr>
      </w:pPr>
      <w:r w:rsidRPr="0038285D">
        <w:rPr>
          <w:rFonts w:ascii="Aptos Display" w:hAnsi="Aptos Display" w:cs="Times New Roman"/>
          <w:b/>
          <w:bCs/>
          <w:sz w:val="26"/>
          <w:szCs w:val="26"/>
        </w:rPr>
        <w:t>AC 3.3</w:t>
      </w:r>
    </w:p>
    <w:p w14:paraId="3EC351B7" w14:textId="51E88488" w:rsidR="00DB16A4" w:rsidRPr="0038285D" w:rsidRDefault="00DB16A4" w:rsidP="00DB16A4">
      <w:pPr>
        <w:pStyle w:val="NormalWeb"/>
        <w:spacing w:before="0" w:beforeAutospacing="0" w:after="0" w:afterAutospacing="0"/>
        <w:rPr>
          <w:rFonts w:ascii="Aptos Display" w:hAnsi="Aptos Display"/>
          <w:sz w:val="26"/>
          <w:szCs w:val="26"/>
        </w:rPr>
      </w:pPr>
      <w:r w:rsidRPr="0038285D">
        <w:rPr>
          <w:rFonts w:ascii="Aptos Display" w:hAnsi="Aptos Display"/>
          <w:sz w:val="26"/>
          <w:szCs w:val="26"/>
        </w:rPr>
        <w:t>Further to your request regarding the proposed merger of the two pharmacy operations, it is important to consider the potential implications of the Transfer of Undertakings (Protection of Employment) Regulations 2006 (TUPE) should the merger proceed in the future.</w:t>
      </w:r>
      <w:r w:rsidR="0066760F" w:rsidRPr="0038285D">
        <w:rPr>
          <w:rFonts w:ascii="Aptos Display" w:hAnsi="Aptos Display"/>
          <w:sz w:val="26"/>
          <w:szCs w:val="26"/>
        </w:rPr>
        <w:br/>
      </w:r>
      <w:r w:rsidRPr="0038285D">
        <w:rPr>
          <w:rFonts w:ascii="Aptos Display" w:hAnsi="Aptos Display"/>
          <w:sz w:val="26"/>
          <w:szCs w:val="26"/>
        </w:rPr>
        <w:t>TUPE regulations are designed to protect employees when a business, service, or part of an organisation transfers from one employer to another. In this case, if pharmacy services from the neighbouring trust were transferred into an expanded operation managed by our Trust, TUPE may apply because responsibility for delivering the service would effectively transfer between employers.</w:t>
      </w:r>
    </w:p>
    <w:p w14:paraId="594C64BB" w14:textId="77777777" w:rsidR="00DB16A4" w:rsidRPr="0038285D" w:rsidRDefault="00DB16A4" w:rsidP="00DB16A4">
      <w:pPr>
        <w:pStyle w:val="NormalWeb"/>
        <w:spacing w:before="0" w:beforeAutospacing="0" w:after="0" w:afterAutospacing="0"/>
        <w:rPr>
          <w:rFonts w:ascii="Aptos Display" w:hAnsi="Aptos Display"/>
          <w:sz w:val="26"/>
          <w:szCs w:val="26"/>
        </w:rPr>
      </w:pPr>
      <w:r w:rsidRPr="0038285D">
        <w:rPr>
          <w:rFonts w:ascii="Aptos Display" w:hAnsi="Aptos Display"/>
          <w:sz w:val="26"/>
          <w:szCs w:val="26"/>
        </w:rPr>
        <w:t>The main principle of TUPE is that employees assigned to the transferring service move automatically to the new employer on their existing terms and conditions of employment. This means affected employees would generally retain continuity of service, pay, annual leave entitlement, contractual hours, pension protections in certain respects, and other contractual rights. Their employment transfers as though their contract had originally been made with the new employer.</w:t>
      </w:r>
    </w:p>
    <w:p w14:paraId="2B89C678" w14:textId="77777777" w:rsidR="00DB16A4" w:rsidRPr="0038285D" w:rsidRDefault="00DB16A4" w:rsidP="00DB16A4">
      <w:pPr>
        <w:pStyle w:val="NormalWeb"/>
        <w:spacing w:before="0" w:beforeAutospacing="0" w:after="0" w:afterAutospacing="0"/>
        <w:rPr>
          <w:rFonts w:ascii="Aptos Display" w:hAnsi="Aptos Display"/>
          <w:sz w:val="26"/>
          <w:szCs w:val="26"/>
        </w:rPr>
      </w:pPr>
      <w:r w:rsidRPr="0038285D">
        <w:rPr>
          <w:rFonts w:ascii="Aptos Display" w:hAnsi="Aptos Display"/>
          <w:sz w:val="26"/>
          <w:szCs w:val="26"/>
        </w:rPr>
        <w:t>Employees also have protection against dismissal connected to the transfer. Under TUPE, dismissals where the sole or principal reason is the transfer itself are generally automatically unfair unless there is an “economic, technical or organisational” (ETO) reason involving changes in the workforce. For example, if redundancies became necessary due to duplication of roles following the merger, these may potentially be lawful if supported by a genuine organisational reason and a fair redundancy process.</w:t>
      </w:r>
    </w:p>
    <w:p w14:paraId="290CEDB7" w14:textId="77777777" w:rsidR="00DB16A4" w:rsidRPr="0038285D" w:rsidRDefault="00DB16A4" w:rsidP="00DB16A4">
      <w:pPr>
        <w:pStyle w:val="NormalWeb"/>
        <w:spacing w:before="0" w:beforeAutospacing="0" w:after="0" w:afterAutospacing="0"/>
        <w:rPr>
          <w:rFonts w:ascii="Aptos Display" w:hAnsi="Aptos Display"/>
          <w:sz w:val="26"/>
          <w:szCs w:val="26"/>
        </w:rPr>
      </w:pPr>
      <w:r w:rsidRPr="0038285D">
        <w:rPr>
          <w:rFonts w:ascii="Aptos Display" w:hAnsi="Aptos Display"/>
          <w:sz w:val="26"/>
          <w:szCs w:val="26"/>
        </w:rPr>
        <w:t>Another key requirement under TUPE is the duty to inform and, where appropriate, consult with affected employees or their representatives before the transfer takes place. Employers must provide information regarding the reasons for the transfer, the likely implications for employees, and any measures proposed following the transfer. Failure to meet consultation obligations can result in claims and financial penalties at an employment tribunal.</w:t>
      </w:r>
    </w:p>
    <w:p w14:paraId="07E53084" w14:textId="77777777" w:rsidR="00DB16A4" w:rsidRPr="0038285D" w:rsidRDefault="00DB16A4" w:rsidP="00DB16A4">
      <w:pPr>
        <w:pStyle w:val="NormalWeb"/>
        <w:spacing w:before="0" w:beforeAutospacing="0" w:after="0" w:afterAutospacing="0"/>
        <w:rPr>
          <w:rFonts w:ascii="Aptos Display" w:hAnsi="Aptos Display"/>
          <w:sz w:val="26"/>
          <w:szCs w:val="26"/>
        </w:rPr>
      </w:pPr>
      <w:r w:rsidRPr="0038285D">
        <w:rPr>
          <w:rFonts w:ascii="Aptos Display" w:hAnsi="Aptos Display"/>
          <w:sz w:val="26"/>
          <w:szCs w:val="26"/>
        </w:rPr>
        <w:t>It is also important to note that TUPE limits the ability of employers to change employees’ terms and conditions where the reason for the change is the transfer itself. Even where employees agree to changes, these may still be unenforceable if they are directly linked to the transfer rather than a genuine business reason unrelated to TUPE.</w:t>
      </w:r>
    </w:p>
    <w:p w14:paraId="7D0AC999" w14:textId="77777777" w:rsidR="00DB16A4" w:rsidRPr="0038285D" w:rsidRDefault="00DB16A4" w:rsidP="00DB16A4">
      <w:pPr>
        <w:pStyle w:val="NormalWeb"/>
        <w:spacing w:before="0" w:beforeAutospacing="0" w:after="0" w:afterAutospacing="0"/>
        <w:rPr>
          <w:rFonts w:ascii="Aptos Display" w:hAnsi="Aptos Display"/>
          <w:sz w:val="26"/>
          <w:szCs w:val="26"/>
        </w:rPr>
      </w:pPr>
      <w:r w:rsidRPr="0038285D">
        <w:rPr>
          <w:rFonts w:ascii="Aptos Display" w:hAnsi="Aptos Display"/>
          <w:sz w:val="26"/>
          <w:szCs w:val="26"/>
        </w:rPr>
        <w:t>Overall, TUPE regulations aim to provide stability, fairness and protection for employees during organisational restructures and service transfers. Early workforce planning, legal advice and meaningful consultation would therefore be essential if merger discussions progress further.</w:t>
      </w:r>
    </w:p>
    <w:p w14:paraId="21E4F4E2" w14:textId="77777777" w:rsidR="00DB16A4" w:rsidRPr="0038285D" w:rsidRDefault="00DB16A4" w:rsidP="00DB16A4">
      <w:pPr>
        <w:pStyle w:val="NormalWeb"/>
        <w:spacing w:before="0" w:beforeAutospacing="0" w:after="0" w:afterAutospacing="0"/>
        <w:rPr>
          <w:rFonts w:ascii="Aptos Display" w:hAnsi="Aptos Display" w:cs="Helvetica"/>
          <w:sz w:val="26"/>
          <w:szCs w:val="26"/>
        </w:rPr>
      </w:pPr>
    </w:p>
    <w:p w14:paraId="47336A6F" w14:textId="77777777" w:rsidR="00DB16A4" w:rsidRPr="0038285D" w:rsidRDefault="00DB16A4" w:rsidP="00DB16A4">
      <w:pPr>
        <w:pStyle w:val="NormalWeb"/>
        <w:spacing w:before="0" w:beforeAutospacing="0" w:after="180" w:afterAutospacing="0"/>
        <w:rPr>
          <w:rFonts w:ascii="Aptos Display" w:hAnsi="Aptos Display" w:cs="Times New Roman"/>
          <w:sz w:val="26"/>
          <w:szCs w:val="26"/>
        </w:rPr>
      </w:pPr>
    </w:p>
    <w:p w14:paraId="43F02A3E" w14:textId="77777777" w:rsidR="0066760F" w:rsidRPr="0038285D" w:rsidRDefault="0066760F" w:rsidP="00DB16A4">
      <w:pPr>
        <w:rPr>
          <w:rFonts w:ascii="Aptos Display" w:eastAsia="Times New Roman" w:hAnsi="Aptos Display"/>
          <w:b/>
          <w:bCs/>
          <w:sz w:val="26"/>
          <w:szCs w:val="26"/>
        </w:rPr>
      </w:pPr>
      <w:r w:rsidRPr="0038285D">
        <w:rPr>
          <w:rFonts w:ascii="Aptos Display" w:eastAsia="Times New Roman" w:hAnsi="Aptos Display"/>
          <w:b/>
          <w:bCs/>
          <w:sz w:val="26"/>
          <w:szCs w:val="26"/>
        </w:rPr>
        <w:lastRenderedPageBreak/>
        <w:t>AC 4.1</w:t>
      </w:r>
    </w:p>
    <w:p w14:paraId="181ACAF5" w14:textId="7722704E" w:rsidR="0066760F" w:rsidRPr="0038285D" w:rsidRDefault="0066760F" w:rsidP="0066760F">
      <w:pPr>
        <w:pStyle w:val="NormalWeb"/>
        <w:spacing w:before="0" w:beforeAutospacing="0" w:after="180" w:afterAutospacing="0"/>
        <w:rPr>
          <w:rFonts w:ascii="Aptos Display" w:hAnsi="Aptos Display"/>
          <w:sz w:val="26"/>
          <w:szCs w:val="26"/>
        </w:rPr>
      </w:pPr>
      <w:r w:rsidRPr="0038285D">
        <w:rPr>
          <w:rFonts w:ascii="Aptos Display" w:hAnsi="Aptos Display" w:cs="Times New Roman"/>
          <w:sz w:val="26"/>
          <w:szCs w:val="26"/>
        </w:rPr>
        <w:t>Further to your query regarding holiday pay arrangements for bank staff within your department, it is important to ensure that holiday entitlement and holiday pay are calculated fairly and in accordance with current employment legislation. Although bank staff may work on a casual basis, they are still entitled to statutory paid annual leave under the Working Time Regulations 1998.</w:t>
      </w:r>
      <w:r w:rsidRPr="0038285D">
        <w:rPr>
          <w:rFonts w:ascii="Aptos Display" w:hAnsi="Aptos Display"/>
          <w:sz w:val="26"/>
          <w:szCs w:val="26"/>
        </w:rPr>
        <w:br/>
      </w:r>
      <w:r w:rsidRPr="0038285D">
        <w:rPr>
          <w:rFonts w:ascii="Aptos Display" w:hAnsi="Aptos Display" w:cs="Times New Roman"/>
          <w:sz w:val="26"/>
          <w:szCs w:val="26"/>
        </w:rPr>
        <w:t>In the UK, workers are generally entitled to 5.6 weeks of paid holiday per leave year, including bank holidays where applicable. For casual or irregular-hours workers such as bank staff, holiday entitlement is typically accrued based on the hours they work. Employers must ensure that workers receive holiday pay that reflects their normal remuneration and not simply basic contractual pay.</w:t>
      </w:r>
      <w:r w:rsidRPr="0038285D">
        <w:rPr>
          <w:rFonts w:ascii="Aptos Display" w:hAnsi="Aptos Display"/>
          <w:sz w:val="26"/>
          <w:szCs w:val="26"/>
        </w:rPr>
        <w:br/>
      </w:r>
      <w:r w:rsidRPr="0038285D">
        <w:rPr>
          <w:rFonts w:ascii="Aptos Display" w:hAnsi="Aptos Display" w:cs="Times New Roman"/>
          <w:sz w:val="26"/>
          <w:szCs w:val="26"/>
        </w:rPr>
        <w:t>Recent legal developments and case law have reinforced the principle that holiday pay should fairly represent what a worker would normally earn if they had been working. This means that regular overtime, enhancements, shift allowances and commission payments may need to be included where they form part of normal pay. For bank staff covering shifts regularly, holiday pay calculations should therefore take account of average earnings rather than using a fixed or reduced rate.</w:t>
      </w:r>
      <w:r w:rsidRPr="0038285D">
        <w:rPr>
          <w:rFonts w:ascii="Aptos Display" w:hAnsi="Aptos Display"/>
          <w:sz w:val="26"/>
          <w:szCs w:val="26"/>
        </w:rPr>
        <w:br/>
      </w:r>
      <w:r w:rsidRPr="0038285D">
        <w:rPr>
          <w:rFonts w:ascii="Aptos Display" w:hAnsi="Aptos Display" w:cs="Times New Roman"/>
          <w:sz w:val="26"/>
          <w:szCs w:val="26"/>
        </w:rPr>
        <w:t>For irregular-hours and part-year workers, current guidance generally requires employers to calculate holiday pay using an average of earnings over the previous 52 paid weeks in which the worker received pay. Weeks where no pay was received are excluded from the calculation and earlier weeks are used instead, up to a maximum reference period where necessary. This approach is intended to ensure that holiday pay reflects typical earnings and prevents workers from being financially disadvantaged when taking annual leave.</w:t>
      </w:r>
      <w:r w:rsidRPr="0038285D">
        <w:rPr>
          <w:rFonts w:ascii="Aptos Display" w:hAnsi="Aptos Display"/>
          <w:sz w:val="26"/>
          <w:szCs w:val="26"/>
        </w:rPr>
        <w:br/>
      </w:r>
      <w:r w:rsidRPr="0038285D">
        <w:rPr>
          <w:rFonts w:ascii="Aptos Display" w:hAnsi="Aptos Display" w:cs="Times New Roman"/>
          <w:sz w:val="26"/>
          <w:szCs w:val="26"/>
        </w:rPr>
        <w:t>It is also important that holiday accrual and payment processes are applied consistently across all bank workers to minimise the risk of unlawful deductions from wages or breach of working time regulations. Accurate record keeping of hours worked, payments made and leave taken is therefore essential.</w:t>
      </w:r>
      <w:r w:rsidRPr="0038285D">
        <w:rPr>
          <w:rFonts w:ascii="Aptos Display" w:hAnsi="Aptos Display"/>
          <w:sz w:val="26"/>
          <w:szCs w:val="26"/>
        </w:rPr>
        <w:br/>
      </w:r>
      <w:r w:rsidRPr="0038285D">
        <w:rPr>
          <w:rFonts w:ascii="Aptos Display" w:hAnsi="Aptos Display" w:cs="Times New Roman"/>
          <w:sz w:val="26"/>
          <w:szCs w:val="26"/>
        </w:rPr>
        <w:t>Overall, although bank staff work flexibly and on a casual basis, they remain legally entitled to paid annual leave that reflects their normal earnings. Ensuring calculations are fair, transparent and compliant with legislation will help reduce legal risk and support positive employee relations within the department.</w:t>
      </w:r>
    </w:p>
    <w:p w14:paraId="25780A23" w14:textId="77777777" w:rsidR="0066760F" w:rsidRPr="0038285D" w:rsidRDefault="0066760F" w:rsidP="0066760F">
      <w:pPr>
        <w:pStyle w:val="NormalWeb"/>
        <w:spacing w:before="0" w:beforeAutospacing="0" w:after="180" w:afterAutospacing="0"/>
        <w:rPr>
          <w:rFonts w:ascii="Aptos Display" w:hAnsi="Aptos Display" w:cs="Times New Roman"/>
          <w:sz w:val="26"/>
          <w:szCs w:val="26"/>
        </w:rPr>
      </w:pPr>
    </w:p>
    <w:p w14:paraId="2079702D" w14:textId="62334261" w:rsidR="0066760F" w:rsidRPr="0038285D" w:rsidRDefault="0066760F" w:rsidP="0066760F">
      <w:pPr>
        <w:pStyle w:val="NormalWeb"/>
        <w:spacing w:before="0" w:beforeAutospacing="0" w:after="180" w:afterAutospacing="0"/>
        <w:rPr>
          <w:rFonts w:ascii="Aptos Display" w:hAnsi="Aptos Display" w:cs="Times New Roman"/>
          <w:b/>
          <w:bCs/>
          <w:sz w:val="26"/>
          <w:szCs w:val="26"/>
        </w:rPr>
      </w:pPr>
      <w:r w:rsidRPr="0038285D">
        <w:rPr>
          <w:rFonts w:ascii="Aptos Display" w:hAnsi="Aptos Display" w:cs="Times New Roman"/>
          <w:b/>
          <w:bCs/>
          <w:sz w:val="26"/>
          <w:szCs w:val="26"/>
        </w:rPr>
        <w:t>AC 4.2</w:t>
      </w:r>
    </w:p>
    <w:p w14:paraId="7A9CC1B5" w14:textId="4AD90A28" w:rsidR="0066760F" w:rsidRPr="0038285D" w:rsidRDefault="0066760F" w:rsidP="0066760F">
      <w:pPr>
        <w:pStyle w:val="NormalWeb"/>
        <w:spacing w:before="0" w:beforeAutospacing="0" w:after="180" w:afterAutospacing="0"/>
        <w:rPr>
          <w:rFonts w:ascii="Aptos Display" w:hAnsi="Aptos Display"/>
          <w:sz w:val="26"/>
          <w:szCs w:val="26"/>
        </w:rPr>
      </w:pPr>
      <w:r w:rsidRPr="0038285D">
        <w:rPr>
          <w:rFonts w:ascii="Aptos Display" w:hAnsi="Aptos Display" w:cs="Times New Roman"/>
          <w:sz w:val="26"/>
          <w:szCs w:val="26"/>
        </w:rPr>
        <w:t>Thank you for your query regarding maternity leave and shared parental leave (SPL). Both options provide important rights and protections for parents, but they differ significantly in terms of flexibility, eligibility and how leave can be shared between parents.</w:t>
      </w:r>
      <w:r w:rsidRPr="0038285D">
        <w:rPr>
          <w:rFonts w:ascii="Aptos Display" w:hAnsi="Aptos Display"/>
          <w:sz w:val="26"/>
          <w:szCs w:val="26"/>
        </w:rPr>
        <w:br/>
      </w:r>
      <w:r w:rsidRPr="0038285D">
        <w:rPr>
          <w:rFonts w:ascii="Aptos Display" w:hAnsi="Aptos Display" w:cs="Times New Roman"/>
          <w:sz w:val="26"/>
          <w:szCs w:val="26"/>
        </w:rPr>
        <w:t xml:space="preserve">Maternity leave is a legal entitlement available to employees who are pregnant, regardless of length of service. Eligible employees can take up to 52 weeks of maternity leave, consisting of 26 weeks of Ordinary Maternity Leave and 26 weeks of </w:t>
      </w:r>
      <w:r w:rsidRPr="0038285D">
        <w:rPr>
          <w:rFonts w:ascii="Aptos Display" w:hAnsi="Aptos Display" w:cs="Times New Roman"/>
          <w:sz w:val="26"/>
          <w:szCs w:val="26"/>
        </w:rPr>
        <w:lastRenderedPageBreak/>
        <w:t>Additional Maternity Leave. Statutory Maternity Pay (SMP) is generally available for up to 39 weeks for employees who meet the qualifying criteria relating to earnings and continuous service. Importantly, the first two weeks following childbirth are compulsory maternity leave, during which the employee cannot return to work.</w:t>
      </w:r>
      <w:r w:rsidRPr="0038285D">
        <w:rPr>
          <w:rFonts w:ascii="Aptos Display" w:hAnsi="Aptos Display"/>
          <w:sz w:val="26"/>
          <w:szCs w:val="26"/>
        </w:rPr>
        <w:br/>
      </w:r>
      <w:r w:rsidRPr="0038285D">
        <w:rPr>
          <w:rFonts w:ascii="Aptos Display" w:hAnsi="Aptos Display" w:cs="Times New Roman"/>
          <w:sz w:val="26"/>
          <w:szCs w:val="26"/>
        </w:rPr>
        <w:t>Shared Parental Leave operates differently as it allows eligible parents to share leave and pay following the birth or adoption of a child. To access SPL, the mother must choose to end maternity leave and maternity pay early, and the remaining entitlement can then be shared between both parents. Eligible parents may share up to 50 weeks of leave and up to 37 weeks of statutory pay.</w:t>
      </w:r>
      <w:r w:rsidRPr="0038285D">
        <w:rPr>
          <w:rFonts w:ascii="Aptos Display" w:hAnsi="Aptos Display"/>
          <w:sz w:val="26"/>
          <w:szCs w:val="26"/>
        </w:rPr>
        <w:br/>
      </w:r>
      <w:r w:rsidRPr="0038285D">
        <w:rPr>
          <w:rFonts w:ascii="Aptos Display" w:hAnsi="Aptos Display" w:cs="Times New Roman"/>
          <w:sz w:val="26"/>
          <w:szCs w:val="26"/>
        </w:rPr>
        <w:t>One of the main advantages of SPL is flexibility. Parents can choose to take leave at different times, take leave together, or alternate periods of leave to suit childcare arrangements and work commitments. This can provide greater balance between partners and allow both parents to spend time caring for their child. In contrast, maternity leave is generally taken by one parent continuously and provides less flexibility in how leave is arranged.</w:t>
      </w:r>
      <w:r w:rsidRPr="0038285D">
        <w:rPr>
          <w:rFonts w:ascii="Aptos Display" w:hAnsi="Aptos Display"/>
          <w:sz w:val="26"/>
          <w:szCs w:val="26"/>
        </w:rPr>
        <w:br/>
      </w:r>
      <w:r w:rsidRPr="0038285D">
        <w:rPr>
          <w:rFonts w:ascii="Aptos Display" w:hAnsi="Aptos Display" w:cs="Times New Roman"/>
          <w:sz w:val="26"/>
          <w:szCs w:val="26"/>
        </w:rPr>
        <w:t>However, maternity leave may provide greater simplicity and financial certainty, particularly where enhanced maternity pay schemes are available through the employer. Some organisations offer enhanced maternity benefits that are more generous than shared parental pay. Employees should therefore compare organisational policies carefully before deciding which arrangement is most beneficial financially and practically.</w:t>
      </w:r>
      <w:r w:rsidRPr="0038285D">
        <w:rPr>
          <w:rFonts w:ascii="Aptos Display" w:hAnsi="Aptos Display"/>
          <w:sz w:val="26"/>
          <w:szCs w:val="26"/>
        </w:rPr>
        <w:br/>
      </w:r>
      <w:r w:rsidRPr="0038285D">
        <w:rPr>
          <w:rFonts w:ascii="Aptos Display" w:hAnsi="Aptos Display" w:cs="Times New Roman"/>
          <w:sz w:val="26"/>
          <w:szCs w:val="26"/>
        </w:rPr>
        <w:t>Both maternity leave and SPL provide employees with protection from unfair treatment, discrimination and dismissal connected to pregnancy, childbirth or taking family-related leave. Employees are also generally entitled to return to their role following leave, subject to statutory provisions.</w:t>
      </w:r>
      <w:r w:rsidRPr="0038285D">
        <w:rPr>
          <w:rFonts w:ascii="Aptos Display" w:hAnsi="Aptos Display"/>
          <w:sz w:val="26"/>
          <w:szCs w:val="26"/>
        </w:rPr>
        <w:br/>
      </w:r>
      <w:r w:rsidRPr="0038285D">
        <w:rPr>
          <w:rFonts w:ascii="Aptos Display" w:hAnsi="Aptos Display" w:cs="Times New Roman"/>
          <w:sz w:val="26"/>
          <w:szCs w:val="26"/>
        </w:rPr>
        <w:t>Overall, the most suitable option will depend on personal circumstances, financial considerations and how you and your partner wish to balance childcare and work responsibilities.</w:t>
      </w:r>
    </w:p>
    <w:p w14:paraId="6AC043C6" w14:textId="7124F988" w:rsidR="0066760F" w:rsidRPr="0038285D" w:rsidRDefault="00530C58" w:rsidP="0066760F">
      <w:pPr>
        <w:pStyle w:val="NormalWeb"/>
        <w:spacing w:before="0" w:beforeAutospacing="0" w:after="180" w:afterAutospacing="0"/>
        <w:rPr>
          <w:rFonts w:ascii="Aptos Display" w:hAnsi="Aptos Display" w:cs="Times New Roman"/>
          <w:b/>
          <w:bCs/>
          <w:sz w:val="26"/>
          <w:szCs w:val="26"/>
        </w:rPr>
      </w:pPr>
      <w:r w:rsidRPr="0038285D">
        <w:rPr>
          <w:rFonts w:ascii="Aptos Display" w:hAnsi="Aptos Display" w:cs="Times New Roman"/>
          <w:b/>
          <w:bCs/>
          <w:sz w:val="26"/>
          <w:szCs w:val="26"/>
        </w:rPr>
        <w:t xml:space="preserve">AC 4.3 </w:t>
      </w:r>
    </w:p>
    <w:p w14:paraId="28C76E59" w14:textId="5300F64D" w:rsidR="00530C58" w:rsidRPr="0038285D" w:rsidRDefault="00530C58" w:rsidP="00530C58">
      <w:pPr>
        <w:pStyle w:val="NormalWeb"/>
        <w:rPr>
          <w:rFonts w:ascii="Aptos Display" w:hAnsi="Aptos Display"/>
          <w:sz w:val="26"/>
          <w:szCs w:val="26"/>
        </w:rPr>
      </w:pPr>
      <w:r w:rsidRPr="0038285D">
        <w:rPr>
          <w:rFonts w:ascii="Aptos Display" w:hAnsi="Aptos Display"/>
          <w:sz w:val="26"/>
          <w:szCs w:val="26"/>
        </w:rPr>
        <w:t>In relation to the recent flexible working request submitted by the newly appointed Administrative Officer, it is important that the organisation handles the request in accordance with current employment legislation and follows a fair and reasonable process.</w:t>
      </w:r>
      <w:r w:rsidR="0038285D">
        <w:rPr>
          <w:rFonts w:ascii="Aptos Display" w:hAnsi="Aptos Display"/>
          <w:sz w:val="26"/>
          <w:szCs w:val="26"/>
        </w:rPr>
        <w:br/>
      </w:r>
      <w:r w:rsidRPr="0038285D">
        <w:rPr>
          <w:rFonts w:ascii="Aptos Display" w:hAnsi="Aptos Display"/>
          <w:sz w:val="26"/>
          <w:szCs w:val="26"/>
        </w:rPr>
        <w:t>Under the Employment Relations (Flexible Working) Act 2023, employees in the UK have the statutory right to request flexible working from the first day of employment. Flexible working may include requests to work from home, amend working hours, or alter working patterns. Whilst employees have the right to request flexible working, there is no automatic entitlement for the request to be approved. Employers must, however, deal with requests in a reasonable manner and provide a decision within two months unless an extension is agreed.</w:t>
      </w:r>
    </w:p>
    <w:p w14:paraId="05E11DEF" w14:textId="77777777" w:rsidR="00530C58" w:rsidRPr="0038285D" w:rsidRDefault="00530C58" w:rsidP="00530C58">
      <w:pPr>
        <w:pStyle w:val="NormalWeb"/>
        <w:rPr>
          <w:rFonts w:ascii="Aptos Display" w:hAnsi="Aptos Display"/>
          <w:sz w:val="26"/>
          <w:szCs w:val="26"/>
        </w:rPr>
      </w:pPr>
      <w:r w:rsidRPr="0038285D">
        <w:rPr>
          <w:rFonts w:ascii="Aptos Display" w:hAnsi="Aptos Display"/>
          <w:sz w:val="26"/>
          <w:szCs w:val="26"/>
        </w:rPr>
        <w:lastRenderedPageBreak/>
        <w:t>The organisation may refuse a flexible working request provided there is a legitimate business reason for doing so. Acceptable statutory reasons include:</w:t>
      </w:r>
    </w:p>
    <w:p w14:paraId="284605E2" w14:textId="77777777" w:rsidR="00530C58" w:rsidRPr="0038285D" w:rsidRDefault="00530C58" w:rsidP="00530C58">
      <w:pPr>
        <w:numPr>
          <w:ilvl w:val="0"/>
          <w:numId w:val="1"/>
        </w:numPr>
        <w:spacing w:before="100" w:beforeAutospacing="1" w:after="100" w:afterAutospacing="1" w:line="240" w:lineRule="auto"/>
        <w:rPr>
          <w:rFonts w:ascii="Aptos Display" w:eastAsia="Times New Roman" w:hAnsi="Aptos Display" w:cs="Times New Roman"/>
          <w:sz w:val="26"/>
          <w:szCs w:val="26"/>
        </w:rPr>
      </w:pPr>
      <w:r w:rsidRPr="0038285D">
        <w:rPr>
          <w:rFonts w:ascii="Aptos Display" w:eastAsia="Times New Roman" w:hAnsi="Aptos Display" w:cs="Times New Roman"/>
          <w:sz w:val="26"/>
          <w:szCs w:val="26"/>
        </w:rPr>
        <w:t>Detrimental impact on quality or performance</w:t>
      </w:r>
    </w:p>
    <w:p w14:paraId="215C8173" w14:textId="77777777" w:rsidR="00530C58" w:rsidRPr="0038285D" w:rsidRDefault="00530C58" w:rsidP="00530C58">
      <w:pPr>
        <w:numPr>
          <w:ilvl w:val="0"/>
          <w:numId w:val="1"/>
        </w:numPr>
        <w:spacing w:before="100" w:beforeAutospacing="1" w:after="100" w:afterAutospacing="1" w:line="240" w:lineRule="auto"/>
        <w:rPr>
          <w:rFonts w:ascii="Aptos Display" w:eastAsia="Times New Roman" w:hAnsi="Aptos Display" w:cs="Times New Roman"/>
          <w:sz w:val="26"/>
          <w:szCs w:val="26"/>
        </w:rPr>
      </w:pPr>
      <w:r w:rsidRPr="0038285D">
        <w:rPr>
          <w:rFonts w:ascii="Aptos Display" w:eastAsia="Times New Roman" w:hAnsi="Aptos Display" w:cs="Times New Roman"/>
          <w:sz w:val="26"/>
          <w:szCs w:val="26"/>
        </w:rPr>
        <w:t>Detrimental effect on ability to meet customer or service demand</w:t>
      </w:r>
    </w:p>
    <w:p w14:paraId="74DEE427" w14:textId="77777777" w:rsidR="00530C58" w:rsidRPr="0038285D" w:rsidRDefault="00530C58" w:rsidP="00530C58">
      <w:pPr>
        <w:numPr>
          <w:ilvl w:val="0"/>
          <w:numId w:val="1"/>
        </w:numPr>
        <w:spacing w:before="100" w:beforeAutospacing="1" w:after="100" w:afterAutospacing="1" w:line="240" w:lineRule="auto"/>
        <w:rPr>
          <w:rFonts w:ascii="Aptos Display" w:eastAsia="Times New Roman" w:hAnsi="Aptos Display" w:cs="Times New Roman"/>
          <w:sz w:val="26"/>
          <w:szCs w:val="26"/>
        </w:rPr>
      </w:pPr>
      <w:r w:rsidRPr="0038285D">
        <w:rPr>
          <w:rFonts w:ascii="Aptos Display" w:eastAsia="Times New Roman" w:hAnsi="Aptos Display" w:cs="Times New Roman"/>
          <w:sz w:val="26"/>
          <w:szCs w:val="26"/>
        </w:rPr>
        <w:t>Inability to reorganise work amongst existing staff</w:t>
      </w:r>
    </w:p>
    <w:p w14:paraId="25E3A208" w14:textId="77777777" w:rsidR="00530C58" w:rsidRPr="0038285D" w:rsidRDefault="00530C58" w:rsidP="00530C58">
      <w:pPr>
        <w:numPr>
          <w:ilvl w:val="0"/>
          <w:numId w:val="1"/>
        </w:numPr>
        <w:spacing w:before="100" w:beforeAutospacing="1" w:after="100" w:afterAutospacing="1" w:line="240" w:lineRule="auto"/>
        <w:rPr>
          <w:rFonts w:ascii="Aptos Display" w:eastAsia="Times New Roman" w:hAnsi="Aptos Display" w:cs="Times New Roman"/>
          <w:sz w:val="26"/>
          <w:szCs w:val="26"/>
        </w:rPr>
      </w:pPr>
      <w:r w:rsidRPr="0038285D">
        <w:rPr>
          <w:rFonts w:ascii="Aptos Display" w:eastAsia="Times New Roman" w:hAnsi="Aptos Display" w:cs="Times New Roman"/>
          <w:sz w:val="26"/>
          <w:szCs w:val="26"/>
        </w:rPr>
        <w:t>Insufficient work available during the periods proposed</w:t>
      </w:r>
    </w:p>
    <w:p w14:paraId="28CBDC1B" w14:textId="77777777" w:rsidR="00530C58" w:rsidRPr="0038285D" w:rsidRDefault="00530C58" w:rsidP="00530C58">
      <w:pPr>
        <w:numPr>
          <w:ilvl w:val="0"/>
          <w:numId w:val="1"/>
        </w:numPr>
        <w:spacing w:before="100" w:beforeAutospacing="1" w:after="100" w:afterAutospacing="1" w:line="240" w:lineRule="auto"/>
        <w:rPr>
          <w:rFonts w:ascii="Aptos Display" w:eastAsia="Times New Roman" w:hAnsi="Aptos Display" w:cs="Times New Roman"/>
          <w:sz w:val="26"/>
          <w:szCs w:val="26"/>
        </w:rPr>
      </w:pPr>
      <w:r w:rsidRPr="0038285D">
        <w:rPr>
          <w:rFonts w:ascii="Aptos Display" w:eastAsia="Times New Roman" w:hAnsi="Aptos Display" w:cs="Times New Roman"/>
          <w:sz w:val="26"/>
          <w:szCs w:val="26"/>
        </w:rPr>
        <w:t>Planned structural changes</w:t>
      </w:r>
    </w:p>
    <w:p w14:paraId="3D86788A" w14:textId="7017155A" w:rsidR="00530C58" w:rsidRPr="0038285D" w:rsidRDefault="00530C58" w:rsidP="00530C58">
      <w:pPr>
        <w:pStyle w:val="NormalWeb"/>
        <w:rPr>
          <w:rFonts w:ascii="Aptos Display" w:hAnsi="Aptos Display"/>
          <w:sz w:val="26"/>
          <w:szCs w:val="26"/>
        </w:rPr>
      </w:pPr>
      <w:r w:rsidRPr="0038285D">
        <w:rPr>
          <w:rFonts w:ascii="Aptos Display" w:hAnsi="Aptos Display"/>
          <w:sz w:val="26"/>
          <w:szCs w:val="26"/>
        </w:rPr>
        <w:t>In this case, concerns regarding reduced service quality, reduced collaboration within the team, and the potential impact on the effectiveness of administrative support across the hospital site could potentially form part of a reasonable business justification. However, it is important that the request is considered individually and objectively rather than refused solely due to concerns that other employees may submit similar requests in future. Rejecting a request on this basis alone could be viewed as unreasonable and may expose the organisation to employee relations issues or legal challenge.</w:t>
      </w:r>
      <w:r w:rsidR="0038285D">
        <w:rPr>
          <w:rFonts w:ascii="Aptos Display" w:hAnsi="Aptos Display"/>
          <w:sz w:val="26"/>
          <w:szCs w:val="26"/>
        </w:rPr>
        <w:br/>
      </w:r>
      <w:r w:rsidRPr="0038285D">
        <w:rPr>
          <w:rFonts w:ascii="Aptos Display" w:hAnsi="Aptos Display"/>
          <w:sz w:val="26"/>
          <w:szCs w:val="26"/>
        </w:rPr>
        <w:t>I would recommend arranging a meeting with the employee to discuss the request further, explore the operational impact, and consider whether alternative arrangements could be appropriate, such as a trial period or fewer home-working days. Following this discussion, a formal written outcome should be provided outlining the decision and the rationale behind it.</w:t>
      </w:r>
      <w:r w:rsidR="0038285D">
        <w:rPr>
          <w:rFonts w:ascii="Aptos Display" w:hAnsi="Aptos Display"/>
          <w:sz w:val="26"/>
          <w:szCs w:val="26"/>
        </w:rPr>
        <w:br/>
      </w:r>
      <w:r w:rsidRPr="0038285D">
        <w:rPr>
          <w:rFonts w:ascii="Aptos Display" w:hAnsi="Aptos Display"/>
          <w:sz w:val="26"/>
          <w:szCs w:val="26"/>
        </w:rPr>
        <w:t>Please let me know if you would like support in drafting the formal response to the employee or arranging the consultation meeting.</w:t>
      </w:r>
    </w:p>
    <w:p w14:paraId="092E8073" w14:textId="77777777" w:rsidR="0066760F" w:rsidRPr="0038285D" w:rsidRDefault="0066760F" w:rsidP="0066760F">
      <w:pPr>
        <w:pStyle w:val="NormalWeb"/>
        <w:spacing w:before="0" w:beforeAutospacing="0" w:after="180" w:afterAutospacing="0"/>
        <w:rPr>
          <w:rFonts w:ascii="Aptos Display" w:hAnsi="Aptos Display" w:cs="Times New Roman"/>
          <w:sz w:val="26"/>
          <w:szCs w:val="26"/>
        </w:rPr>
      </w:pPr>
    </w:p>
    <w:p w14:paraId="36F16DC2" w14:textId="77777777" w:rsidR="0066760F" w:rsidRPr="0038285D" w:rsidRDefault="0066760F" w:rsidP="0066760F">
      <w:pPr>
        <w:pStyle w:val="NormalWeb"/>
        <w:spacing w:before="0" w:beforeAutospacing="0" w:after="180" w:afterAutospacing="0"/>
        <w:rPr>
          <w:rFonts w:ascii="Aptos Display" w:hAnsi="Aptos Display" w:cs="Times New Roman"/>
          <w:sz w:val="26"/>
          <w:szCs w:val="26"/>
        </w:rPr>
      </w:pPr>
    </w:p>
    <w:p w14:paraId="637227FB" w14:textId="77777777" w:rsidR="0066760F" w:rsidRPr="0038285D" w:rsidRDefault="0066760F" w:rsidP="0066760F">
      <w:pPr>
        <w:pStyle w:val="NormalWeb"/>
        <w:spacing w:before="0" w:beforeAutospacing="0" w:after="180" w:afterAutospacing="0"/>
        <w:rPr>
          <w:rFonts w:ascii="Aptos Display" w:hAnsi="Aptos Display" w:cs="Times New Roman"/>
          <w:sz w:val="26"/>
          <w:szCs w:val="26"/>
        </w:rPr>
      </w:pPr>
    </w:p>
    <w:p w14:paraId="6C310D6A" w14:textId="77777777" w:rsidR="00530C58" w:rsidRPr="0038285D" w:rsidRDefault="00530C58" w:rsidP="00530C58">
      <w:pPr>
        <w:pStyle w:val="NormalWeb"/>
        <w:rPr>
          <w:rFonts w:ascii="Aptos Display" w:hAnsi="Aptos Display" w:cs="Times New Roman"/>
          <w:sz w:val="26"/>
          <w:szCs w:val="26"/>
        </w:rPr>
      </w:pPr>
    </w:p>
    <w:p w14:paraId="465361C7" w14:textId="77777777" w:rsidR="009A14B3" w:rsidRPr="0038285D" w:rsidRDefault="009A14B3" w:rsidP="00530C58">
      <w:pPr>
        <w:pStyle w:val="NormalWeb"/>
        <w:rPr>
          <w:rFonts w:ascii="Aptos Display" w:hAnsi="Aptos Display" w:cs="Times New Roman"/>
          <w:sz w:val="26"/>
          <w:szCs w:val="26"/>
        </w:rPr>
      </w:pPr>
    </w:p>
    <w:p w14:paraId="74EF265B" w14:textId="77777777" w:rsidR="009A14B3" w:rsidRPr="0038285D" w:rsidRDefault="009A14B3" w:rsidP="00530C58">
      <w:pPr>
        <w:pStyle w:val="NormalWeb"/>
        <w:rPr>
          <w:rFonts w:ascii="Aptos Display" w:hAnsi="Aptos Display" w:cs="Times New Roman"/>
          <w:sz w:val="26"/>
          <w:szCs w:val="26"/>
        </w:rPr>
      </w:pPr>
    </w:p>
    <w:p w14:paraId="1F9556DA" w14:textId="77777777" w:rsidR="009A14B3" w:rsidRPr="0038285D" w:rsidRDefault="009A14B3" w:rsidP="00530C58">
      <w:pPr>
        <w:pStyle w:val="NormalWeb"/>
        <w:rPr>
          <w:rFonts w:ascii="Aptos Display" w:hAnsi="Aptos Display" w:cs="Times New Roman"/>
          <w:sz w:val="26"/>
          <w:szCs w:val="26"/>
        </w:rPr>
      </w:pPr>
    </w:p>
    <w:p w14:paraId="701A4436" w14:textId="77777777" w:rsidR="009A14B3" w:rsidRDefault="009A14B3" w:rsidP="00530C58">
      <w:pPr>
        <w:pStyle w:val="NormalWeb"/>
        <w:rPr>
          <w:rFonts w:ascii="Aptos Display" w:hAnsi="Aptos Display" w:cs="Times New Roman"/>
          <w:sz w:val="26"/>
          <w:szCs w:val="26"/>
        </w:rPr>
      </w:pPr>
    </w:p>
    <w:p w14:paraId="17821A88" w14:textId="77777777" w:rsidR="0038285D" w:rsidRDefault="0038285D" w:rsidP="00530C58">
      <w:pPr>
        <w:pStyle w:val="NormalWeb"/>
        <w:rPr>
          <w:rFonts w:ascii="Aptos Display" w:hAnsi="Aptos Display" w:cs="Times New Roman"/>
          <w:sz w:val="26"/>
          <w:szCs w:val="26"/>
        </w:rPr>
      </w:pPr>
    </w:p>
    <w:p w14:paraId="7D2499B7" w14:textId="77777777" w:rsidR="0038285D" w:rsidRPr="0038285D" w:rsidRDefault="0038285D" w:rsidP="00530C58">
      <w:pPr>
        <w:pStyle w:val="NormalWeb"/>
        <w:rPr>
          <w:rFonts w:ascii="Aptos Display" w:hAnsi="Aptos Display" w:cs="Times New Roman"/>
          <w:sz w:val="26"/>
          <w:szCs w:val="26"/>
        </w:rPr>
      </w:pPr>
    </w:p>
    <w:p w14:paraId="34F10D0B" w14:textId="77777777" w:rsidR="009A14B3" w:rsidRPr="0038285D" w:rsidRDefault="009A14B3" w:rsidP="00530C58">
      <w:pPr>
        <w:pStyle w:val="NormalWeb"/>
        <w:rPr>
          <w:rFonts w:ascii="Aptos Display" w:hAnsi="Aptos Display" w:cs="Times New Roman"/>
          <w:sz w:val="26"/>
          <w:szCs w:val="26"/>
        </w:rPr>
      </w:pPr>
    </w:p>
    <w:p w14:paraId="1CEBED60" w14:textId="2CAFB7F5" w:rsidR="00530C58" w:rsidRPr="0038285D" w:rsidRDefault="00891701" w:rsidP="00530C58">
      <w:pPr>
        <w:pStyle w:val="NormalWeb"/>
        <w:rPr>
          <w:rFonts w:ascii="Aptos Display" w:hAnsi="Aptos Display"/>
          <w:b/>
          <w:bCs/>
          <w:sz w:val="26"/>
          <w:szCs w:val="26"/>
        </w:rPr>
      </w:pPr>
      <w:r w:rsidRPr="0038285D">
        <w:rPr>
          <w:rFonts w:ascii="Aptos Display" w:hAnsi="Aptos Display"/>
          <w:b/>
          <w:bCs/>
          <w:sz w:val="26"/>
          <w:szCs w:val="26"/>
        </w:rPr>
        <w:lastRenderedPageBreak/>
        <w:t>References</w:t>
      </w:r>
    </w:p>
    <w:p w14:paraId="13ED0293" w14:textId="032426AA" w:rsidR="00530C58" w:rsidRPr="0038285D" w:rsidRDefault="00530C58" w:rsidP="00530C58">
      <w:pPr>
        <w:pStyle w:val="NormalWeb"/>
        <w:rPr>
          <w:rFonts w:ascii="Aptos Display" w:hAnsi="Aptos Display"/>
          <w:b/>
          <w:bCs/>
          <w:sz w:val="26"/>
          <w:szCs w:val="26"/>
        </w:rPr>
      </w:pPr>
      <w:r w:rsidRPr="0038285D">
        <w:rPr>
          <w:rFonts w:ascii="Aptos Display" w:hAnsi="Aptos Display" w:cs="Times New Roman"/>
          <w:sz w:val="26"/>
          <w:szCs w:val="26"/>
        </w:rPr>
        <w:t xml:space="preserve">ACAS (2024) Constructive dismissal. Available at: </w:t>
      </w:r>
      <w:hyperlink r:id="rId8" w:history="1">
        <w:r w:rsidRPr="0038285D">
          <w:rPr>
            <w:rStyle w:val="Hyperlink"/>
            <w:rFonts w:ascii="Aptos Display" w:hAnsi="Aptos Display" w:cs="Times New Roman"/>
            <w:color w:val="0000EE"/>
            <w:sz w:val="26"/>
            <w:szCs w:val="26"/>
          </w:rPr>
          <w:t>https://www.acas.org.uk/dismissals/constructive-dismissal</w:t>
        </w:r>
      </w:hyperlink>
      <w:r w:rsidRPr="0038285D">
        <w:rPr>
          <w:rFonts w:ascii="Aptos Display" w:hAnsi="Aptos Display" w:cs="Times New Roman"/>
          <w:sz w:val="26"/>
          <w:szCs w:val="26"/>
        </w:rPr>
        <w:t xml:space="preserve"> </w:t>
      </w:r>
    </w:p>
    <w:p w14:paraId="06887FF9" w14:textId="77777777" w:rsidR="00530C58" w:rsidRPr="0038285D" w:rsidRDefault="00530C58" w:rsidP="00530C58">
      <w:pPr>
        <w:pStyle w:val="NormalWeb"/>
        <w:spacing w:before="0" w:beforeAutospacing="0" w:after="180" w:afterAutospacing="0"/>
        <w:rPr>
          <w:rFonts w:ascii="Aptos Display" w:hAnsi="Aptos Display"/>
          <w:sz w:val="26"/>
          <w:szCs w:val="26"/>
        </w:rPr>
      </w:pPr>
      <w:r w:rsidRPr="0038285D">
        <w:rPr>
          <w:rFonts w:ascii="Aptos Display" w:hAnsi="Aptos Display" w:cs="Times New Roman"/>
          <w:sz w:val="26"/>
          <w:szCs w:val="26"/>
        </w:rPr>
        <w:t xml:space="preserve">ACAS (2024) Discrimination and the law. Available at: </w:t>
      </w:r>
      <w:hyperlink r:id="rId9" w:history="1">
        <w:r w:rsidRPr="0038285D">
          <w:rPr>
            <w:rStyle w:val="Hyperlink"/>
            <w:rFonts w:ascii="Aptos Display" w:hAnsi="Aptos Display" w:cs="Times New Roman"/>
            <w:color w:val="0000EE"/>
            <w:sz w:val="26"/>
            <w:szCs w:val="26"/>
          </w:rPr>
          <w:t>https://www.acas.org.uk/discrimination-and-the-law</w:t>
        </w:r>
      </w:hyperlink>
      <w:r w:rsidRPr="0038285D">
        <w:rPr>
          <w:rFonts w:ascii="Aptos Display" w:hAnsi="Aptos Display" w:cs="Times New Roman"/>
          <w:sz w:val="26"/>
          <w:szCs w:val="26"/>
        </w:rPr>
        <w:t xml:space="preserve"> </w:t>
      </w:r>
    </w:p>
    <w:p w14:paraId="3DA21A45" w14:textId="77777777" w:rsidR="00530C58" w:rsidRPr="0038285D" w:rsidRDefault="00530C58" w:rsidP="00530C58">
      <w:pPr>
        <w:pStyle w:val="NormalWeb"/>
        <w:rPr>
          <w:rFonts w:ascii="Aptos Display" w:hAnsi="Aptos Display"/>
          <w:sz w:val="26"/>
          <w:szCs w:val="26"/>
        </w:rPr>
      </w:pPr>
      <w:r w:rsidRPr="0038285D">
        <w:rPr>
          <w:rFonts w:ascii="Aptos Display" w:hAnsi="Aptos Display"/>
          <w:sz w:val="26"/>
          <w:szCs w:val="26"/>
        </w:rPr>
        <w:t>ACAS (2024) Employment law. Available at: </w:t>
      </w:r>
      <w:hyperlink r:id="rId10" w:history="1">
        <w:r w:rsidRPr="0038285D">
          <w:rPr>
            <w:rStyle w:val="Hyperlink"/>
            <w:rFonts w:ascii="Aptos Display" w:hAnsi="Aptos Display"/>
            <w:sz w:val="26"/>
            <w:szCs w:val="26"/>
          </w:rPr>
          <w:t>https://www.acas.org.uk/employment-law</w:t>
        </w:r>
      </w:hyperlink>
      <w:r w:rsidRPr="0038285D">
        <w:rPr>
          <w:rFonts w:ascii="Aptos Display" w:hAnsi="Aptos Display"/>
          <w:sz w:val="26"/>
          <w:szCs w:val="26"/>
        </w:rPr>
        <w:t> </w:t>
      </w:r>
    </w:p>
    <w:p w14:paraId="0ED6A65B" w14:textId="77777777" w:rsidR="00530C58" w:rsidRPr="0038285D" w:rsidRDefault="00530C58" w:rsidP="00530C58">
      <w:pPr>
        <w:pStyle w:val="NormalWeb"/>
        <w:spacing w:before="0" w:beforeAutospacing="0" w:after="180" w:afterAutospacing="0"/>
        <w:rPr>
          <w:rFonts w:ascii="Aptos Display" w:hAnsi="Aptos Display"/>
          <w:sz w:val="26"/>
          <w:szCs w:val="26"/>
        </w:rPr>
      </w:pPr>
      <w:r w:rsidRPr="0038285D">
        <w:rPr>
          <w:rFonts w:ascii="Aptos Display" w:hAnsi="Aptos Display" w:cs="Times New Roman"/>
          <w:sz w:val="26"/>
          <w:szCs w:val="26"/>
        </w:rPr>
        <w:t xml:space="preserve">ACAS (2024) Equal pay. Available at: </w:t>
      </w:r>
      <w:hyperlink r:id="rId11" w:history="1">
        <w:r w:rsidRPr="0038285D">
          <w:rPr>
            <w:rStyle w:val="Hyperlink"/>
            <w:rFonts w:ascii="Aptos Display" w:hAnsi="Aptos Display" w:cs="Times New Roman"/>
            <w:color w:val="0000EE"/>
            <w:sz w:val="26"/>
            <w:szCs w:val="26"/>
          </w:rPr>
          <w:t>https://www.acas.org.uk/equal-pay</w:t>
        </w:r>
      </w:hyperlink>
      <w:r w:rsidRPr="0038285D">
        <w:rPr>
          <w:rFonts w:ascii="Aptos Display" w:hAnsi="Aptos Display" w:cs="Times New Roman"/>
          <w:sz w:val="26"/>
          <w:szCs w:val="26"/>
        </w:rPr>
        <w:t xml:space="preserve"> </w:t>
      </w:r>
    </w:p>
    <w:p w14:paraId="5BB8AA01" w14:textId="77777777" w:rsidR="00530C58" w:rsidRPr="0038285D" w:rsidRDefault="00530C58" w:rsidP="00530C58">
      <w:pPr>
        <w:spacing w:after="0" w:line="240" w:lineRule="auto"/>
        <w:rPr>
          <w:rFonts w:ascii="Aptos Display" w:eastAsia="Times New Roman" w:hAnsi="Aptos Display" w:cs="Times New Roman"/>
          <w:sz w:val="26"/>
          <w:szCs w:val="26"/>
        </w:rPr>
      </w:pPr>
      <w:r w:rsidRPr="0038285D">
        <w:rPr>
          <w:rFonts w:ascii="Aptos Display" w:eastAsia="Times New Roman" w:hAnsi="Aptos Display" w:cs="Times New Roman"/>
          <w:sz w:val="26"/>
          <w:szCs w:val="26"/>
        </w:rPr>
        <w:t xml:space="preserve">ACAS (2024) </w:t>
      </w:r>
      <w:r w:rsidRPr="0038285D">
        <w:rPr>
          <w:rFonts w:ascii="Aptos Display" w:eastAsia="Times New Roman" w:hAnsi="Aptos Display" w:cs="Times New Roman"/>
          <w:i/>
          <w:iCs/>
          <w:sz w:val="26"/>
          <w:szCs w:val="26"/>
        </w:rPr>
        <w:t>Flexible working requests</w:t>
      </w:r>
      <w:r w:rsidRPr="0038285D">
        <w:rPr>
          <w:rFonts w:ascii="Aptos Display" w:eastAsia="Times New Roman" w:hAnsi="Aptos Display" w:cs="Times New Roman"/>
          <w:sz w:val="26"/>
          <w:szCs w:val="26"/>
        </w:rPr>
        <w:t xml:space="preserve">. Available at:  ACAS Flexible Working Guidance </w:t>
      </w:r>
    </w:p>
    <w:p w14:paraId="565EC400" w14:textId="77777777" w:rsidR="00530C58" w:rsidRPr="0038285D" w:rsidRDefault="00530C58" w:rsidP="00530C58">
      <w:pPr>
        <w:pStyle w:val="NormalWeb"/>
        <w:spacing w:before="0" w:beforeAutospacing="0" w:after="180" w:afterAutospacing="0"/>
        <w:rPr>
          <w:rFonts w:ascii="Aptos Display" w:hAnsi="Aptos Display"/>
          <w:sz w:val="26"/>
          <w:szCs w:val="26"/>
        </w:rPr>
      </w:pPr>
      <w:r w:rsidRPr="0038285D">
        <w:rPr>
          <w:rFonts w:ascii="Aptos Display" w:hAnsi="Aptos Display" w:cs="Times New Roman"/>
          <w:sz w:val="26"/>
          <w:szCs w:val="26"/>
        </w:rPr>
        <w:t xml:space="preserve">ACAS (2024) Holiday pay. Available at: </w:t>
      </w:r>
      <w:hyperlink r:id="rId12" w:history="1">
        <w:r w:rsidRPr="0038285D">
          <w:rPr>
            <w:rStyle w:val="Hyperlink"/>
            <w:rFonts w:ascii="Aptos Display" w:hAnsi="Aptos Display" w:cs="Times New Roman"/>
            <w:color w:val="0000EE"/>
            <w:sz w:val="26"/>
            <w:szCs w:val="26"/>
          </w:rPr>
          <w:t>https://www.acas.org.uk/checking-holiday-entitlement/holiday-pay</w:t>
        </w:r>
      </w:hyperlink>
      <w:r w:rsidRPr="0038285D">
        <w:rPr>
          <w:rFonts w:ascii="Aptos Display" w:hAnsi="Aptos Display" w:cs="Times New Roman"/>
          <w:sz w:val="26"/>
          <w:szCs w:val="26"/>
        </w:rPr>
        <w:t xml:space="preserve"> </w:t>
      </w:r>
    </w:p>
    <w:p w14:paraId="0C921376" w14:textId="77777777" w:rsidR="00530C58" w:rsidRPr="0038285D" w:rsidRDefault="00530C58" w:rsidP="00530C58">
      <w:pPr>
        <w:pStyle w:val="NormalWeb"/>
        <w:spacing w:before="0" w:beforeAutospacing="0" w:after="180" w:afterAutospacing="0"/>
        <w:rPr>
          <w:rFonts w:ascii="Aptos Display" w:hAnsi="Aptos Display"/>
          <w:sz w:val="26"/>
          <w:szCs w:val="26"/>
        </w:rPr>
      </w:pPr>
      <w:r w:rsidRPr="0038285D">
        <w:rPr>
          <w:rFonts w:ascii="Aptos Display" w:hAnsi="Aptos Display" w:cs="Times New Roman"/>
          <w:sz w:val="26"/>
          <w:szCs w:val="26"/>
        </w:rPr>
        <w:t xml:space="preserve">ACAS (2024) Holiday pay. Available at: </w:t>
      </w:r>
      <w:hyperlink r:id="rId13" w:history="1">
        <w:r w:rsidRPr="0038285D">
          <w:rPr>
            <w:rStyle w:val="Hyperlink"/>
            <w:rFonts w:ascii="Aptos Display" w:hAnsi="Aptos Display" w:cs="Times New Roman"/>
            <w:color w:val="0000EE"/>
            <w:sz w:val="26"/>
            <w:szCs w:val="26"/>
          </w:rPr>
          <w:t>https://www.acas.org.uk/checking-holiday-entitlement/holiday-pay</w:t>
        </w:r>
      </w:hyperlink>
      <w:r w:rsidRPr="0038285D">
        <w:rPr>
          <w:rFonts w:ascii="Aptos Display" w:hAnsi="Aptos Display" w:cs="Times New Roman"/>
          <w:sz w:val="26"/>
          <w:szCs w:val="26"/>
        </w:rPr>
        <w:t xml:space="preserve"> </w:t>
      </w:r>
    </w:p>
    <w:p w14:paraId="5B015914" w14:textId="77777777" w:rsidR="00530C58" w:rsidRPr="0038285D" w:rsidRDefault="00530C58" w:rsidP="00530C58">
      <w:pPr>
        <w:pStyle w:val="NormalWeb"/>
        <w:spacing w:before="0" w:beforeAutospacing="0" w:after="180" w:afterAutospacing="0"/>
        <w:rPr>
          <w:rFonts w:ascii="Aptos Display" w:hAnsi="Aptos Display"/>
          <w:sz w:val="26"/>
          <w:szCs w:val="26"/>
        </w:rPr>
      </w:pPr>
      <w:r w:rsidRPr="0038285D">
        <w:rPr>
          <w:rFonts w:ascii="Aptos Display" w:hAnsi="Aptos Display" w:cs="Times New Roman"/>
          <w:sz w:val="26"/>
          <w:szCs w:val="26"/>
        </w:rPr>
        <w:t xml:space="preserve">ACAS (2024) Redundancy. Available at: </w:t>
      </w:r>
      <w:hyperlink r:id="rId14" w:history="1">
        <w:r w:rsidRPr="0038285D">
          <w:rPr>
            <w:rStyle w:val="Hyperlink"/>
            <w:rFonts w:ascii="Aptos Display" w:hAnsi="Aptos Display" w:cs="Times New Roman"/>
            <w:color w:val="0000EE"/>
            <w:sz w:val="26"/>
            <w:szCs w:val="26"/>
          </w:rPr>
          <w:t>https://www.acas.org.uk/redundancy</w:t>
        </w:r>
      </w:hyperlink>
      <w:r w:rsidRPr="0038285D">
        <w:rPr>
          <w:rFonts w:ascii="Aptos Display" w:hAnsi="Aptos Display" w:cs="Times New Roman"/>
          <w:sz w:val="26"/>
          <w:szCs w:val="26"/>
        </w:rPr>
        <w:t xml:space="preserve"> </w:t>
      </w:r>
    </w:p>
    <w:p w14:paraId="5DC32B7B" w14:textId="77777777" w:rsidR="00530C58" w:rsidRPr="0038285D" w:rsidRDefault="00530C58" w:rsidP="00530C58">
      <w:pPr>
        <w:pStyle w:val="NormalWeb"/>
        <w:spacing w:before="0" w:beforeAutospacing="0" w:after="180" w:afterAutospacing="0"/>
        <w:rPr>
          <w:rFonts w:ascii="Aptos Display" w:hAnsi="Aptos Display"/>
          <w:sz w:val="26"/>
          <w:szCs w:val="26"/>
        </w:rPr>
      </w:pPr>
      <w:r w:rsidRPr="0038285D">
        <w:rPr>
          <w:rFonts w:ascii="Aptos Display" w:hAnsi="Aptos Display" w:cs="Times New Roman"/>
          <w:sz w:val="26"/>
          <w:szCs w:val="26"/>
        </w:rPr>
        <w:t xml:space="preserve">ACAS (2024) Shared parental leave and pay. Available at: </w:t>
      </w:r>
      <w:hyperlink r:id="rId15" w:history="1">
        <w:r w:rsidRPr="0038285D">
          <w:rPr>
            <w:rStyle w:val="Hyperlink"/>
            <w:rFonts w:ascii="Aptos Display" w:hAnsi="Aptos Display" w:cs="Times New Roman"/>
            <w:color w:val="0000EE"/>
            <w:sz w:val="26"/>
            <w:szCs w:val="26"/>
          </w:rPr>
          <w:t>https://www.acas.org.uk/shared-parental-leave-and-pay</w:t>
        </w:r>
      </w:hyperlink>
      <w:r w:rsidRPr="0038285D">
        <w:rPr>
          <w:rFonts w:ascii="Aptos Display" w:hAnsi="Aptos Display" w:cs="Times New Roman"/>
          <w:sz w:val="26"/>
          <w:szCs w:val="26"/>
        </w:rPr>
        <w:t xml:space="preserve"> </w:t>
      </w:r>
    </w:p>
    <w:p w14:paraId="2367F802" w14:textId="77777777" w:rsidR="00530C58" w:rsidRPr="0038285D" w:rsidRDefault="00530C58" w:rsidP="00530C58">
      <w:pPr>
        <w:pStyle w:val="NormalWeb"/>
        <w:spacing w:before="0" w:beforeAutospacing="0" w:after="0" w:afterAutospacing="0"/>
        <w:rPr>
          <w:rFonts w:ascii="Aptos Display" w:hAnsi="Aptos Display"/>
          <w:sz w:val="26"/>
          <w:szCs w:val="26"/>
        </w:rPr>
      </w:pPr>
      <w:r w:rsidRPr="0038285D">
        <w:rPr>
          <w:rFonts w:ascii="Aptos Display" w:hAnsi="Aptos Display"/>
          <w:sz w:val="26"/>
          <w:szCs w:val="26"/>
        </w:rPr>
        <w:t xml:space="preserve">ACAS (2024) TUPE transfers. Available at: </w:t>
      </w:r>
      <w:hyperlink r:id="rId16" w:history="1">
        <w:r w:rsidRPr="0038285D">
          <w:rPr>
            <w:rStyle w:val="Hyperlink"/>
            <w:rFonts w:ascii="Aptos Display" w:hAnsi="Aptos Display"/>
            <w:sz w:val="26"/>
            <w:szCs w:val="26"/>
          </w:rPr>
          <w:t>https://www.acas.org.uk/tupe</w:t>
        </w:r>
      </w:hyperlink>
      <w:r w:rsidRPr="0038285D">
        <w:rPr>
          <w:rFonts w:ascii="Aptos Display" w:hAnsi="Aptos Display"/>
          <w:sz w:val="26"/>
          <w:szCs w:val="26"/>
        </w:rPr>
        <w:t xml:space="preserve"> </w:t>
      </w:r>
    </w:p>
    <w:p w14:paraId="66A234E6" w14:textId="77777777" w:rsidR="00530C58" w:rsidRPr="0038285D" w:rsidRDefault="00530C58" w:rsidP="00530C58">
      <w:pPr>
        <w:pStyle w:val="NormalWeb"/>
        <w:spacing w:before="0" w:beforeAutospacing="0" w:after="180" w:afterAutospacing="0"/>
        <w:rPr>
          <w:rFonts w:ascii="Aptos Display" w:hAnsi="Aptos Display"/>
          <w:sz w:val="26"/>
          <w:szCs w:val="26"/>
        </w:rPr>
      </w:pPr>
      <w:r w:rsidRPr="0038285D">
        <w:rPr>
          <w:rFonts w:ascii="Aptos Display" w:hAnsi="Aptos Display" w:cs="Times New Roman"/>
          <w:sz w:val="26"/>
          <w:szCs w:val="26"/>
        </w:rPr>
        <w:t xml:space="preserve">Chartered Institute of Personnel and Development (CIPD) (2024) Diversity and inclusion in recruitment. Available at: </w:t>
      </w:r>
      <w:hyperlink r:id="rId17" w:history="1">
        <w:r w:rsidRPr="0038285D">
          <w:rPr>
            <w:rStyle w:val="Hyperlink"/>
            <w:rFonts w:ascii="Aptos Display" w:hAnsi="Aptos Display" w:cs="Times New Roman"/>
            <w:color w:val="0000EE"/>
            <w:sz w:val="26"/>
            <w:szCs w:val="26"/>
          </w:rPr>
          <w:t>https://www.cipd.org/uk/knowledge/factsheets/diversity-recruitment-factsheet/</w:t>
        </w:r>
      </w:hyperlink>
      <w:r w:rsidRPr="0038285D">
        <w:rPr>
          <w:rFonts w:ascii="Aptos Display" w:hAnsi="Aptos Display" w:cs="Times New Roman"/>
          <w:sz w:val="26"/>
          <w:szCs w:val="26"/>
        </w:rPr>
        <w:t xml:space="preserve"> </w:t>
      </w:r>
    </w:p>
    <w:p w14:paraId="77D44307" w14:textId="77777777" w:rsidR="00530C58" w:rsidRPr="0038285D" w:rsidRDefault="00530C58" w:rsidP="00530C58">
      <w:pPr>
        <w:pStyle w:val="NormalWeb"/>
        <w:spacing w:before="0" w:beforeAutospacing="0" w:after="180" w:afterAutospacing="0"/>
        <w:rPr>
          <w:rFonts w:ascii="Aptos Display" w:hAnsi="Aptos Display"/>
          <w:sz w:val="26"/>
          <w:szCs w:val="26"/>
        </w:rPr>
      </w:pPr>
      <w:r w:rsidRPr="0038285D">
        <w:rPr>
          <w:rFonts w:ascii="Aptos Display" w:hAnsi="Aptos Display" w:cs="Times New Roman"/>
          <w:sz w:val="26"/>
          <w:szCs w:val="26"/>
        </w:rPr>
        <w:t xml:space="preserve">Chartered Institute of Personnel and Development (CIPD) (2024) Dismissal factsheet. Available at: </w:t>
      </w:r>
      <w:hyperlink r:id="rId18" w:history="1">
        <w:r w:rsidRPr="0038285D">
          <w:rPr>
            <w:rStyle w:val="Hyperlink"/>
            <w:rFonts w:ascii="Aptos Display" w:hAnsi="Aptos Display" w:cs="Times New Roman"/>
            <w:color w:val="0000EE"/>
            <w:sz w:val="26"/>
            <w:szCs w:val="26"/>
          </w:rPr>
          <w:t>https://www.cipd.org/uk/knowledge/factsheets/dismissal-factsheet/</w:t>
        </w:r>
      </w:hyperlink>
      <w:r w:rsidRPr="0038285D">
        <w:rPr>
          <w:rFonts w:ascii="Aptos Display" w:hAnsi="Aptos Display" w:cs="Times New Roman"/>
          <w:sz w:val="26"/>
          <w:szCs w:val="26"/>
        </w:rPr>
        <w:t xml:space="preserve"> </w:t>
      </w:r>
    </w:p>
    <w:p w14:paraId="251C5DD4" w14:textId="77777777" w:rsidR="00530C58" w:rsidRPr="0038285D" w:rsidRDefault="00530C58" w:rsidP="00530C58">
      <w:pPr>
        <w:pStyle w:val="NormalWeb"/>
        <w:rPr>
          <w:rFonts w:ascii="Aptos Display" w:hAnsi="Aptos Display"/>
          <w:sz w:val="26"/>
          <w:szCs w:val="26"/>
        </w:rPr>
      </w:pPr>
      <w:r w:rsidRPr="0038285D">
        <w:rPr>
          <w:rFonts w:ascii="Aptos Display" w:hAnsi="Aptos Display"/>
          <w:sz w:val="26"/>
          <w:szCs w:val="26"/>
        </w:rPr>
        <w:t>Chartered Institute of Personnel and Development (CIPD) (2024) Employment law factsheets. Available at: </w:t>
      </w:r>
      <w:hyperlink r:id="rId19" w:history="1">
        <w:r w:rsidRPr="0038285D">
          <w:rPr>
            <w:rStyle w:val="Hyperlink"/>
            <w:rFonts w:ascii="Aptos Display" w:hAnsi="Aptos Display"/>
            <w:sz w:val="26"/>
            <w:szCs w:val="26"/>
          </w:rPr>
          <w:t>https://www.cipd.org/uk/knowledge/fundamentals/emp-law/</w:t>
        </w:r>
      </w:hyperlink>
      <w:r w:rsidRPr="0038285D">
        <w:rPr>
          <w:rFonts w:ascii="Aptos Display" w:hAnsi="Aptos Display"/>
          <w:sz w:val="26"/>
          <w:szCs w:val="26"/>
        </w:rPr>
        <w:t> </w:t>
      </w:r>
    </w:p>
    <w:p w14:paraId="4C485246" w14:textId="77777777" w:rsidR="00530C58" w:rsidRPr="0038285D" w:rsidRDefault="00530C58" w:rsidP="00530C58">
      <w:pPr>
        <w:pStyle w:val="NormalWeb"/>
        <w:spacing w:before="0" w:beforeAutospacing="0" w:after="180" w:afterAutospacing="0"/>
        <w:rPr>
          <w:rFonts w:ascii="Aptos Display" w:hAnsi="Aptos Display"/>
          <w:sz w:val="26"/>
          <w:szCs w:val="26"/>
        </w:rPr>
      </w:pPr>
      <w:r w:rsidRPr="0038285D">
        <w:rPr>
          <w:rFonts w:ascii="Aptos Display" w:hAnsi="Aptos Display" w:cs="Times New Roman"/>
          <w:sz w:val="26"/>
          <w:szCs w:val="26"/>
        </w:rPr>
        <w:t xml:space="preserve">Chartered Institute of Personnel and Development (CIPD) (2024) Employment law and Brexit. Available at: </w:t>
      </w:r>
      <w:hyperlink r:id="rId20" w:history="1">
        <w:r w:rsidRPr="0038285D">
          <w:rPr>
            <w:rStyle w:val="Hyperlink"/>
            <w:rFonts w:ascii="Aptos Display" w:hAnsi="Aptos Display" w:cs="Times New Roman"/>
            <w:color w:val="0000EE"/>
            <w:sz w:val="26"/>
            <w:szCs w:val="26"/>
          </w:rPr>
          <w:t>https://www.cipd.org/uk/knowledge/fundamentals/emp-law/uk-eu-referendum/</w:t>
        </w:r>
      </w:hyperlink>
      <w:r w:rsidRPr="0038285D">
        <w:rPr>
          <w:rFonts w:ascii="Aptos Display" w:hAnsi="Aptos Display" w:cs="Times New Roman"/>
          <w:sz w:val="26"/>
          <w:szCs w:val="26"/>
        </w:rPr>
        <w:t xml:space="preserve"> </w:t>
      </w:r>
    </w:p>
    <w:p w14:paraId="0D89337B" w14:textId="77777777" w:rsidR="00530C58" w:rsidRPr="0038285D" w:rsidRDefault="00530C58" w:rsidP="00530C58">
      <w:pPr>
        <w:pStyle w:val="NormalWeb"/>
        <w:spacing w:before="0" w:beforeAutospacing="0" w:after="180" w:afterAutospacing="0"/>
        <w:rPr>
          <w:rFonts w:ascii="Aptos Display" w:hAnsi="Aptos Display"/>
          <w:sz w:val="26"/>
          <w:szCs w:val="26"/>
        </w:rPr>
      </w:pPr>
      <w:r w:rsidRPr="0038285D">
        <w:rPr>
          <w:rFonts w:ascii="Aptos Display" w:hAnsi="Aptos Display" w:cs="Times New Roman"/>
          <w:sz w:val="26"/>
          <w:szCs w:val="26"/>
        </w:rPr>
        <w:t xml:space="preserve">Chartered Institute of Personnel and Development (CIPD) (2024) Equal pay factsheet. Available at: </w:t>
      </w:r>
      <w:hyperlink r:id="rId21" w:history="1">
        <w:r w:rsidRPr="0038285D">
          <w:rPr>
            <w:rStyle w:val="Hyperlink"/>
            <w:rFonts w:ascii="Aptos Display" w:hAnsi="Aptos Display" w:cs="Times New Roman"/>
            <w:color w:val="0000EE"/>
            <w:sz w:val="26"/>
            <w:szCs w:val="26"/>
          </w:rPr>
          <w:t>https://www.cipd.org/uk/knowledge/factsheets/equal-pay-factsheet/</w:t>
        </w:r>
      </w:hyperlink>
      <w:r w:rsidRPr="0038285D">
        <w:rPr>
          <w:rFonts w:ascii="Aptos Display" w:hAnsi="Aptos Display" w:cs="Times New Roman"/>
          <w:sz w:val="26"/>
          <w:szCs w:val="26"/>
        </w:rPr>
        <w:t xml:space="preserve"> </w:t>
      </w:r>
    </w:p>
    <w:p w14:paraId="6388A64F" w14:textId="77777777" w:rsidR="00530C58" w:rsidRPr="0038285D" w:rsidRDefault="00530C58" w:rsidP="00530C58">
      <w:pPr>
        <w:pStyle w:val="NormalWeb"/>
        <w:spacing w:before="0" w:beforeAutospacing="0" w:after="180" w:afterAutospacing="0"/>
        <w:rPr>
          <w:rFonts w:ascii="Aptos Display" w:hAnsi="Aptos Display"/>
          <w:sz w:val="26"/>
          <w:szCs w:val="26"/>
        </w:rPr>
      </w:pPr>
      <w:r w:rsidRPr="0038285D">
        <w:rPr>
          <w:rFonts w:ascii="Aptos Display" w:hAnsi="Aptos Display" w:cs="Times New Roman"/>
          <w:sz w:val="26"/>
          <w:szCs w:val="26"/>
        </w:rPr>
        <w:t xml:space="preserve">Chartered Institute of Personnel and Development (CIPD) (2024) Maternity, paternity and adoption leave factsheet. Available at: </w:t>
      </w:r>
      <w:hyperlink r:id="rId22" w:history="1">
        <w:r w:rsidRPr="0038285D">
          <w:rPr>
            <w:rStyle w:val="Hyperlink"/>
            <w:rFonts w:ascii="Aptos Display" w:hAnsi="Aptos Display" w:cs="Times New Roman"/>
            <w:color w:val="0000EE"/>
            <w:sz w:val="26"/>
            <w:szCs w:val="26"/>
          </w:rPr>
          <w:t>https://www.cipd.org/uk/knowledge/factsheets/family-friendly-leave-factsheet/</w:t>
        </w:r>
      </w:hyperlink>
      <w:r w:rsidRPr="0038285D">
        <w:rPr>
          <w:rFonts w:ascii="Aptos Display" w:hAnsi="Aptos Display" w:cs="Times New Roman"/>
          <w:sz w:val="26"/>
          <w:szCs w:val="26"/>
        </w:rPr>
        <w:t xml:space="preserve"> </w:t>
      </w:r>
    </w:p>
    <w:p w14:paraId="0C61207C" w14:textId="77777777" w:rsidR="00530C58" w:rsidRPr="0038285D" w:rsidRDefault="00530C58" w:rsidP="00530C58">
      <w:pPr>
        <w:pStyle w:val="NormalWeb"/>
        <w:spacing w:before="0" w:beforeAutospacing="0" w:after="180" w:afterAutospacing="0"/>
        <w:rPr>
          <w:rFonts w:ascii="Aptos Display" w:hAnsi="Aptos Display"/>
          <w:sz w:val="26"/>
          <w:szCs w:val="26"/>
        </w:rPr>
      </w:pPr>
      <w:r w:rsidRPr="0038285D">
        <w:rPr>
          <w:rFonts w:ascii="Aptos Display" w:hAnsi="Aptos Display" w:cs="Times New Roman"/>
          <w:sz w:val="26"/>
          <w:szCs w:val="26"/>
        </w:rPr>
        <w:lastRenderedPageBreak/>
        <w:t xml:space="preserve">Chartered Institute of Personnel and Development (CIPD) (2024) Redundancy factsheet. Available at: </w:t>
      </w:r>
      <w:hyperlink r:id="rId23" w:history="1">
        <w:r w:rsidRPr="0038285D">
          <w:rPr>
            <w:rStyle w:val="Hyperlink"/>
            <w:rFonts w:ascii="Aptos Display" w:hAnsi="Aptos Display" w:cs="Times New Roman"/>
            <w:color w:val="0000EE"/>
            <w:sz w:val="26"/>
            <w:szCs w:val="26"/>
          </w:rPr>
          <w:t>https://www.cipd.org/uk/knowledge/factsheets/redundancy-factsheet/</w:t>
        </w:r>
      </w:hyperlink>
      <w:r w:rsidRPr="0038285D">
        <w:rPr>
          <w:rFonts w:ascii="Aptos Display" w:hAnsi="Aptos Display" w:cs="Times New Roman"/>
          <w:sz w:val="26"/>
          <w:szCs w:val="26"/>
        </w:rPr>
        <w:t xml:space="preserve"> </w:t>
      </w:r>
    </w:p>
    <w:p w14:paraId="0527EB39" w14:textId="77777777" w:rsidR="00530C58" w:rsidRPr="0038285D" w:rsidRDefault="00530C58" w:rsidP="00530C58">
      <w:pPr>
        <w:pStyle w:val="NormalWeb"/>
        <w:spacing w:before="0" w:beforeAutospacing="0" w:after="0" w:afterAutospacing="0"/>
        <w:rPr>
          <w:rFonts w:ascii="Aptos Display" w:hAnsi="Aptos Display"/>
          <w:sz w:val="26"/>
          <w:szCs w:val="26"/>
        </w:rPr>
      </w:pPr>
      <w:r w:rsidRPr="0038285D">
        <w:rPr>
          <w:rFonts w:ascii="Aptos Display" w:hAnsi="Aptos Display"/>
          <w:sz w:val="26"/>
          <w:szCs w:val="26"/>
        </w:rPr>
        <w:t xml:space="preserve">Chartered Institute of Personnel and Development (CIPD) (2024) TUPE factsheet. Available at: </w:t>
      </w:r>
      <w:hyperlink r:id="rId24" w:history="1">
        <w:r w:rsidRPr="0038285D">
          <w:rPr>
            <w:rStyle w:val="Hyperlink"/>
            <w:rFonts w:ascii="Aptos Display" w:hAnsi="Aptos Display"/>
            <w:sz w:val="26"/>
            <w:szCs w:val="26"/>
          </w:rPr>
          <w:t>https://www.cipd.org/uk/knowledge/factsheets/tupe-factsheet/</w:t>
        </w:r>
      </w:hyperlink>
      <w:r w:rsidRPr="0038285D">
        <w:rPr>
          <w:rFonts w:ascii="Aptos Display" w:hAnsi="Aptos Display"/>
          <w:sz w:val="26"/>
          <w:szCs w:val="26"/>
        </w:rPr>
        <w:t xml:space="preserve"> </w:t>
      </w:r>
    </w:p>
    <w:p w14:paraId="6777A9B2" w14:textId="77777777" w:rsidR="00530C58" w:rsidRPr="0038285D" w:rsidRDefault="00530C58" w:rsidP="00530C58">
      <w:pPr>
        <w:pStyle w:val="NormalWeb"/>
        <w:spacing w:before="0" w:beforeAutospacing="0" w:after="180" w:afterAutospacing="0"/>
        <w:rPr>
          <w:rFonts w:ascii="Aptos Display" w:hAnsi="Aptos Display"/>
          <w:sz w:val="26"/>
          <w:szCs w:val="26"/>
        </w:rPr>
      </w:pPr>
      <w:r w:rsidRPr="0038285D">
        <w:rPr>
          <w:rFonts w:ascii="Aptos Display" w:hAnsi="Aptos Display" w:cs="Times New Roman"/>
          <w:sz w:val="26"/>
          <w:szCs w:val="26"/>
        </w:rPr>
        <w:t xml:space="preserve">Chartered Institute of Personnel and Development (CIPD) (2024) Working time and holiday pay factsheet. Available at: </w:t>
      </w:r>
      <w:hyperlink r:id="rId25" w:history="1">
        <w:r w:rsidRPr="0038285D">
          <w:rPr>
            <w:rStyle w:val="Hyperlink"/>
            <w:rFonts w:ascii="Aptos Display" w:hAnsi="Aptos Display" w:cs="Times New Roman"/>
            <w:color w:val="0000EE"/>
            <w:sz w:val="26"/>
            <w:szCs w:val="26"/>
          </w:rPr>
          <w:t>https://www.cipd.org/uk/knowledge/factsheets/working-time-factsheet/</w:t>
        </w:r>
      </w:hyperlink>
      <w:r w:rsidRPr="0038285D">
        <w:rPr>
          <w:rFonts w:ascii="Aptos Display" w:hAnsi="Aptos Display" w:cs="Times New Roman"/>
          <w:sz w:val="26"/>
          <w:szCs w:val="26"/>
        </w:rPr>
        <w:t xml:space="preserve"> </w:t>
      </w:r>
    </w:p>
    <w:p w14:paraId="74B5F025" w14:textId="77777777" w:rsidR="00530C58" w:rsidRPr="0038285D" w:rsidRDefault="00530C58" w:rsidP="00530C58">
      <w:pPr>
        <w:pStyle w:val="NormalWeb"/>
        <w:spacing w:before="0" w:beforeAutospacing="0" w:after="0" w:afterAutospacing="0"/>
        <w:rPr>
          <w:rFonts w:ascii="Aptos Display" w:hAnsi="Aptos Display"/>
          <w:sz w:val="26"/>
          <w:szCs w:val="26"/>
        </w:rPr>
      </w:pPr>
      <w:r w:rsidRPr="0038285D">
        <w:rPr>
          <w:rFonts w:ascii="Aptos Display" w:hAnsi="Aptos Display"/>
          <w:sz w:val="26"/>
          <w:szCs w:val="26"/>
        </w:rPr>
        <w:t xml:space="preserve">Equality and Human Rights Commission (2023) Employee rights during business transfers. Available at: </w:t>
      </w:r>
      <w:hyperlink r:id="rId26" w:history="1">
        <w:r w:rsidRPr="0038285D">
          <w:rPr>
            <w:rStyle w:val="Hyperlink"/>
            <w:rFonts w:ascii="Aptos Display" w:hAnsi="Aptos Display"/>
            <w:sz w:val="26"/>
            <w:szCs w:val="26"/>
          </w:rPr>
          <w:t>https://www.equalityhumanrights.com/</w:t>
        </w:r>
      </w:hyperlink>
      <w:r w:rsidRPr="0038285D">
        <w:rPr>
          <w:rFonts w:ascii="Aptos Display" w:hAnsi="Aptos Display"/>
          <w:sz w:val="26"/>
          <w:szCs w:val="26"/>
        </w:rPr>
        <w:t xml:space="preserve"> </w:t>
      </w:r>
    </w:p>
    <w:p w14:paraId="02CABD85" w14:textId="77777777" w:rsidR="00530C58" w:rsidRPr="0038285D" w:rsidRDefault="00530C58" w:rsidP="00530C58">
      <w:pPr>
        <w:pStyle w:val="NormalWeb"/>
        <w:spacing w:before="0" w:beforeAutospacing="0" w:after="180" w:afterAutospacing="0"/>
        <w:rPr>
          <w:rFonts w:ascii="Aptos Display" w:hAnsi="Aptos Display"/>
          <w:sz w:val="26"/>
          <w:szCs w:val="26"/>
        </w:rPr>
      </w:pPr>
      <w:r w:rsidRPr="0038285D">
        <w:rPr>
          <w:rFonts w:ascii="Aptos Display" w:hAnsi="Aptos Display" w:cs="Times New Roman"/>
          <w:sz w:val="26"/>
          <w:szCs w:val="26"/>
        </w:rPr>
        <w:t xml:space="preserve">Equality and Human Rights Commission (2023) Equal pay. Available at: </w:t>
      </w:r>
      <w:hyperlink r:id="rId27" w:history="1">
        <w:r w:rsidRPr="0038285D">
          <w:rPr>
            <w:rStyle w:val="Hyperlink"/>
            <w:rFonts w:ascii="Aptos Display" w:hAnsi="Aptos Display" w:cs="Times New Roman"/>
            <w:color w:val="0000EE"/>
            <w:sz w:val="26"/>
            <w:szCs w:val="26"/>
          </w:rPr>
          <w:t>https://www.equalityhumanrights.com/en/advice-and-guidance/equal-pay</w:t>
        </w:r>
      </w:hyperlink>
      <w:r w:rsidRPr="0038285D">
        <w:rPr>
          <w:rFonts w:ascii="Aptos Display" w:hAnsi="Aptos Display" w:cs="Times New Roman"/>
          <w:sz w:val="26"/>
          <w:szCs w:val="26"/>
        </w:rPr>
        <w:t xml:space="preserve"> </w:t>
      </w:r>
    </w:p>
    <w:p w14:paraId="36D55762" w14:textId="77777777" w:rsidR="00530C58" w:rsidRPr="0038285D" w:rsidRDefault="00530C58" w:rsidP="00530C58">
      <w:pPr>
        <w:pStyle w:val="NormalWeb"/>
        <w:spacing w:before="0" w:beforeAutospacing="0" w:after="180" w:afterAutospacing="0"/>
        <w:rPr>
          <w:rFonts w:ascii="Aptos Display" w:hAnsi="Aptos Display"/>
          <w:sz w:val="26"/>
          <w:szCs w:val="26"/>
        </w:rPr>
      </w:pPr>
      <w:r w:rsidRPr="0038285D">
        <w:rPr>
          <w:rFonts w:ascii="Aptos Display" w:hAnsi="Aptos Display" w:cs="Times New Roman"/>
          <w:sz w:val="26"/>
          <w:szCs w:val="26"/>
        </w:rPr>
        <w:t xml:space="preserve">Equality and Human Rights Commission (2023) Occupational requirements. Available at: </w:t>
      </w:r>
      <w:hyperlink r:id="rId28" w:history="1">
        <w:r w:rsidRPr="0038285D">
          <w:rPr>
            <w:rStyle w:val="Hyperlink"/>
            <w:rFonts w:ascii="Aptos Display" w:hAnsi="Aptos Display" w:cs="Times New Roman"/>
            <w:color w:val="0000EE"/>
            <w:sz w:val="26"/>
            <w:szCs w:val="26"/>
          </w:rPr>
          <w:t>https://www.equalityhumanrights.com/en/advice-and-guidance/occupational-requirements</w:t>
        </w:r>
      </w:hyperlink>
      <w:r w:rsidRPr="0038285D">
        <w:rPr>
          <w:rFonts w:ascii="Aptos Display" w:hAnsi="Aptos Display" w:cs="Times New Roman"/>
          <w:sz w:val="26"/>
          <w:szCs w:val="26"/>
        </w:rPr>
        <w:t xml:space="preserve"> </w:t>
      </w:r>
    </w:p>
    <w:p w14:paraId="318609B2" w14:textId="77777777" w:rsidR="00530C58" w:rsidRPr="0038285D" w:rsidRDefault="00530C58" w:rsidP="00530C58">
      <w:pPr>
        <w:pStyle w:val="NormalWeb"/>
        <w:spacing w:before="0" w:beforeAutospacing="0" w:after="180" w:afterAutospacing="0"/>
        <w:rPr>
          <w:rFonts w:ascii="Aptos Display" w:hAnsi="Aptos Display"/>
          <w:sz w:val="26"/>
          <w:szCs w:val="26"/>
        </w:rPr>
      </w:pPr>
      <w:hyperlink r:id="rId29" w:history="1">
        <w:r w:rsidRPr="0038285D">
          <w:rPr>
            <w:rStyle w:val="Hyperlink"/>
            <w:rFonts w:ascii="Aptos Display" w:hAnsi="Aptos Display" w:cs="Times New Roman"/>
            <w:sz w:val="26"/>
            <w:szCs w:val="26"/>
          </w:rPr>
          <w:t>Gov.uk</w:t>
        </w:r>
      </w:hyperlink>
      <w:r w:rsidRPr="0038285D">
        <w:rPr>
          <w:rFonts w:ascii="Aptos Display" w:hAnsi="Aptos Display" w:cs="Times New Roman"/>
          <w:sz w:val="26"/>
          <w:szCs w:val="26"/>
        </w:rPr>
        <w:t xml:space="preserve"> (1992) Trade Union and Labour Relations (Consolidation) Act 1992. Available at: </w:t>
      </w:r>
      <w:hyperlink r:id="rId30" w:history="1">
        <w:r w:rsidRPr="0038285D">
          <w:rPr>
            <w:rStyle w:val="Hyperlink"/>
            <w:rFonts w:ascii="Aptos Display" w:hAnsi="Aptos Display" w:cs="Times New Roman"/>
            <w:color w:val="0000EE"/>
            <w:sz w:val="26"/>
            <w:szCs w:val="26"/>
          </w:rPr>
          <w:t>https://www.legislation.gov.uk/ukpga/1992/52/contents</w:t>
        </w:r>
      </w:hyperlink>
      <w:r w:rsidRPr="0038285D">
        <w:rPr>
          <w:rFonts w:ascii="Aptos Display" w:hAnsi="Aptos Display" w:cs="Times New Roman"/>
          <w:sz w:val="26"/>
          <w:szCs w:val="26"/>
        </w:rPr>
        <w:t xml:space="preserve"> </w:t>
      </w:r>
    </w:p>
    <w:p w14:paraId="7E2EB9E4" w14:textId="77777777" w:rsidR="00530C58" w:rsidRPr="0038285D" w:rsidRDefault="00530C58" w:rsidP="00530C58">
      <w:pPr>
        <w:pStyle w:val="NormalWeb"/>
        <w:spacing w:before="0" w:beforeAutospacing="0" w:after="180" w:afterAutospacing="0"/>
        <w:rPr>
          <w:rFonts w:ascii="Aptos Display" w:hAnsi="Aptos Display"/>
          <w:sz w:val="26"/>
          <w:szCs w:val="26"/>
        </w:rPr>
      </w:pPr>
      <w:hyperlink r:id="rId31" w:history="1">
        <w:r w:rsidRPr="0038285D">
          <w:rPr>
            <w:rStyle w:val="Hyperlink"/>
            <w:rFonts w:ascii="Aptos Display" w:hAnsi="Aptos Display" w:cs="Times New Roman"/>
            <w:sz w:val="26"/>
            <w:szCs w:val="26"/>
          </w:rPr>
          <w:t>Gov.uk</w:t>
        </w:r>
      </w:hyperlink>
      <w:r w:rsidRPr="0038285D">
        <w:rPr>
          <w:rFonts w:ascii="Aptos Display" w:hAnsi="Aptos Display" w:cs="Times New Roman"/>
          <w:sz w:val="26"/>
          <w:szCs w:val="26"/>
        </w:rPr>
        <w:t xml:space="preserve"> (1996) Employment Rights Act 1996. Available at: </w:t>
      </w:r>
      <w:hyperlink r:id="rId32" w:history="1">
        <w:r w:rsidRPr="0038285D">
          <w:rPr>
            <w:rStyle w:val="Hyperlink"/>
            <w:rFonts w:ascii="Aptos Display" w:hAnsi="Aptos Display" w:cs="Times New Roman"/>
            <w:color w:val="0000EE"/>
            <w:sz w:val="26"/>
            <w:szCs w:val="26"/>
          </w:rPr>
          <w:t>https://www.legislation.gov.uk/ukpga/1996/18/contents</w:t>
        </w:r>
      </w:hyperlink>
      <w:r w:rsidRPr="0038285D">
        <w:rPr>
          <w:rFonts w:ascii="Aptos Display" w:hAnsi="Aptos Display" w:cs="Times New Roman"/>
          <w:sz w:val="26"/>
          <w:szCs w:val="26"/>
        </w:rPr>
        <w:t xml:space="preserve"> </w:t>
      </w:r>
    </w:p>
    <w:p w14:paraId="619E63ED" w14:textId="77777777" w:rsidR="00530C58" w:rsidRPr="0038285D" w:rsidRDefault="00530C58" w:rsidP="00530C58">
      <w:pPr>
        <w:pStyle w:val="NormalWeb"/>
        <w:spacing w:before="0" w:beforeAutospacing="0" w:after="180" w:afterAutospacing="0"/>
        <w:rPr>
          <w:rFonts w:ascii="Aptos Display" w:hAnsi="Aptos Display"/>
          <w:sz w:val="26"/>
          <w:szCs w:val="26"/>
        </w:rPr>
      </w:pPr>
      <w:hyperlink r:id="rId33" w:history="1">
        <w:r w:rsidRPr="0038285D">
          <w:rPr>
            <w:rStyle w:val="Hyperlink"/>
            <w:rFonts w:ascii="Aptos Display" w:hAnsi="Aptos Display" w:cs="Times New Roman"/>
            <w:sz w:val="26"/>
            <w:szCs w:val="26"/>
          </w:rPr>
          <w:t>Gov.uk</w:t>
        </w:r>
      </w:hyperlink>
      <w:r w:rsidRPr="0038285D">
        <w:rPr>
          <w:rFonts w:ascii="Aptos Display" w:hAnsi="Aptos Display" w:cs="Times New Roman"/>
          <w:sz w:val="26"/>
          <w:szCs w:val="26"/>
        </w:rPr>
        <w:t xml:space="preserve"> (1996) Employment Rights Act 1996. Available at: </w:t>
      </w:r>
      <w:hyperlink r:id="rId34" w:history="1">
        <w:r w:rsidRPr="0038285D">
          <w:rPr>
            <w:rStyle w:val="Hyperlink"/>
            <w:rFonts w:ascii="Aptos Display" w:hAnsi="Aptos Display" w:cs="Times New Roman"/>
            <w:color w:val="0000EE"/>
            <w:sz w:val="26"/>
            <w:szCs w:val="26"/>
          </w:rPr>
          <w:t>https://www.legislation.gov.uk/ukpga/1996/18/contents</w:t>
        </w:r>
      </w:hyperlink>
      <w:r w:rsidRPr="0038285D">
        <w:rPr>
          <w:rFonts w:ascii="Aptos Display" w:hAnsi="Aptos Display" w:cs="Times New Roman"/>
          <w:sz w:val="26"/>
          <w:szCs w:val="26"/>
        </w:rPr>
        <w:t xml:space="preserve"> </w:t>
      </w:r>
    </w:p>
    <w:p w14:paraId="146C5DEE" w14:textId="77777777" w:rsidR="00530C58" w:rsidRPr="0038285D" w:rsidRDefault="00530C58" w:rsidP="00530C58">
      <w:pPr>
        <w:pStyle w:val="NormalWeb"/>
        <w:spacing w:before="0" w:beforeAutospacing="0" w:after="180" w:afterAutospacing="0"/>
        <w:rPr>
          <w:rFonts w:ascii="Aptos Display" w:hAnsi="Aptos Display"/>
          <w:sz w:val="26"/>
          <w:szCs w:val="26"/>
        </w:rPr>
      </w:pPr>
      <w:hyperlink r:id="rId35" w:history="1">
        <w:r w:rsidRPr="0038285D">
          <w:rPr>
            <w:rStyle w:val="Hyperlink"/>
            <w:rFonts w:ascii="Aptos Display" w:hAnsi="Aptos Display" w:cs="Times New Roman"/>
            <w:sz w:val="26"/>
            <w:szCs w:val="26"/>
          </w:rPr>
          <w:t>Gov.uk</w:t>
        </w:r>
      </w:hyperlink>
      <w:r w:rsidRPr="0038285D">
        <w:rPr>
          <w:rFonts w:ascii="Aptos Display" w:hAnsi="Aptos Display" w:cs="Times New Roman"/>
          <w:sz w:val="26"/>
          <w:szCs w:val="26"/>
        </w:rPr>
        <w:t xml:space="preserve"> (1998) Working Time Regulations 1998. Available at: </w:t>
      </w:r>
      <w:hyperlink r:id="rId36" w:history="1">
        <w:r w:rsidRPr="0038285D">
          <w:rPr>
            <w:rStyle w:val="Hyperlink"/>
            <w:rFonts w:ascii="Aptos Display" w:hAnsi="Aptos Display" w:cs="Times New Roman"/>
            <w:color w:val="0000EE"/>
            <w:sz w:val="26"/>
            <w:szCs w:val="26"/>
          </w:rPr>
          <w:t>https://www.legislation.gov.uk/uksi/1998/1833/contents/made</w:t>
        </w:r>
      </w:hyperlink>
      <w:r w:rsidRPr="0038285D">
        <w:rPr>
          <w:rFonts w:ascii="Aptos Display" w:hAnsi="Aptos Display" w:cs="Times New Roman"/>
          <w:sz w:val="26"/>
          <w:szCs w:val="26"/>
        </w:rPr>
        <w:t xml:space="preserve"> </w:t>
      </w:r>
    </w:p>
    <w:p w14:paraId="1C5C3D58" w14:textId="77777777" w:rsidR="00530C58" w:rsidRPr="0038285D" w:rsidRDefault="00530C58" w:rsidP="00530C58">
      <w:pPr>
        <w:pStyle w:val="NormalWeb"/>
        <w:spacing w:before="0" w:beforeAutospacing="0" w:after="0" w:afterAutospacing="0"/>
        <w:rPr>
          <w:rFonts w:ascii="Aptos Display" w:hAnsi="Aptos Display"/>
          <w:sz w:val="26"/>
          <w:szCs w:val="26"/>
        </w:rPr>
      </w:pPr>
      <w:hyperlink r:id="rId37" w:history="1">
        <w:r w:rsidRPr="0038285D">
          <w:rPr>
            <w:rStyle w:val="Hyperlink"/>
            <w:rFonts w:ascii="Aptos Display" w:hAnsi="Aptos Display"/>
            <w:sz w:val="26"/>
            <w:szCs w:val="26"/>
          </w:rPr>
          <w:t>Gov.uk</w:t>
        </w:r>
      </w:hyperlink>
      <w:r w:rsidRPr="0038285D">
        <w:rPr>
          <w:rFonts w:ascii="Aptos Display" w:hAnsi="Aptos Display"/>
          <w:sz w:val="26"/>
          <w:szCs w:val="26"/>
        </w:rPr>
        <w:t xml:space="preserve"> (2006) Transfer of Undertakings (Protection of Employment) Regulations 2006. Available at: </w:t>
      </w:r>
      <w:hyperlink r:id="rId38" w:history="1">
        <w:r w:rsidRPr="0038285D">
          <w:rPr>
            <w:rStyle w:val="Hyperlink"/>
            <w:rFonts w:ascii="Aptos Display" w:hAnsi="Aptos Display"/>
            <w:sz w:val="26"/>
            <w:szCs w:val="26"/>
          </w:rPr>
          <w:t>https://www.legislation.gov.uk/uksi/2006/246/contents/made</w:t>
        </w:r>
      </w:hyperlink>
      <w:r w:rsidRPr="0038285D">
        <w:rPr>
          <w:rFonts w:ascii="Aptos Display" w:hAnsi="Aptos Display"/>
          <w:sz w:val="26"/>
          <w:szCs w:val="26"/>
        </w:rPr>
        <w:t xml:space="preserve"> </w:t>
      </w:r>
    </w:p>
    <w:p w14:paraId="19AA1032" w14:textId="77777777" w:rsidR="00530C58" w:rsidRPr="0038285D" w:rsidRDefault="00530C58" w:rsidP="00530C58">
      <w:pPr>
        <w:pStyle w:val="NormalWeb"/>
        <w:spacing w:before="0" w:beforeAutospacing="0" w:after="180" w:afterAutospacing="0"/>
        <w:rPr>
          <w:rFonts w:ascii="Aptos Display" w:hAnsi="Aptos Display"/>
          <w:sz w:val="26"/>
          <w:szCs w:val="26"/>
        </w:rPr>
      </w:pPr>
      <w:hyperlink r:id="rId39" w:history="1">
        <w:r w:rsidRPr="0038285D">
          <w:rPr>
            <w:rStyle w:val="Hyperlink"/>
            <w:rFonts w:ascii="Aptos Display" w:hAnsi="Aptos Display" w:cs="Times New Roman"/>
            <w:sz w:val="26"/>
            <w:szCs w:val="26"/>
          </w:rPr>
          <w:t>Gov.uk</w:t>
        </w:r>
      </w:hyperlink>
      <w:r w:rsidRPr="0038285D">
        <w:rPr>
          <w:rFonts w:ascii="Aptos Display" w:hAnsi="Aptos Display" w:cs="Times New Roman"/>
          <w:sz w:val="26"/>
          <w:szCs w:val="26"/>
        </w:rPr>
        <w:t xml:space="preserve"> (2010) Equality Act 2010. Available at: </w:t>
      </w:r>
      <w:hyperlink r:id="rId40" w:history="1">
        <w:r w:rsidRPr="0038285D">
          <w:rPr>
            <w:rStyle w:val="Hyperlink"/>
            <w:rFonts w:ascii="Aptos Display" w:hAnsi="Aptos Display" w:cs="Times New Roman"/>
            <w:color w:val="0000EE"/>
            <w:sz w:val="26"/>
            <w:szCs w:val="26"/>
          </w:rPr>
          <w:t>https://www.legislation.gov.uk/ukpga/2010/15/contents</w:t>
        </w:r>
      </w:hyperlink>
      <w:r w:rsidRPr="0038285D">
        <w:rPr>
          <w:rFonts w:ascii="Aptos Display" w:hAnsi="Aptos Display" w:cs="Times New Roman"/>
          <w:sz w:val="26"/>
          <w:szCs w:val="26"/>
        </w:rPr>
        <w:t xml:space="preserve"> </w:t>
      </w:r>
    </w:p>
    <w:p w14:paraId="2C3BFC9F" w14:textId="77777777" w:rsidR="00530C58" w:rsidRPr="0038285D" w:rsidRDefault="00530C58" w:rsidP="00530C58">
      <w:pPr>
        <w:pStyle w:val="NormalWeb"/>
        <w:spacing w:before="0" w:beforeAutospacing="0" w:after="180" w:afterAutospacing="0"/>
        <w:rPr>
          <w:rFonts w:ascii="Aptos Display" w:hAnsi="Aptos Display" w:cs="Times New Roman"/>
          <w:sz w:val="26"/>
          <w:szCs w:val="26"/>
        </w:rPr>
      </w:pPr>
      <w:hyperlink r:id="rId41" w:history="1">
        <w:r w:rsidRPr="0038285D">
          <w:rPr>
            <w:rStyle w:val="Hyperlink"/>
            <w:rFonts w:ascii="Aptos Display" w:hAnsi="Aptos Display" w:cs="Times New Roman"/>
            <w:sz w:val="26"/>
            <w:szCs w:val="26"/>
          </w:rPr>
          <w:t>Gov.uk</w:t>
        </w:r>
      </w:hyperlink>
      <w:r w:rsidRPr="0038285D">
        <w:rPr>
          <w:rFonts w:ascii="Aptos Display" w:hAnsi="Aptos Display" w:cs="Times New Roman"/>
          <w:sz w:val="26"/>
          <w:szCs w:val="26"/>
        </w:rPr>
        <w:t xml:space="preserve"> (2010) Equality Act 2010. Available at: </w:t>
      </w:r>
      <w:hyperlink r:id="rId42" w:history="1">
        <w:r w:rsidRPr="0038285D">
          <w:rPr>
            <w:rStyle w:val="Hyperlink"/>
            <w:rFonts w:ascii="Aptos Display" w:hAnsi="Aptos Display" w:cs="Times New Roman"/>
            <w:color w:val="0000EE"/>
            <w:sz w:val="26"/>
            <w:szCs w:val="26"/>
          </w:rPr>
          <w:t>https://www.legislation.gov.uk/ukpga/2010/15/contents</w:t>
        </w:r>
      </w:hyperlink>
      <w:r w:rsidRPr="0038285D">
        <w:rPr>
          <w:rFonts w:ascii="Aptos Display" w:hAnsi="Aptos Display" w:cs="Times New Roman"/>
          <w:sz w:val="26"/>
          <w:szCs w:val="26"/>
        </w:rPr>
        <w:t xml:space="preserve"> </w:t>
      </w:r>
    </w:p>
    <w:p w14:paraId="14572AEB" w14:textId="77777777" w:rsidR="00530C58" w:rsidRPr="0038285D" w:rsidRDefault="00530C58" w:rsidP="00530C58">
      <w:pPr>
        <w:pStyle w:val="NormalWeb"/>
        <w:spacing w:before="0" w:beforeAutospacing="0" w:after="180" w:afterAutospacing="0"/>
        <w:rPr>
          <w:rFonts w:ascii="Aptos Display" w:hAnsi="Aptos Display"/>
          <w:sz w:val="26"/>
          <w:szCs w:val="26"/>
        </w:rPr>
      </w:pPr>
      <w:hyperlink r:id="rId43" w:history="1">
        <w:r w:rsidRPr="0038285D">
          <w:rPr>
            <w:rStyle w:val="Hyperlink"/>
            <w:rFonts w:ascii="Aptos Display" w:hAnsi="Aptos Display" w:cs="Times New Roman"/>
            <w:sz w:val="26"/>
            <w:szCs w:val="26"/>
          </w:rPr>
          <w:t>Gov.uk</w:t>
        </w:r>
      </w:hyperlink>
      <w:r w:rsidRPr="0038285D">
        <w:rPr>
          <w:rFonts w:ascii="Aptos Display" w:hAnsi="Aptos Display" w:cs="Times New Roman"/>
          <w:sz w:val="26"/>
          <w:szCs w:val="26"/>
        </w:rPr>
        <w:t xml:space="preserve"> (2018) European Union (Withdrawal) Act 2018. Available at: </w:t>
      </w:r>
      <w:hyperlink r:id="rId44" w:history="1">
        <w:r w:rsidRPr="0038285D">
          <w:rPr>
            <w:rStyle w:val="Hyperlink"/>
            <w:rFonts w:ascii="Aptos Display" w:hAnsi="Aptos Display" w:cs="Times New Roman"/>
            <w:color w:val="0000EE"/>
            <w:sz w:val="26"/>
            <w:szCs w:val="26"/>
          </w:rPr>
          <w:t>https://www.legislation.gov.uk/ukpga/2018/16/contents/enacted</w:t>
        </w:r>
      </w:hyperlink>
      <w:r w:rsidRPr="0038285D">
        <w:rPr>
          <w:rFonts w:ascii="Aptos Display" w:hAnsi="Aptos Display" w:cs="Times New Roman"/>
          <w:sz w:val="26"/>
          <w:szCs w:val="26"/>
        </w:rPr>
        <w:t xml:space="preserve"> </w:t>
      </w:r>
    </w:p>
    <w:p w14:paraId="6F1633F6" w14:textId="77777777" w:rsidR="00530C58" w:rsidRPr="0038285D" w:rsidRDefault="00530C58" w:rsidP="00530C58">
      <w:pPr>
        <w:pStyle w:val="NormalWeb"/>
        <w:spacing w:before="0" w:beforeAutospacing="0" w:after="180" w:afterAutospacing="0"/>
        <w:rPr>
          <w:rFonts w:ascii="Aptos Display" w:hAnsi="Aptos Display"/>
          <w:sz w:val="26"/>
          <w:szCs w:val="26"/>
        </w:rPr>
      </w:pPr>
      <w:hyperlink r:id="rId45" w:history="1">
        <w:r w:rsidRPr="0038285D">
          <w:rPr>
            <w:rStyle w:val="Hyperlink"/>
            <w:rFonts w:ascii="Aptos Display" w:hAnsi="Aptos Display" w:cs="Times New Roman"/>
            <w:sz w:val="26"/>
            <w:szCs w:val="26"/>
          </w:rPr>
          <w:t>Gov.uk</w:t>
        </w:r>
      </w:hyperlink>
      <w:r w:rsidRPr="0038285D">
        <w:rPr>
          <w:rFonts w:ascii="Aptos Display" w:hAnsi="Aptos Display" w:cs="Times New Roman"/>
          <w:sz w:val="26"/>
          <w:szCs w:val="26"/>
        </w:rPr>
        <w:t xml:space="preserve"> (2024) Calculate holiday entitlement for workers. Available at: </w:t>
      </w:r>
      <w:hyperlink r:id="rId46" w:history="1">
        <w:r w:rsidRPr="0038285D">
          <w:rPr>
            <w:rStyle w:val="Hyperlink"/>
            <w:rFonts w:ascii="Aptos Display" w:hAnsi="Aptos Display" w:cs="Times New Roman"/>
            <w:color w:val="0000EE"/>
            <w:sz w:val="26"/>
            <w:szCs w:val="26"/>
          </w:rPr>
          <w:t>https://www.gov.uk/calculate-your-holiday-entitlement</w:t>
        </w:r>
      </w:hyperlink>
      <w:r w:rsidRPr="0038285D">
        <w:rPr>
          <w:rFonts w:ascii="Aptos Display" w:hAnsi="Aptos Display" w:cs="Times New Roman"/>
          <w:sz w:val="26"/>
          <w:szCs w:val="26"/>
        </w:rPr>
        <w:t xml:space="preserve"> </w:t>
      </w:r>
    </w:p>
    <w:p w14:paraId="41D46638" w14:textId="77777777" w:rsidR="00530C58" w:rsidRPr="0038285D" w:rsidRDefault="00530C58" w:rsidP="00530C58">
      <w:pPr>
        <w:pStyle w:val="NormalWeb"/>
        <w:rPr>
          <w:rFonts w:ascii="Aptos Display" w:hAnsi="Aptos Display"/>
          <w:sz w:val="26"/>
          <w:szCs w:val="26"/>
        </w:rPr>
      </w:pPr>
      <w:hyperlink r:id="rId47" w:history="1">
        <w:r w:rsidRPr="0038285D">
          <w:rPr>
            <w:rStyle w:val="Hyperlink"/>
            <w:rFonts w:ascii="Aptos Display" w:hAnsi="Aptos Display"/>
            <w:sz w:val="26"/>
            <w:szCs w:val="26"/>
          </w:rPr>
          <w:t>Gov.uk</w:t>
        </w:r>
      </w:hyperlink>
      <w:r w:rsidRPr="0038285D">
        <w:rPr>
          <w:rFonts w:ascii="Aptos Display" w:hAnsi="Aptos Display"/>
          <w:sz w:val="26"/>
          <w:szCs w:val="26"/>
        </w:rPr>
        <w:t xml:space="preserve"> (2024) Employment status and workers’ rights. Available at: </w:t>
      </w:r>
      <w:hyperlink r:id="rId48" w:history="1">
        <w:r w:rsidRPr="0038285D">
          <w:rPr>
            <w:rStyle w:val="Hyperlink"/>
            <w:rFonts w:ascii="Aptos Display" w:hAnsi="Aptos Display"/>
            <w:sz w:val="26"/>
            <w:szCs w:val="26"/>
          </w:rPr>
          <w:t>https://www.gov.uk/employment-status</w:t>
        </w:r>
      </w:hyperlink>
      <w:r w:rsidRPr="0038285D">
        <w:rPr>
          <w:rFonts w:ascii="Aptos Display" w:hAnsi="Aptos Display"/>
          <w:sz w:val="26"/>
          <w:szCs w:val="26"/>
        </w:rPr>
        <w:t> </w:t>
      </w:r>
    </w:p>
    <w:p w14:paraId="0C6243F2" w14:textId="77777777" w:rsidR="00530C58" w:rsidRPr="0038285D" w:rsidRDefault="00530C58" w:rsidP="00530C58">
      <w:pPr>
        <w:spacing w:after="0" w:line="240" w:lineRule="auto"/>
        <w:rPr>
          <w:rFonts w:ascii="Aptos Display" w:eastAsia="Times New Roman" w:hAnsi="Aptos Display" w:cs="Times New Roman"/>
          <w:sz w:val="26"/>
          <w:szCs w:val="26"/>
        </w:rPr>
      </w:pPr>
      <w:r w:rsidRPr="0038285D">
        <w:rPr>
          <w:rFonts w:ascii="Aptos Display" w:eastAsia="Times New Roman" w:hAnsi="Aptos Display" w:cs="Times New Roman"/>
          <w:sz w:val="26"/>
          <w:szCs w:val="26"/>
        </w:rPr>
        <w:lastRenderedPageBreak/>
        <w:t xml:space="preserve">GOV.UK (2024) </w:t>
      </w:r>
      <w:r w:rsidRPr="0038285D">
        <w:rPr>
          <w:rFonts w:ascii="Aptos Display" w:eastAsia="Times New Roman" w:hAnsi="Aptos Display" w:cs="Times New Roman"/>
          <w:i/>
          <w:iCs/>
          <w:sz w:val="26"/>
          <w:szCs w:val="26"/>
        </w:rPr>
        <w:t>Flexible working</w:t>
      </w:r>
      <w:r w:rsidRPr="0038285D">
        <w:rPr>
          <w:rFonts w:ascii="Aptos Display" w:eastAsia="Times New Roman" w:hAnsi="Aptos Display" w:cs="Times New Roman"/>
          <w:sz w:val="26"/>
          <w:szCs w:val="26"/>
        </w:rPr>
        <w:t xml:space="preserve">. Available at:  GOV.UK Flexible Working Information </w:t>
      </w:r>
    </w:p>
    <w:p w14:paraId="30D546F9" w14:textId="77777777" w:rsidR="00530C58" w:rsidRPr="0038285D" w:rsidRDefault="00530C58" w:rsidP="00530C58">
      <w:pPr>
        <w:pStyle w:val="NormalWeb"/>
        <w:spacing w:before="0" w:beforeAutospacing="0" w:after="180" w:afterAutospacing="0"/>
        <w:rPr>
          <w:rFonts w:ascii="Aptos Display" w:hAnsi="Aptos Display"/>
          <w:sz w:val="26"/>
          <w:szCs w:val="26"/>
        </w:rPr>
      </w:pPr>
      <w:hyperlink r:id="rId49" w:history="1">
        <w:r w:rsidRPr="0038285D">
          <w:rPr>
            <w:rStyle w:val="Hyperlink"/>
            <w:rFonts w:ascii="Aptos Display" w:hAnsi="Aptos Display" w:cs="Times New Roman"/>
            <w:sz w:val="26"/>
            <w:szCs w:val="26"/>
          </w:rPr>
          <w:t>Gov.uk</w:t>
        </w:r>
      </w:hyperlink>
      <w:r w:rsidRPr="0038285D">
        <w:rPr>
          <w:rFonts w:ascii="Aptos Display" w:hAnsi="Aptos Display" w:cs="Times New Roman"/>
          <w:sz w:val="26"/>
          <w:szCs w:val="26"/>
        </w:rPr>
        <w:t xml:space="preserve"> (2024) Maternity pay and leave. Available at: </w:t>
      </w:r>
      <w:hyperlink r:id="rId50" w:history="1">
        <w:r w:rsidRPr="0038285D">
          <w:rPr>
            <w:rStyle w:val="Hyperlink"/>
            <w:rFonts w:ascii="Aptos Display" w:hAnsi="Aptos Display" w:cs="Times New Roman"/>
            <w:color w:val="0000EE"/>
            <w:sz w:val="26"/>
            <w:szCs w:val="26"/>
          </w:rPr>
          <w:t>https://www.gov.uk/maternity-pay-leave</w:t>
        </w:r>
      </w:hyperlink>
      <w:r w:rsidRPr="0038285D">
        <w:rPr>
          <w:rFonts w:ascii="Aptos Display" w:hAnsi="Aptos Display" w:cs="Times New Roman"/>
          <w:sz w:val="26"/>
          <w:szCs w:val="26"/>
        </w:rPr>
        <w:t xml:space="preserve"> </w:t>
      </w:r>
    </w:p>
    <w:p w14:paraId="011090CF" w14:textId="77777777" w:rsidR="00530C58" w:rsidRPr="0038285D" w:rsidRDefault="00530C58" w:rsidP="00530C58">
      <w:pPr>
        <w:pStyle w:val="NormalWeb"/>
        <w:spacing w:before="0" w:beforeAutospacing="0" w:after="180" w:afterAutospacing="0"/>
        <w:rPr>
          <w:rFonts w:ascii="Aptos Display" w:hAnsi="Aptos Display"/>
          <w:sz w:val="26"/>
          <w:szCs w:val="26"/>
        </w:rPr>
      </w:pPr>
      <w:hyperlink r:id="rId51" w:history="1">
        <w:r w:rsidRPr="0038285D">
          <w:rPr>
            <w:rStyle w:val="Hyperlink"/>
            <w:rFonts w:ascii="Aptos Display" w:hAnsi="Aptos Display" w:cs="Times New Roman"/>
            <w:sz w:val="26"/>
            <w:szCs w:val="26"/>
          </w:rPr>
          <w:t>Gov.uk</w:t>
        </w:r>
      </w:hyperlink>
      <w:r w:rsidRPr="0038285D">
        <w:rPr>
          <w:rFonts w:ascii="Aptos Display" w:hAnsi="Aptos Display" w:cs="Times New Roman"/>
          <w:sz w:val="26"/>
          <w:szCs w:val="26"/>
        </w:rPr>
        <w:t xml:space="preserve"> (2024) Shared parental leave and pay. Available at: </w:t>
      </w:r>
      <w:hyperlink r:id="rId52" w:history="1">
        <w:r w:rsidRPr="0038285D">
          <w:rPr>
            <w:rStyle w:val="Hyperlink"/>
            <w:rFonts w:ascii="Aptos Display" w:hAnsi="Aptos Display" w:cs="Times New Roman"/>
            <w:color w:val="0000EE"/>
            <w:sz w:val="26"/>
            <w:szCs w:val="26"/>
          </w:rPr>
          <w:t>https://www.gov.uk/shared-parental-leave-and-pay</w:t>
        </w:r>
      </w:hyperlink>
      <w:r w:rsidRPr="0038285D">
        <w:rPr>
          <w:rFonts w:ascii="Aptos Display" w:hAnsi="Aptos Display" w:cs="Times New Roman"/>
          <w:sz w:val="26"/>
          <w:szCs w:val="26"/>
        </w:rPr>
        <w:t xml:space="preserve"> </w:t>
      </w:r>
    </w:p>
    <w:p w14:paraId="738FFA36" w14:textId="77777777" w:rsidR="00530C58" w:rsidRPr="0038285D" w:rsidRDefault="00530C58" w:rsidP="00530C58">
      <w:pPr>
        <w:pStyle w:val="NormalWeb"/>
        <w:rPr>
          <w:rFonts w:ascii="Aptos Display" w:hAnsi="Aptos Display"/>
          <w:sz w:val="26"/>
          <w:szCs w:val="26"/>
        </w:rPr>
      </w:pPr>
      <w:r w:rsidRPr="0038285D">
        <w:rPr>
          <w:rFonts w:ascii="Aptos Display" w:hAnsi="Aptos Display"/>
          <w:sz w:val="26"/>
          <w:szCs w:val="26"/>
        </w:rPr>
        <w:t>Health and Safety Executive (2024) Managing for health and safety. Available at: </w:t>
      </w:r>
      <w:hyperlink r:id="rId53" w:history="1">
        <w:r w:rsidRPr="0038285D">
          <w:rPr>
            <w:rStyle w:val="Hyperlink"/>
            <w:rFonts w:ascii="Aptos Display" w:hAnsi="Aptos Display"/>
            <w:sz w:val="26"/>
            <w:szCs w:val="26"/>
          </w:rPr>
          <w:t>https://www.hse.gov.uk/managing/</w:t>
        </w:r>
      </w:hyperlink>
    </w:p>
    <w:p w14:paraId="757EDF7A" w14:textId="5738426D" w:rsidR="00530C58" w:rsidRPr="0038285D" w:rsidRDefault="00530C58" w:rsidP="00530C58">
      <w:pPr>
        <w:pStyle w:val="NormalWeb"/>
        <w:spacing w:before="0" w:beforeAutospacing="0" w:after="180" w:afterAutospacing="0"/>
        <w:rPr>
          <w:rFonts w:ascii="Aptos Display" w:hAnsi="Aptos Display"/>
          <w:sz w:val="26"/>
          <w:szCs w:val="26"/>
        </w:rPr>
      </w:pPr>
      <w:r w:rsidRPr="0038285D">
        <w:rPr>
          <w:rFonts w:ascii="Aptos Display" w:hAnsi="Aptos Display" w:cs="Times New Roman"/>
          <w:sz w:val="26"/>
          <w:szCs w:val="26"/>
        </w:rPr>
        <w:t xml:space="preserve">House of Commons Library (2023) Retained EU law after Brexit. Available at: </w:t>
      </w:r>
      <w:hyperlink r:id="rId54" w:history="1">
        <w:r w:rsidRPr="0038285D">
          <w:rPr>
            <w:rStyle w:val="Hyperlink"/>
            <w:rFonts w:ascii="Aptos Display" w:hAnsi="Aptos Display" w:cs="Times New Roman"/>
            <w:color w:val="0000EE"/>
            <w:sz w:val="26"/>
            <w:szCs w:val="26"/>
          </w:rPr>
          <w:t>https://commonslibrary.parliament.uk/research-briefings/cbp-9740/</w:t>
        </w:r>
      </w:hyperlink>
      <w:r w:rsidRPr="0038285D">
        <w:rPr>
          <w:rFonts w:ascii="Aptos Display" w:hAnsi="Aptos Display" w:cs="Times New Roman"/>
          <w:sz w:val="26"/>
          <w:szCs w:val="26"/>
        </w:rPr>
        <w:t xml:space="preserve"> </w:t>
      </w:r>
    </w:p>
    <w:p w14:paraId="1F504C6D" w14:textId="77777777" w:rsidR="00530C58" w:rsidRPr="0038285D" w:rsidRDefault="00530C58" w:rsidP="00530C58">
      <w:pPr>
        <w:pStyle w:val="NormalWeb"/>
        <w:spacing w:before="0" w:beforeAutospacing="0" w:after="180" w:afterAutospacing="0"/>
        <w:rPr>
          <w:rFonts w:ascii="Aptos Display" w:hAnsi="Aptos Display"/>
          <w:sz w:val="26"/>
          <w:szCs w:val="26"/>
        </w:rPr>
      </w:pPr>
      <w:r w:rsidRPr="0038285D">
        <w:rPr>
          <w:rFonts w:ascii="Aptos Display" w:hAnsi="Aptos Display" w:cs="Times New Roman"/>
          <w:sz w:val="26"/>
          <w:szCs w:val="26"/>
        </w:rPr>
        <w:t xml:space="preserve">Judiciary UK (2024) Employment Tribunal time limits. Available at: </w:t>
      </w:r>
      <w:hyperlink r:id="rId55" w:history="1">
        <w:r w:rsidRPr="0038285D">
          <w:rPr>
            <w:rStyle w:val="Hyperlink"/>
            <w:rFonts w:ascii="Aptos Display" w:hAnsi="Aptos Display" w:cs="Times New Roman"/>
            <w:color w:val="0000EE"/>
            <w:sz w:val="26"/>
            <w:szCs w:val="26"/>
          </w:rPr>
          <w:t>https://www.judiciary.uk/guidance-and-resources/employment-tribunals/</w:t>
        </w:r>
      </w:hyperlink>
      <w:r w:rsidRPr="0038285D">
        <w:rPr>
          <w:rFonts w:ascii="Aptos Display" w:hAnsi="Aptos Display" w:cs="Times New Roman"/>
          <w:sz w:val="26"/>
          <w:szCs w:val="26"/>
        </w:rPr>
        <w:t xml:space="preserve"> </w:t>
      </w:r>
    </w:p>
    <w:p w14:paraId="6690A3DF" w14:textId="77777777" w:rsidR="00530C58" w:rsidRPr="0038285D" w:rsidRDefault="00530C58" w:rsidP="00530C58">
      <w:pPr>
        <w:spacing w:after="0" w:line="240" w:lineRule="auto"/>
        <w:rPr>
          <w:rFonts w:ascii="Aptos Display" w:hAnsi="Aptos Display"/>
          <w:sz w:val="26"/>
          <w:szCs w:val="26"/>
        </w:rPr>
      </w:pPr>
      <w:r w:rsidRPr="0038285D">
        <w:rPr>
          <w:rFonts w:ascii="Aptos Display" w:eastAsia="Times New Roman" w:hAnsi="Aptos Display" w:cs="Times New Roman"/>
          <w:sz w:val="26"/>
          <w:szCs w:val="26"/>
        </w:rPr>
        <w:t xml:space="preserve">UK Government (2023) </w:t>
      </w:r>
      <w:r w:rsidRPr="0038285D">
        <w:rPr>
          <w:rFonts w:ascii="Aptos Display" w:eastAsia="Times New Roman" w:hAnsi="Aptos Display" w:cs="Times New Roman"/>
          <w:i/>
          <w:iCs/>
          <w:sz w:val="26"/>
          <w:szCs w:val="26"/>
        </w:rPr>
        <w:t>Employment Relations (Flexible Working) Act 2023</w:t>
      </w:r>
      <w:r w:rsidRPr="0038285D">
        <w:rPr>
          <w:rFonts w:ascii="Aptos Display" w:eastAsia="Times New Roman" w:hAnsi="Aptos Display" w:cs="Times New Roman"/>
          <w:sz w:val="26"/>
          <w:szCs w:val="26"/>
        </w:rPr>
        <w:t xml:space="preserve">. Available at:  Employment Relations (Flexible Working) Act 2023 </w:t>
      </w:r>
    </w:p>
    <w:p w14:paraId="43DBE3FC" w14:textId="71B0391B" w:rsidR="0066760F" w:rsidRPr="0038285D" w:rsidRDefault="0066760F" w:rsidP="0066760F">
      <w:pPr>
        <w:pStyle w:val="NormalWeb"/>
        <w:spacing w:before="0" w:beforeAutospacing="0" w:after="180" w:afterAutospacing="0"/>
        <w:rPr>
          <w:rFonts w:ascii="Aptos Display" w:hAnsi="Aptos Display"/>
          <w:sz w:val="26"/>
          <w:szCs w:val="26"/>
        </w:rPr>
      </w:pPr>
    </w:p>
    <w:p w14:paraId="65C61CA0" w14:textId="77777777" w:rsidR="0066760F" w:rsidRPr="0038285D" w:rsidRDefault="0066760F" w:rsidP="0066760F">
      <w:pPr>
        <w:pStyle w:val="NormalWeb"/>
        <w:spacing w:before="0" w:beforeAutospacing="0" w:after="180" w:afterAutospacing="0"/>
        <w:rPr>
          <w:rFonts w:ascii="Aptos Display" w:hAnsi="Aptos Display" w:cs="Times New Roman"/>
          <w:sz w:val="26"/>
          <w:szCs w:val="26"/>
        </w:rPr>
      </w:pPr>
    </w:p>
    <w:p w14:paraId="7C451D68" w14:textId="77777777" w:rsidR="0066760F" w:rsidRPr="0038285D" w:rsidRDefault="0066760F" w:rsidP="0066760F">
      <w:pPr>
        <w:rPr>
          <w:rFonts w:ascii="Aptos Display" w:eastAsia="Times New Roman" w:hAnsi="Aptos Display"/>
          <w:sz w:val="26"/>
          <w:szCs w:val="26"/>
        </w:rPr>
      </w:pPr>
      <w:r w:rsidRPr="0038285D">
        <w:rPr>
          <w:rFonts w:ascii="Aptos Display" w:eastAsia="Times New Roman" w:hAnsi="Aptos Display"/>
          <w:sz w:val="26"/>
          <w:szCs w:val="26"/>
        </w:rPr>
        <w:br/>
      </w:r>
      <w:r w:rsidRPr="0038285D">
        <w:rPr>
          <w:rFonts w:ascii="Aptos Display" w:eastAsia="Times New Roman" w:hAnsi="Aptos Display"/>
          <w:sz w:val="26"/>
          <w:szCs w:val="26"/>
        </w:rPr>
        <w:br/>
      </w:r>
    </w:p>
    <w:p w14:paraId="02862595" w14:textId="77777777" w:rsidR="0066760F" w:rsidRPr="0038285D" w:rsidRDefault="0066760F" w:rsidP="0066760F">
      <w:pPr>
        <w:rPr>
          <w:rFonts w:ascii="Aptos Display" w:eastAsia="Times New Roman" w:hAnsi="Aptos Display"/>
          <w:sz w:val="26"/>
          <w:szCs w:val="26"/>
        </w:rPr>
      </w:pPr>
      <w:r w:rsidRPr="0038285D">
        <w:rPr>
          <w:rFonts w:ascii="Aptos Display" w:eastAsia="Times New Roman" w:hAnsi="Aptos Display"/>
          <w:sz w:val="26"/>
          <w:szCs w:val="26"/>
        </w:rPr>
        <w:br/>
      </w:r>
    </w:p>
    <w:p w14:paraId="23D14BE0" w14:textId="77777777" w:rsidR="00891701" w:rsidRPr="0038285D" w:rsidRDefault="00891701" w:rsidP="00891701">
      <w:pPr>
        <w:pStyle w:val="NormalWeb"/>
        <w:rPr>
          <w:rFonts w:ascii="Aptos Display" w:hAnsi="Aptos Display"/>
          <w:sz w:val="26"/>
          <w:szCs w:val="26"/>
        </w:rPr>
      </w:pPr>
    </w:p>
    <w:p w14:paraId="350F6131" w14:textId="77777777" w:rsidR="00891701" w:rsidRPr="0038285D" w:rsidRDefault="00891701" w:rsidP="00891701">
      <w:pPr>
        <w:rPr>
          <w:rFonts w:ascii="Aptos Display" w:hAnsi="Aptos Display"/>
          <w:sz w:val="26"/>
          <w:szCs w:val="26"/>
        </w:rPr>
      </w:pPr>
    </w:p>
    <w:sectPr w:rsidR="00891701" w:rsidRPr="003828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A7657"/>
    <w:multiLevelType w:val="multilevel"/>
    <w:tmpl w:val="701C48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E26E77"/>
    <w:multiLevelType w:val="multilevel"/>
    <w:tmpl w:val="2C9A9E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18130978">
    <w:abstractNumId w:val="1"/>
  </w:num>
  <w:num w:numId="2" w16cid:durableId="8996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701"/>
    <w:rsid w:val="0038285D"/>
    <w:rsid w:val="003D1A00"/>
    <w:rsid w:val="00491704"/>
    <w:rsid w:val="00530C58"/>
    <w:rsid w:val="0066243C"/>
    <w:rsid w:val="0066760F"/>
    <w:rsid w:val="00891701"/>
    <w:rsid w:val="008F667E"/>
    <w:rsid w:val="009A14B3"/>
    <w:rsid w:val="00D2447B"/>
    <w:rsid w:val="00DB16A4"/>
    <w:rsid w:val="00E92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880BB"/>
  <w15:chartTrackingRefBased/>
  <w15:docId w15:val="{592F3814-5608-45F6-A4A2-C0D21E0B4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170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9170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9170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9170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9170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917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17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17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17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170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9170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9170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9170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9170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917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17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17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1701"/>
    <w:rPr>
      <w:rFonts w:eastAsiaTheme="majorEastAsia" w:cstheme="majorBidi"/>
      <w:color w:val="272727" w:themeColor="text1" w:themeTint="D8"/>
    </w:rPr>
  </w:style>
  <w:style w:type="paragraph" w:styleId="Title">
    <w:name w:val="Title"/>
    <w:basedOn w:val="Normal"/>
    <w:next w:val="Normal"/>
    <w:link w:val="TitleChar"/>
    <w:uiPriority w:val="10"/>
    <w:qFormat/>
    <w:rsid w:val="008917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17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17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17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1701"/>
    <w:pPr>
      <w:spacing w:before="160"/>
      <w:jc w:val="center"/>
    </w:pPr>
    <w:rPr>
      <w:i/>
      <w:iCs/>
      <w:color w:val="404040" w:themeColor="text1" w:themeTint="BF"/>
    </w:rPr>
  </w:style>
  <w:style w:type="character" w:customStyle="1" w:styleId="QuoteChar">
    <w:name w:val="Quote Char"/>
    <w:basedOn w:val="DefaultParagraphFont"/>
    <w:link w:val="Quote"/>
    <w:uiPriority w:val="29"/>
    <w:rsid w:val="00891701"/>
    <w:rPr>
      <w:i/>
      <w:iCs/>
      <w:color w:val="404040" w:themeColor="text1" w:themeTint="BF"/>
    </w:rPr>
  </w:style>
  <w:style w:type="paragraph" w:styleId="ListParagraph">
    <w:name w:val="List Paragraph"/>
    <w:basedOn w:val="Normal"/>
    <w:uiPriority w:val="34"/>
    <w:qFormat/>
    <w:rsid w:val="00891701"/>
    <w:pPr>
      <w:ind w:left="720"/>
      <w:contextualSpacing/>
    </w:pPr>
  </w:style>
  <w:style w:type="character" w:styleId="IntenseEmphasis">
    <w:name w:val="Intense Emphasis"/>
    <w:basedOn w:val="DefaultParagraphFont"/>
    <w:uiPriority w:val="21"/>
    <w:qFormat/>
    <w:rsid w:val="00891701"/>
    <w:rPr>
      <w:i/>
      <w:iCs/>
      <w:color w:val="2F5496" w:themeColor="accent1" w:themeShade="BF"/>
    </w:rPr>
  </w:style>
  <w:style w:type="paragraph" w:styleId="IntenseQuote">
    <w:name w:val="Intense Quote"/>
    <w:basedOn w:val="Normal"/>
    <w:next w:val="Normal"/>
    <w:link w:val="IntenseQuoteChar"/>
    <w:uiPriority w:val="30"/>
    <w:qFormat/>
    <w:rsid w:val="008917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91701"/>
    <w:rPr>
      <w:i/>
      <w:iCs/>
      <w:color w:val="2F5496" w:themeColor="accent1" w:themeShade="BF"/>
    </w:rPr>
  </w:style>
  <w:style w:type="character" w:styleId="IntenseReference">
    <w:name w:val="Intense Reference"/>
    <w:basedOn w:val="DefaultParagraphFont"/>
    <w:uiPriority w:val="32"/>
    <w:qFormat/>
    <w:rsid w:val="00891701"/>
    <w:rPr>
      <w:b/>
      <w:bCs/>
      <w:smallCaps/>
      <w:color w:val="2F5496" w:themeColor="accent1" w:themeShade="BF"/>
      <w:spacing w:val="5"/>
    </w:rPr>
  </w:style>
  <w:style w:type="character" w:styleId="Hyperlink">
    <w:name w:val="Hyperlink"/>
    <w:basedOn w:val="DefaultParagraphFont"/>
    <w:uiPriority w:val="99"/>
    <w:semiHidden/>
    <w:unhideWhenUsed/>
    <w:rsid w:val="00891701"/>
    <w:rPr>
      <w:color w:val="0000FF"/>
      <w:u w:val="single"/>
    </w:rPr>
  </w:style>
  <w:style w:type="paragraph" w:styleId="NormalWeb">
    <w:name w:val="Normal (Web)"/>
    <w:basedOn w:val="Normal"/>
    <w:uiPriority w:val="99"/>
    <w:unhideWhenUsed/>
    <w:rsid w:val="00891701"/>
    <w:pPr>
      <w:spacing w:before="100" w:beforeAutospacing="1" w:after="100" w:afterAutospacing="1" w:line="240" w:lineRule="auto"/>
    </w:pPr>
    <w:rPr>
      <w:rFonts w:ascii="Aptos" w:hAnsi="Aptos" w:cs="Aptos"/>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protect.cudasvc.com/url?a=https%3a%2f%2fwww.acas.org.uk%2fchecking-holiday-entitlement%2fholiday-pay&amp;c=E,1,d4nBQ3sWWiwDJk0yty-Dnf2L7YJavPkWZT9ZBEfgrtBmU35XV8v4fZi2WNgfSJM3E4C7Q4Z5jbPPzAR7vgUw2qE7AHAJeQmAombUSlQwetg6UK_x&amp;typo=1" TargetMode="External"/><Relationship Id="rId18" Type="http://schemas.openxmlformats.org/officeDocument/2006/relationships/hyperlink" Target="https://linkprotect.cudasvc.com/url?a=https%3a%2f%2fwww.cipd.org%2fuk%2fknowledge%2ffactsheets%2fdismissal-factsheet%2f&amp;c=E,1,m8SkQt7e-gY0CcUeksLzD2chWCe7m6DPHE6Lc8beRJMA1GaRC_nrR4osvZ3OajmqaB2l5NcFDKvVcTe3YKnZpcYnibft5w_Xwcuap4SBzIk,&amp;typo=1" TargetMode="External"/><Relationship Id="rId26" Type="http://schemas.openxmlformats.org/officeDocument/2006/relationships/hyperlink" Target="https://linkprotect.cudasvc.com/url?a=https%3a%2f%2fwww.equalityhumanrights.com%2f&amp;c=E,1,_ff9X0nobFkIstITGIYSCNGFLiocNme2EnhZMzDcpYOxOUbTHFYXYorznauK8-hmB1io_GMUAvH_yFI1tGVa5ZW7AbrJ7ISw23Ay6KBLjvEE&amp;typo=1" TargetMode="External"/><Relationship Id="rId39" Type="http://schemas.openxmlformats.org/officeDocument/2006/relationships/hyperlink" Target="http://gov.uk/" TargetMode="External"/><Relationship Id="rId21" Type="http://schemas.openxmlformats.org/officeDocument/2006/relationships/hyperlink" Target="https://linkprotect.cudasvc.com/url?a=https%3a%2f%2fwww.cipd.org%2fuk%2fknowledge%2ffactsheets%2fequal-pay-factsheet%2f&amp;c=E,1,V4NWAwRjMKJffW6g7NhTUftVzAd_xqX4-SFtKH3Il4YGbJ3kaJvKrVsGCQElHme_l4aPTwjXc6hkwmziFQFQzauaU15-5SlM1D6KR99o5JU,&amp;typo=1" TargetMode="External"/><Relationship Id="rId34" Type="http://schemas.openxmlformats.org/officeDocument/2006/relationships/hyperlink" Target="https://linkprotect.cudasvc.com/url?a=https%3a%2f%2fwww.legislation.gov.uk%2fukpga%2f1996%2f18%2fcontents&amp;c=E,1,ZdqB-EWD63Ux4dHLL8DICHKROxbAvdJk6GSVDP0XNDbSPQ1EcFFyx1W1924-BdatszGcCYMWVMacUqm55iv3sCup_X50_yX971a4AdJDkEPMppPEF00MKQcqVWk,&amp;typo=1" TargetMode="External"/><Relationship Id="rId42" Type="http://schemas.openxmlformats.org/officeDocument/2006/relationships/hyperlink" Target="https://linkprotect.cudasvc.com/url?a=https%3a%2f%2fwww.legislation.gov.uk%2fukpga%2f2010%2f15%2fcontents&amp;c=E,1,qwg0Ph-WRESYhwa8dJsiP5AcghzMuAwCatjjjaTj9pqLm1gjK0_X_0ReohnpD6FFLhlkP6nkzn8gdLvAQTQEinnVgE4TPfzUtltYbNmE6BI,&amp;typo=1" TargetMode="External"/><Relationship Id="rId47" Type="http://schemas.openxmlformats.org/officeDocument/2006/relationships/hyperlink" Target="https://linkprotect.cudasvc.com/url?a=https%3a%2f%2fGov.uk&amp;c=E,1,lO6EyO7VRiiBfKrMS-KtLl8_FDGYHIyxyUQG18aheDf111o5iO_D5XPZ-IOJVzsAvTaWg4oz-HTbNM8dHgjcHLSuXUoxJhYK25hYA0WGsin9oKYHYdk,&amp;typo=1&amp;ancr_add=1" TargetMode="External"/><Relationship Id="rId50" Type="http://schemas.openxmlformats.org/officeDocument/2006/relationships/hyperlink" Target="https://www.gov.uk/maternity-pay-leave" TargetMode="External"/><Relationship Id="rId55" Type="http://schemas.openxmlformats.org/officeDocument/2006/relationships/hyperlink" Target="https://linkprotect.cudasvc.com/url?a=https%3a%2f%2fwww.judiciary.uk%2fguidance-and-resources%2femployment-tribunals%2f&amp;c=E,1,2YpMXep_fAIRhw8lyVtctZxsRLXBEjnEMgT5PjHEZw6KmfvsBCfK-Ggx89o0euex6o2DveZP2xU6Nup6kQ8dsGq2A1mYsz1z5SwT0l5tus4w7Mjh&amp;typo=1"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linkprotect.cudasvc.com/url?a=https%3a%2f%2fwww.acas.org.uk%2ftupe&amp;c=E,1,QTaWKdEXDLv2v2hQEYcwTaL69PtRuvzEI4joF3n0aTIucWkLTaH8WHuAEc_9fe5sS-OzkOKBQSc_amKJP1UeND3SSpBogU1r0jF3f0JOJ6__qZO-kzX2&amp;typo=1" TargetMode="External"/><Relationship Id="rId29" Type="http://schemas.openxmlformats.org/officeDocument/2006/relationships/hyperlink" Target="http://gov.uk/" TargetMode="External"/><Relationship Id="rId11" Type="http://schemas.openxmlformats.org/officeDocument/2006/relationships/hyperlink" Target="https://linkprotect.cudasvc.com/url?a=https%3a%2f%2fwww.acas.org.uk%2fequal-pay&amp;c=E,1,7F8Al47a0bifQwG0G4WNiqvnxY4didFOS18tccs_TZS_dc-9svhlirhMr3dFczAMp3-HTo3_o4Mv2MKHmSQIovKILJpUSKAn_7eKvfsxhuJauFuWORkwbA,,&amp;typo=1" TargetMode="External"/><Relationship Id="rId24" Type="http://schemas.openxmlformats.org/officeDocument/2006/relationships/hyperlink" Target="https://linkprotect.cudasvc.com/url?a=https%3a%2f%2fwww.cipd.org%2fuk%2fknowledge%2ffactsheets%2ftupe-factsheet%2f&amp;c=E,1,9lpYZi1iaTD-Ou-beRaG_DqAtMGvrPr4T4l2IXjM3NlD8ctSCH_FoGHyHFn29xgmb7tv-DVdnv3JeWzLNysFxBvjNGOWMqJihdYTFQ2eqhadDVQJwK1uKXM,&amp;typo=1" TargetMode="External"/><Relationship Id="rId32" Type="http://schemas.openxmlformats.org/officeDocument/2006/relationships/hyperlink" Target="https://linkprotect.cudasvc.com/url?a=https%3a%2f%2fwww.legislation.gov.uk%2fukpga%2f1996%2f18%2fcontents&amp;c=E,1,iCIv3onkib9-U3EgVRVY1wmV_OTcju1hPY7PKR_Iy8QG41vJmwJn94xvQ4m1ZRqvqCQk40uPT89c5zWkDPeC_y0Pi1oWrZJ4zqIGiGsF9aHd3iwAhbIiZ8mvhvU,&amp;typo=1" TargetMode="External"/><Relationship Id="rId37" Type="http://schemas.openxmlformats.org/officeDocument/2006/relationships/hyperlink" Target="https://linkprotect.cudasvc.com/url?a=http%3a%2f%2fGov.uk&amp;c=E,1,dJsg-XVNW0k346yy7PQbSCjhhUJpW-M8-m-Z2vqoG-Y9J4jeaH-2eiPl13EQEweyd0-m3pODSJKj1aVMuB5TpqDlAT-rUZja1Gbnc8ccAw,,&amp;typo=1" TargetMode="External"/><Relationship Id="rId40" Type="http://schemas.openxmlformats.org/officeDocument/2006/relationships/hyperlink" Target="https://linkprotect.cudasvc.com/url?a=https%3a%2f%2fwww.legislation.gov.uk%2fukpga%2f2010%2f15%2fcontents&amp;c=E,1,VdwiLCL4L2gzswmRN7P8pyQ4WPYXQwKDtwQmfZUBBsAIZL-eTWNk796zcBqWzk0KtO9DFOpTXy45iOShLABNTm4FAmApXn9O1rmnTWsGlRY,&amp;typo=1" TargetMode="External"/><Relationship Id="rId45" Type="http://schemas.openxmlformats.org/officeDocument/2006/relationships/hyperlink" Target="http://gov.uk/" TargetMode="External"/><Relationship Id="rId53" Type="http://schemas.openxmlformats.org/officeDocument/2006/relationships/hyperlink" Target="https://linkprotect.cudasvc.com/url?a=https%3a%2f%2fwww.hse.gov.uk%2fmanaging%2f&amp;c=E,1,acytHPnGacZBgfNSfCgV5_7BiJQuugNyTU8bLRmEu-mdkvYzfizK34SOdzJ9YqjqCrEkUrdU1EXxdbhHzGoIFLwwWGcLr-cfGM0jB8uc3ejv8ZmK4aHP&amp;typo=1" TargetMode="External"/><Relationship Id="rId5" Type="http://schemas.openxmlformats.org/officeDocument/2006/relationships/styles" Target="styles.xml"/><Relationship Id="rId19" Type="http://schemas.openxmlformats.org/officeDocument/2006/relationships/hyperlink" Target="https://linkprotect.cudasvc.com/url?a=https%3a%2f%2fwww.cipd.org%2fuk%2fknowledge%2ffundamentals%2femp-law%2f&amp;c=E,1,eAFOm4bMmArAtoSUq1WR4fxkTrHlbESOKlhHgpdLCRsWPyb_HzUbrBcdnfUdcTCdJjyqIThCzH0-2QNgg2PAGbUyZl_LJfjoF_LJy_sWpaIZV-emge8-y_0yadsp&amp;typo=1" TargetMode="External"/><Relationship Id="rId4" Type="http://schemas.openxmlformats.org/officeDocument/2006/relationships/numbering" Target="numbering.xml"/><Relationship Id="rId9" Type="http://schemas.openxmlformats.org/officeDocument/2006/relationships/hyperlink" Target="https://linkprotect.cudasvc.com/url?a=https%3a%2f%2fwww.acas.org.uk%2fdiscrimination-and-the-law&amp;c=E,1,RS-s9Mmmy94cQjjH9hz1A8ycQv4X9gYyQ6pN6tC9XCHUr5cdStywJJ_iS-gaqSbgMvfmZDAUEIqIMLCLUf8dG-8pVHl19yldK8n-mdB6Dz9SqLM,&amp;typo=1" TargetMode="External"/><Relationship Id="rId14" Type="http://schemas.openxmlformats.org/officeDocument/2006/relationships/hyperlink" Target="https://linkprotect.cudasvc.com/url?a=https%3a%2f%2fwww.acas.org.uk%2fredundancy&amp;c=E,1,aMxTSQ-uExJiExX-0vQsPL6W3DUoFiuJPbZD1Bwh4wM6TNz_WG8eH3tNEzXfqD1Bgs91eOidQjp7_gkDODpByoXZcjjVHRaQlDog8MuS1uMtO0H3Yw,,&amp;typo=1" TargetMode="External"/><Relationship Id="rId22" Type="http://schemas.openxmlformats.org/officeDocument/2006/relationships/hyperlink" Target="https://linkprotect.cudasvc.com/url?a=https%3a%2f%2fwww.cipd.org%2fuk%2fknowledge%2ffactsheets%2ffamily-friendly-leave-factsheet%2f&amp;c=E,1,tndjGuEiDCMbXQ60b_PlXaUb7ffI9rdgKLTEQ97j9EKc4zFLQKB46-J4rL05TINai7uWy2hf6Q8OEatJpQs0omemyDIQLp_KrWRqnk4HjC0VBklb-w5BvQ,,&amp;typo=1" TargetMode="External"/><Relationship Id="rId27" Type="http://schemas.openxmlformats.org/officeDocument/2006/relationships/hyperlink" Target="https://linkprotect.cudasvc.com/url?a=https%3a%2f%2fwww.equalityhumanrights.com%2fen%2fadvice-and-guidance%2fequal-pay&amp;c=E,1,0NUMU9aDM2rcN_5Qn8OnglUd2472kA_v8yqEdemnTJm_PSKjXS8Kq2P9yOCi6OBEFaD2RZyJD3BV6NZkhm9mt3c9igpV38AWHgqyh6tEl03tZg,,&amp;typo=1" TargetMode="External"/><Relationship Id="rId30" Type="http://schemas.openxmlformats.org/officeDocument/2006/relationships/hyperlink" Target="https://linkprotect.cudasvc.com/url?a=https%3a%2f%2fwww.legislation.gov.uk%2fukpga%2f1992%2f52%2fcontents&amp;c=E,1,_oiBrL0gObwmqcowZ5O_rblt43TTYVYjinQe2-N_VmUTkJKAWC6FMytxMCGE9aDkCzBmZKp2ZiyOFjatJE55VFIxCZ3Ao-pBx5XmA4W8YSfKfa1W4Q,,&amp;typo=1" TargetMode="External"/><Relationship Id="rId35" Type="http://schemas.openxmlformats.org/officeDocument/2006/relationships/hyperlink" Target="http://gov.uk/" TargetMode="External"/><Relationship Id="rId43" Type="http://schemas.openxmlformats.org/officeDocument/2006/relationships/hyperlink" Target="http://gov.uk/" TargetMode="External"/><Relationship Id="rId48" Type="http://schemas.openxmlformats.org/officeDocument/2006/relationships/hyperlink" Target="https://www.gov.uk/employment-status" TargetMode="External"/><Relationship Id="rId56" Type="http://schemas.openxmlformats.org/officeDocument/2006/relationships/fontTable" Target="fontTable.xml"/><Relationship Id="rId8" Type="http://schemas.openxmlformats.org/officeDocument/2006/relationships/hyperlink" Target="https://linkprotect.cudasvc.com/url?a=https%3a%2f%2fwww.acas.org.uk%2fdismissals%2fconstructive-dismissal&amp;c=E,1,C8oZwczJe0-Nq5js6rwRHiCgpQOM7PTdFQoidALISFedXL4_lZrd3LhX_3TWj_IsaD0jov3JPr2O7DwvBxJ6bq5gvnQzxdE4QWCNUrIV2tkAWwaL2nI1&amp;typo=1" TargetMode="External"/><Relationship Id="rId51" Type="http://schemas.openxmlformats.org/officeDocument/2006/relationships/hyperlink" Target="http://gov.uk/" TargetMode="External"/><Relationship Id="rId3" Type="http://schemas.openxmlformats.org/officeDocument/2006/relationships/customXml" Target="../customXml/item3.xml"/><Relationship Id="rId12" Type="http://schemas.openxmlformats.org/officeDocument/2006/relationships/hyperlink" Target="https://linkprotect.cudasvc.com/url?a=https%3a%2f%2fwww.acas.org.uk%2fchecking-holiday-entitlement%2fholiday-pay&amp;c=E,1,8pgLff7GGBjWb--5pBgebUEzcZ2pKrYB_7eOLYDfy_mn64jvllu-P_VsP_zpR0xv0eZtuXqHao-2VGc2-eLJs4fLKGweQETiq_Pu1Prnd9Y,&amp;typo=1" TargetMode="External"/><Relationship Id="rId17" Type="http://schemas.openxmlformats.org/officeDocument/2006/relationships/hyperlink" Target="https://linkprotect.cudasvc.com/url?a=https%3a%2f%2fwww.cipd.org%2fuk%2fknowledge%2ffactsheets%2fdiversity-recruitment-factsheet%2f&amp;c=E,1,lhp8ROaB4pCrvyzPQVxtx6mGt_nbD0TP9fY5pyyZNmgQ1xnppN-Kgd7v2uH0E0vTHs5JkkBpgjt4h9GAXUtIu_ke2tVdkMmKDpFbjiECr_6GNA,,&amp;typo=1" TargetMode="External"/><Relationship Id="rId25" Type="http://schemas.openxmlformats.org/officeDocument/2006/relationships/hyperlink" Target="https://linkprotect.cudasvc.com/url?a=https%3a%2f%2fwww.cipd.org%2fuk%2fknowledge%2ffactsheets%2fworking-time-factsheet%2f&amp;c=E,1,TqdxZVIKwgN7yuEa3VM9l9L0KZ4_DKsWEGmH3PrgPwP6OGv5Vve4G-bx5yc8g1HuiDSMTbzCETiKkxl_GyPIcVWFAw6Jp0HTu3KwDNqHT46WBIarRgbz&amp;typo=1" TargetMode="External"/><Relationship Id="rId33" Type="http://schemas.openxmlformats.org/officeDocument/2006/relationships/hyperlink" Target="http://gov.uk/" TargetMode="External"/><Relationship Id="rId38" Type="http://schemas.openxmlformats.org/officeDocument/2006/relationships/hyperlink" Target="https://linkprotect.cudasvc.com/url?a=https%3a%2f%2fwww.legislation.gov.uk%2fuksi%2f2006%2f246%2fcontents%2fmade&amp;c=E,1,kFvxm8zoZhmv_GWCogVu-Uqs5V5uZKxJ_wohAxpaZA7ca9j_dkUXbAjjP1KNJWWZ8Uh1Hab4twMtuPzjCXu5NMoRnjQ-QY2WG4kCzBu2IJKHFC-_Po-lrBqNLvZC&amp;typo=1" TargetMode="External"/><Relationship Id="rId46" Type="http://schemas.openxmlformats.org/officeDocument/2006/relationships/hyperlink" Target="https://www.gov.uk/calculate-your-holiday-entitlement" TargetMode="External"/><Relationship Id="rId20" Type="http://schemas.openxmlformats.org/officeDocument/2006/relationships/hyperlink" Target="https://linkprotect.cudasvc.com/url?a=https%3a%2f%2fwww.cipd.org%2fuk%2fknowledge%2ffundamentals%2femp-law%2fuk-eu-referendum%2f&amp;c=E,1,7RR3QUheHppkpP4ROhC41FywkKkrnT8KGabymNOUhAUJi7dQK-S-LVKAdSNi1GwWnVNxb6y3GFIxRHKocOtD_neA-IS7IZ7htVhjI-Tkibs,&amp;typo=1" TargetMode="External"/><Relationship Id="rId41" Type="http://schemas.openxmlformats.org/officeDocument/2006/relationships/hyperlink" Target="http://gov.uk/" TargetMode="External"/><Relationship Id="rId54" Type="http://schemas.openxmlformats.org/officeDocument/2006/relationships/hyperlink" Target="https://linkprotect.cudasvc.com/url?a=https%3a%2f%2fcommonslibrary.parliament.uk%2fresearch-briefings%2fcbp-9740%2f&amp;c=E,1,464NBcORQClLtv7V71t22Rvo5_4wDpbnLjXcBakK250oCQBU28mB-OXdhfEoa7Mjfr2eYHniKARttGYXifFGRZhhw4mV506ImIFK6d4Y8HE2miQzQr_ToRt4gFs,&amp;typo=1"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linkprotect.cudasvc.com/url?a=https%3a%2f%2fwww.acas.org.uk%2fshared-parental-leave-and-pay&amp;c=E,1,9c6ileWNIfmceCmwEjfv6Z1DnIJ0aOmz0Q3lam5It41HgWmLwqlC7MFPCrdCPC7qd_wjAbqUfWE8UBC4rF2-GEPZJXHxPil6rrS_ktuGjxn9sAfEnVw,&amp;typo=1" TargetMode="External"/><Relationship Id="rId23" Type="http://schemas.openxmlformats.org/officeDocument/2006/relationships/hyperlink" Target="https://linkprotect.cudasvc.com/url?a=https%3a%2f%2fwww.cipd.org%2fuk%2fknowledge%2ffactsheets%2fredundancy-factsheet%2f&amp;c=E,1,m9agTemU2qu4dPp3cNF34nKzPG3GBv8kG__q9sBg_-3jCz8Twsvijl_Br5HXqSc6PjmKC75b1hyduI51xZ9bRHrNxBlBwtgfimnEubp5vvw9dPNAmR66&amp;typo=1" TargetMode="External"/><Relationship Id="rId28" Type="http://schemas.openxmlformats.org/officeDocument/2006/relationships/hyperlink" Target="https://linkprotect.cudasvc.com/url?a=https%3a%2f%2fwww.equalityhumanrights.com%2fen%2fadvice-and-guidance%2foccupational-requirements&amp;c=E,1,38AsZOzFlgtF34horxfbrpaSs7FArzM7gCPReONYPKhngu_NB7SFNKU9gSVKIacvu1QuXoOrp40KPFplmSQ0JUacqOLwDUg6wEoRhU_C_kyFKEDV&amp;typo=1" TargetMode="External"/><Relationship Id="rId36" Type="http://schemas.openxmlformats.org/officeDocument/2006/relationships/hyperlink" Target="https://linkprotect.cudasvc.com/url?a=https%3a%2f%2fwww.legislation.gov.uk%2fuksi%2f1998%2f1833%2fcontents%2fmade&amp;c=E,1,IB78rEoO0tASsffIwaqtKJG2p91vNsvOI4eb-51FF2jLhuzXyD-29foq7-fatHf2ve_stgrYaeKGlS3cz7yOlf-MJzvsF4RSVYN2bh5QbLs2NxhohIo9uEWXqy4,&amp;typo=1" TargetMode="External"/><Relationship Id="rId49" Type="http://schemas.openxmlformats.org/officeDocument/2006/relationships/hyperlink" Target="http://gov.uk/" TargetMode="External"/><Relationship Id="rId57" Type="http://schemas.openxmlformats.org/officeDocument/2006/relationships/theme" Target="theme/theme1.xml"/><Relationship Id="rId10" Type="http://schemas.openxmlformats.org/officeDocument/2006/relationships/hyperlink" Target="https://linkprotect.cudasvc.com/url?a=https%3a%2f%2fwww.acas.org.uk%2femployment-law&amp;c=E,1,F9IRRQ9yaWIFfbwr4hzRcSxOUpOOTDKLyaVgdgsz9XaDO0U2bDF-jp5amWlz3JPhPze7x029TssyyIkgmZeBnTh6-RjvX4ig6h2ypGJkLIbRuv820bQ,&amp;typo=1" TargetMode="External"/><Relationship Id="rId31" Type="http://schemas.openxmlformats.org/officeDocument/2006/relationships/hyperlink" Target="http://gov.uk/" TargetMode="External"/><Relationship Id="rId44" Type="http://schemas.openxmlformats.org/officeDocument/2006/relationships/hyperlink" Target="https://linkprotect.cudasvc.com/url?a=https%3a%2f%2fwww.legislation.gov.uk%2fukpga%2f2018%2f16%2fcontents%2fenacted&amp;c=E,1,zz9rgxg78V6j_Gm-wJPUGfm_08wdXcJHK-LIEqOpJ27keYj64SkeVs8uEvT2fzlwVHDHLWrHlffBMYTzPSC0Z3v3wC48XXslA_vh34Jh&amp;typo=1" TargetMode="External"/><Relationship Id="rId52" Type="http://schemas.openxmlformats.org/officeDocument/2006/relationships/hyperlink" Target="https://www.gov.uk/shared-parental-leave-and-p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1027FA789EB7342ACE2FB06F0C97FBE" ma:contentTypeVersion="13" ma:contentTypeDescription="Create a new document." ma:contentTypeScope="" ma:versionID="65dac37d203e079033c411494e7dd4b0">
  <xsd:schema xmlns:xsd="http://www.w3.org/2001/XMLSchema" xmlns:xs="http://www.w3.org/2001/XMLSchema" xmlns:p="http://schemas.microsoft.com/office/2006/metadata/properties" xmlns:ns2="a3575a51-539c-4333-a1aa-b7821a61ff78" xmlns:ns3="6e72e00d-af10-4443-a669-d2dc41a07b70" targetNamespace="http://schemas.microsoft.com/office/2006/metadata/properties" ma:root="true" ma:fieldsID="fd0340f213ebbdf28bacb18b4e44afaa" ns2:_="" ns3:_="">
    <xsd:import namespace="a3575a51-539c-4333-a1aa-b7821a61ff78"/>
    <xsd:import namespace="6e72e00d-af10-4443-a669-d2dc41a07b7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575a51-539c-4333-a1aa-b7821a61ff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1e92514-27c8-40c5-8379-a235b016025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72e00d-af10-4443-a669-d2dc41a07b7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4d98c8a-cd28-4018-9be8-45b3bcd3fe1a}" ma:internalName="TaxCatchAll" ma:showField="CatchAllData" ma:web="6e72e00d-af10-4443-a669-d2dc41a07b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3575a51-539c-4333-a1aa-b7821a61ff78">
      <Terms xmlns="http://schemas.microsoft.com/office/infopath/2007/PartnerControls"/>
    </lcf76f155ced4ddcb4097134ff3c332f>
    <TaxCatchAll xmlns="6e72e00d-af10-4443-a669-d2dc41a07b70" xsi:nil="true"/>
  </documentManagement>
</p:properties>
</file>

<file path=customXml/itemProps1.xml><?xml version="1.0" encoding="utf-8"?>
<ds:datastoreItem xmlns:ds="http://schemas.openxmlformats.org/officeDocument/2006/customXml" ds:itemID="{C613396C-E29B-494C-9C2B-65E50CAC84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575a51-539c-4333-a1aa-b7821a61ff78"/>
    <ds:schemaRef ds:uri="6e72e00d-af10-4443-a669-d2dc41a07b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A7EFE7-3C3A-4A6A-ADF4-C92E8C924DBD}">
  <ds:schemaRefs>
    <ds:schemaRef ds:uri="http://schemas.microsoft.com/sharepoint/v3/contenttype/forms"/>
  </ds:schemaRefs>
</ds:datastoreItem>
</file>

<file path=customXml/itemProps3.xml><?xml version="1.0" encoding="utf-8"?>
<ds:datastoreItem xmlns:ds="http://schemas.openxmlformats.org/officeDocument/2006/customXml" ds:itemID="{D7C5D552-A6B1-4AA6-B4C0-BE6187C34703}">
  <ds:schemaRefs>
    <ds:schemaRef ds:uri="http://schemas.microsoft.com/office/2006/metadata/properties"/>
    <ds:schemaRef ds:uri="http://schemas.microsoft.com/office/infopath/2007/PartnerControls"/>
    <ds:schemaRef ds:uri="a3575a51-539c-4333-a1aa-b7821a61ff78"/>
    <ds:schemaRef ds:uri="6e72e00d-af10-4443-a669-d2dc41a07b70"/>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13</Pages>
  <Words>5851</Words>
  <Characters>33353</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GD Harries &amp; Sons Ltd</Company>
  <LinksUpToDate>false</LinksUpToDate>
  <CharactersWithSpaces>39126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Luff</dc:creator>
  <cp:keywords/>
  <dc:description/>
  <cp:lastModifiedBy>Laura Luff</cp:lastModifiedBy>
  <cp:revision>7</cp:revision>
  <dcterms:created xsi:type="dcterms:W3CDTF">2026-05-23T10:42:00Z</dcterms:created>
  <dcterms:modified xsi:type="dcterms:W3CDTF">2026-06-01T08:08:00Z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0x010100A1027FA789EB7342ACE2FB06F0C97FBE</vt:lpwstr>
  </property>
  <property fmtid="{D5CDD505-2E9C-101B-9397-08002B2CF9AE}" pid="3" name="MediaServiceImageTags">
    <vt:lpwstr/>
  </property>
</Properties>
</file>