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96DD61" w14:textId="77777777" w:rsidR="00CA6D18" w:rsidRDefault="00000000">
      <w:pPr>
        <w:pStyle w:val="Title"/>
        <w:spacing w:after="0"/>
        <w:jc w:val="center"/>
        <w:rPr>
          <w:b/>
          <w:sz w:val="36"/>
          <w:szCs w:val="36"/>
        </w:rPr>
      </w:pPr>
      <w:bookmarkStart w:id="0" w:name="_gjdgxs" w:colFirst="0" w:colLast="0"/>
      <w:bookmarkEnd w:id="0"/>
      <w:r>
        <w:rPr>
          <w:noProof/>
        </w:rPr>
        <w:drawing>
          <wp:anchor distT="114300" distB="114300" distL="114300" distR="114300" simplePos="0" relativeHeight="251658240" behindDoc="0" locked="0" layoutInCell="1" allowOverlap="1" wp14:anchorId="1723743A" wp14:editId="462E9D3A">
            <wp:simplePos x="0" y="0"/>
            <wp:positionH relativeFrom="column">
              <wp:posOffset>1727363</wp:posOffset>
            </wp:positionH>
            <wp:positionV relativeFrom="paragraph">
              <wp:posOffset>114300</wp:posOffset>
            </wp:positionV>
            <wp:extent cx="2272214" cy="833438"/>
            <wp:effectExtent l="0" t="0" r="0" b="0"/>
            <wp:wrapNone/>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6"/>
                    <a:stretch>
                      <a:fillRect/>
                    </a:stretch>
                  </pic:blipFill>
                  <pic:spPr>
                    <a:xfrm>
                      <a:off x="0" y="0"/>
                      <a:ext cx="2272214" cy="833438"/>
                    </a:xfrm>
                    <a:prstGeom prst="rect">
                      <a:avLst/>
                    </a:prstGeom>
                  </pic:spPr>
                </pic:pic>
              </a:graphicData>
            </a:graphic>
          </wp:anchor>
        </w:drawing>
      </w:r>
    </w:p>
    <w:p w14:paraId="09B7B6B9" w14:textId="77777777" w:rsidR="00CA6D18" w:rsidRDefault="00CA6D18">
      <w:pPr>
        <w:pStyle w:val="Title"/>
        <w:spacing w:after="0"/>
        <w:jc w:val="center"/>
        <w:rPr>
          <w:b/>
          <w:sz w:val="36"/>
          <w:szCs w:val="36"/>
        </w:rPr>
      </w:pPr>
      <w:bookmarkStart w:id="1" w:name="_30j0zll" w:colFirst="0" w:colLast="0"/>
      <w:bookmarkEnd w:id="1"/>
    </w:p>
    <w:p w14:paraId="67E97AA5" w14:textId="77777777" w:rsidR="00CA6D18" w:rsidRDefault="00CA6D18">
      <w:pPr>
        <w:pStyle w:val="Title"/>
        <w:spacing w:after="0"/>
        <w:jc w:val="center"/>
        <w:rPr>
          <w:b/>
          <w:sz w:val="36"/>
          <w:szCs w:val="36"/>
        </w:rPr>
      </w:pPr>
      <w:bookmarkStart w:id="2" w:name="_1fob9te" w:colFirst="0" w:colLast="0"/>
      <w:bookmarkEnd w:id="2"/>
    </w:p>
    <w:p w14:paraId="031308ED" w14:textId="77777777" w:rsidR="00CA6D18" w:rsidRDefault="00CA6D18">
      <w:pPr>
        <w:pStyle w:val="Title"/>
        <w:spacing w:after="0"/>
        <w:jc w:val="center"/>
        <w:rPr>
          <w:b/>
          <w:sz w:val="36"/>
          <w:szCs w:val="36"/>
        </w:rPr>
      </w:pPr>
      <w:bookmarkStart w:id="3" w:name="_3znysh7" w:colFirst="0" w:colLast="0"/>
      <w:bookmarkEnd w:id="3"/>
    </w:p>
    <w:p w14:paraId="0C4A1EAE" w14:textId="77777777" w:rsidR="00CA6D18" w:rsidRDefault="00CA6D18">
      <w:pPr>
        <w:pStyle w:val="Title"/>
        <w:spacing w:after="0"/>
        <w:jc w:val="center"/>
        <w:rPr>
          <w:b/>
          <w:sz w:val="36"/>
          <w:szCs w:val="36"/>
        </w:rPr>
      </w:pPr>
      <w:bookmarkStart w:id="4" w:name="_2et92p0" w:colFirst="0" w:colLast="0"/>
      <w:bookmarkEnd w:id="4"/>
    </w:p>
    <w:p w14:paraId="12879DA2" w14:textId="77777777" w:rsidR="00CA6D18" w:rsidRDefault="00CA6D18">
      <w:pPr>
        <w:pStyle w:val="Title"/>
        <w:spacing w:after="0"/>
        <w:jc w:val="center"/>
        <w:rPr>
          <w:b/>
          <w:sz w:val="36"/>
          <w:szCs w:val="36"/>
        </w:rPr>
      </w:pPr>
      <w:bookmarkStart w:id="5" w:name="_tyjcwt" w:colFirst="0" w:colLast="0"/>
      <w:bookmarkEnd w:id="5"/>
    </w:p>
    <w:p w14:paraId="77B6FE98" w14:textId="77777777" w:rsidR="00CA6D18" w:rsidRDefault="00CA6D18">
      <w:pPr>
        <w:pStyle w:val="Title"/>
        <w:spacing w:after="0"/>
        <w:jc w:val="center"/>
        <w:rPr>
          <w:b/>
          <w:sz w:val="36"/>
          <w:szCs w:val="36"/>
        </w:rPr>
      </w:pPr>
      <w:bookmarkStart w:id="6" w:name="_3dy6vkm" w:colFirst="0" w:colLast="0"/>
      <w:bookmarkEnd w:id="6"/>
    </w:p>
    <w:p w14:paraId="42520B5C" w14:textId="77777777" w:rsidR="00CA6D18" w:rsidRDefault="00CA6D18">
      <w:pPr>
        <w:pStyle w:val="Title"/>
        <w:spacing w:after="0"/>
        <w:jc w:val="center"/>
        <w:rPr>
          <w:b/>
          <w:sz w:val="36"/>
          <w:szCs w:val="36"/>
        </w:rPr>
      </w:pPr>
      <w:bookmarkStart w:id="7" w:name="_1t3h5sf" w:colFirst="0" w:colLast="0"/>
      <w:bookmarkEnd w:id="7"/>
    </w:p>
    <w:p w14:paraId="608AAD80" w14:textId="77777777" w:rsidR="00CA6D18" w:rsidRDefault="00000000">
      <w:pPr>
        <w:pStyle w:val="Title"/>
        <w:spacing w:after="0"/>
        <w:jc w:val="center"/>
        <w:rPr>
          <w:b/>
          <w:sz w:val="36"/>
          <w:szCs w:val="36"/>
        </w:rPr>
      </w:pPr>
      <w:bookmarkStart w:id="8" w:name="_4d34og8" w:colFirst="0" w:colLast="0"/>
      <w:bookmarkEnd w:id="8"/>
      <w:r>
        <w:rPr>
          <w:b/>
          <w:sz w:val="36"/>
          <w:szCs w:val="36"/>
        </w:rPr>
        <w:t>Accounting Fundamentals</w:t>
      </w:r>
    </w:p>
    <w:p w14:paraId="432EE29D" w14:textId="77777777" w:rsidR="00CA6D18" w:rsidRDefault="00000000">
      <w:pPr>
        <w:pStyle w:val="Subtitle"/>
        <w:spacing w:after="0"/>
        <w:jc w:val="center"/>
        <w:rPr>
          <w:rFonts w:ascii="Times New Roman" w:eastAsia="Times New Roman" w:hAnsi="Times New Roman" w:cs="Times New Roman"/>
          <w:b/>
          <w:color w:val="000000"/>
          <w:sz w:val="36"/>
          <w:szCs w:val="36"/>
        </w:rPr>
      </w:pPr>
      <w:bookmarkStart w:id="9" w:name="_2s8eyo1" w:colFirst="0" w:colLast="0"/>
      <w:bookmarkEnd w:id="9"/>
      <w:r>
        <w:rPr>
          <w:rFonts w:ascii="Times New Roman" w:eastAsia="Times New Roman" w:hAnsi="Times New Roman" w:cs="Times New Roman"/>
          <w:b/>
          <w:color w:val="000000"/>
          <w:sz w:val="36"/>
          <w:szCs w:val="36"/>
        </w:rPr>
        <w:t>LCBB4001</w:t>
      </w:r>
    </w:p>
    <w:p w14:paraId="78B87613" w14:textId="77777777" w:rsidR="00CA6D18" w:rsidRDefault="00000000">
      <w:pPr>
        <w:pStyle w:val="Subtitle"/>
        <w:spacing w:after="0"/>
        <w:jc w:val="center"/>
        <w:rPr>
          <w:rFonts w:ascii="Times New Roman" w:eastAsia="Times New Roman" w:hAnsi="Times New Roman" w:cs="Times New Roman"/>
          <w:b/>
          <w:color w:val="000000"/>
          <w:sz w:val="36"/>
          <w:szCs w:val="36"/>
        </w:rPr>
      </w:pPr>
      <w:bookmarkStart w:id="10" w:name="_17dp8vu" w:colFirst="0" w:colLast="0"/>
      <w:bookmarkEnd w:id="10"/>
      <w:r>
        <w:rPr>
          <w:rFonts w:ascii="Times New Roman" w:eastAsia="Times New Roman" w:hAnsi="Times New Roman" w:cs="Times New Roman"/>
          <w:b/>
          <w:color w:val="000000"/>
          <w:sz w:val="36"/>
          <w:szCs w:val="36"/>
        </w:rPr>
        <w:t>Component 1: Coursework: Essay</w:t>
      </w:r>
    </w:p>
    <w:p w14:paraId="5796BD53" w14:textId="3D38102C" w:rsidR="00CA6D18" w:rsidRDefault="00FF55DB">
      <w:pPr>
        <w:pStyle w:val="Normal1"/>
      </w:pPr>
      <w:r>
        <w:t xml:space="preserve">Student name: Catalin Neatu ( 2232822) </w:t>
      </w:r>
      <w:r w:rsidR="00000000">
        <w:br w:type="page"/>
      </w:r>
    </w:p>
    <w:p w14:paraId="4CE9EDE5" w14:textId="77777777" w:rsidR="00CA6D18" w:rsidRDefault="00000000">
      <w:pPr>
        <w:pStyle w:val="Heading1"/>
      </w:pPr>
      <w:bookmarkStart w:id="11" w:name="_3idntdihh2tv" w:colFirst="0" w:colLast="0"/>
      <w:bookmarkEnd w:id="11"/>
      <w:r>
        <w:lastRenderedPageBreak/>
        <w:t xml:space="preserve">Introduction </w:t>
      </w:r>
    </w:p>
    <w:p w14:paraId="455854BD" w14:textId="77777777" w:rsidR="00CA6D18" w:rsidRDefault="00000000">
      <w:pPr>
        <w:pStyle w:val="Normal1"/>
      </w:pPr>
      <w:r>
        <w:t xml:space="preserve">The purpose of the project will be to define the effective analysis of the statement. The project will analyze the different statements and will be explained in brief. The project will hold the explanation based on certain questions. The questions which are given in the project will be addressed in an informative way. There will be three different questions that will be addressed in the project. The first question of the project will explain the truthfulness of the statements which are been provided in the questions. The second question of the project will address the preparation of the income statement for the company Wales plc. The third question of the project will address the effective ratio which will be analyzed and will be prepared in the project.      </w:t>
      </w:r>
    </w:p>
    <w:p w14:paraId="68B7BBBC" w14:textId="77777777" w:rsidR="00CA6D18" w:rsidRDefault="00000000">
      <w:pPr>
        <w:pStyle w:val="Heading1"/>
      </w:pPr>
      <w:bookmarkStart w:id="12" w:name="_h119b0v62tci" w:colFirst="0" w:colLast="0"/>
      <w:bookmarkEnd w:id="12"/>
      <w:r>
        <w:t xml:space="preserve">Question: 1.  </w:t>
      </w:r>
    </w:p>
    <w:p w14:paraId="6BAA1CC5" w14:textId="77777777" w:rsidR="00CA6D18" w:rsidRDefault="00000000">
      <w:pPr>
        <w:pStyle w:val="Normal1"/>
      </w:pPr>
      <w:r>
        <w:rPr>
          <w:b/>
        </w:rPr>
        <w:t xml:space="preserve">First statement: </w:t>
      </w:r>
      <w:r>
        <w:t>The term statements that define the financial position of the company are also said as the balance sheet statements. This statement is been used by the company for the analysis of its liabilities, assets, and company equity. These elements are evolutes with the help of the given data by the company. The report provides a summary of the overall performance of the company. These accounts focus on the company's different elements such as the liabilities and the assets evolutions (Bragg, 2023). For the analysis, it has been proven that this statement does not define the cash-related data of the company. The statements defining this data are named the cash flow reports presented by the company for the change of the outflow and inflow of the cash. This statement also defines the leftover cash in the company and the need for investment in the company  (</w:t>
      </w:r>
      <w:r>
        <w:rPr>
          <w:color w:val="222222"/>
        </w:rPr>
        <w:t>Sayari and Mugan, 2019)</w:t>
      </w:r>
      <w:r>
        <w:t xml:space="preserve">. For this reason, the statements which are been made are falses.     </w:t>
      </w:r>
    </w:p>
    <w:p w14:paraId="781EACF8" w14:textId="77777777" w:rsidR="00CA6D18" w:rsidRDefault="00000000">
      <w:pPr>
        <w:pStyle w:val="Normal1"/>
      </w:pPr>
      <w:r>
        <w:rPr>
          <w:b/>
        </w:rPr>
        <w:t xml:space="preserve">Second statement: </w:t>
      </w:r>
      <w:r>
        <w:t>The noncurrent assets are part of the analysis of accounts which are defined in the balance sheet report of the company. Though the noncurrent asset is the property or the asset that has been owed by the company the company can not convert it easily in the cash form within the year (</w:t>
      </w:r>
      <w:r>
        <w:rPr>
          <w:color w:val="222222"/>
        </w:rPr>
        <w:t>Xero, 2023)</w:t>
      </w:r>
      <w:r>
        <w:t>. These types of assets are also known as long-term assets for the company. The company has two different forms of assets one is the current and the other is the noncurrent assets. The assets which are been used by the company over the years are current (</w:t>
      </w:r>
      <w:r>
        <w:rPr>
          <w:color w:val="222222"/>
        </w:rPr>
        <w:t xml:space="preserve">Yao </w:t>
      </w:r>
      <w:r>
        <w:rPr>
          <w:i/>
          <w:color w:val="222222"/>
        </w:rPr>
        <w:t>et al.,</w:t>
      </w:r>
      <w:r>
        <w:rPr>
          <w:color w:val="222222"/>
        </w:rPr>
        <w:t xml:space="preserve"> 2019)</w:t>
      </w:r>
      <w:r>
        <w:t xml:space="preserve">. The assets that are been used by the company for a long period are the noncurrent assets. Examples of the noncurrent assets for the company are land, intangible, plant, and many more. This asset is not easily moveable by the business. however, there is some </w:t>
      </w:r>
      <w:r>
        <w:lastRenderedPageBreak/>
        <w:t xml:space="preserve">fixed asset which is been moved by the company within the year that is car, van, etc. For this reason, the statement is partially true. </w:t>
      </w:r>
    </w:p>
    <w:p w14:paraId="4BDEAC97" w14:textId="77777777" w:rsidR="00CA6D18" w:rsidRDefault="00000000">
      <w:pPr>
        <w:pStyle w:val="Normal1"/>
      </w:pPr>
      <w:r>
        <w:rPr>
          <w:b/>
        </w:rPr>
        <w:t xml:space="preserve">Third statement: </w:t>
      </w:r>
      <w:r>
        <w:t>The business has been supported by many variant stakeholders. Each of the stakeholders analyzes the financial information of the company for their profit and wellness which are been driven by the company (</w:t>
      </w:r>
      <w:r>
        <w:rPr>
          <w:color w:val="222222"/>
        </w:rPr>
        <w:t>BBC News, 2023)</w:t>
      </w:r>
      <w:r>
        <w:t>. The financial information is shared by the company with investors, creditors, suppliers, shareholders, and, among more different holders of the company (</w:t>
      </w:r>
      <w:r>
        <w:rPr>
          <w:color w:val="222222"/>
          <w:highlight w:val="white"/>
        </w:rPr>
        <w:t xml:space="preserve">Craja </w:t>
      </w:r>
      <w:r>
        <w:rPr>
          <w:i/>
          <w:color w:val="222222"/>
          <w:highlight w:val="white"/>
        </w:rPr>
        <w:t>et al.,</w:t>
      </w:r>
      <w:r>
        <w:rPr>
          <w:color w:val="222222"/>
          <w:highlight w:val="white"/>
        </w:rPr>
        <w:t xml:space="preserve"> 2020)</w:t>
      </w:r>
      <w:r>
        <w:t>. The manager of the company provides the financial information to their shareholders to satisfy their wants from the company. The financial information is the main source that defines the position and wealth of the company in the market and has been analyzed by external shareholders (</w:t>
      </w:r>
      <w:r>
        <w:rPr>
          <w:color w:val="222222"/>
          <w:highlight w:val="white"/>
        </w:rPr>
        <w:t>Bragg, 2023a)</w:t>
      </w:r>
      <w:r>
        <w:t xml:space="preserve">. As for the examples it can be said that the investors use the information for investment purposes within the business. The workers of the business analyze the information for job stability within the company. For this reason, the statement is false.   </w:t>
      </w:r>
    </w:p>
    <w:p w14:paraId="388FF87E" w14:textId="77777777" w:rsidR="00CA6D18" w:rsidRDefault="00000000">
      <w:pPr>
        <w:pStyle w:val="Normal1"/>
      </w:pPr>
      <w:r>
        <w:rPr>
          <w:b/>
        </w:rPr>
        <w:t xml:space="preserve">Fourth statement: </w:t>
      </w:r>
      <w:r>
        <w:t>The process which is been based on the accrual form is part of the financial recording of the company transitions. In the accrual process, the reading of the prepayment elements has also been made this recording of the transactions has been formed to make the company accounts easy for the understanding of the company for their year ends (</w:t>
      </w:r>
      <w:r>
        <w:rPr>
          <w:color w:val="222222"/>
          <w:highlight w:val="white"/>
        </w:rPr>
        <w:t>NetSuite, 2023)</w:t>
      </w:r>
      <w:r>
        <w:t>. The accrual method helps the company assess the actual health of its company in its financial forms. However, the company should record the expenses and the revenue before the company gets its payment (</w:t>
      </w:r>
      <w:r>
        <w:rPr>
          <w:color w:val="222222"/>
        </w:rPr>
        <w:t>Gamayuni, 2019).</w:t>
      </w:r>
      <w:r>
        <w:t xml:space="preserve"> In simple words, it can be said that this records the sales of the revenue when the transaction is been occurs in the company. The methods show a more realistic representation of the weather of the company. For this reason, the statement based on not including the accrual and the prepayment is false.     </w:t>
      </w:r>
    </w:p>
    <w:p w14:paraId="063CD93C" w14:textId="77777777" w:rsidR="00CA6D18" w:rsidRDefault="00000000">
      <w:pPr>
        <w:pStyle w:val="Normal1"/>
      </w:pPr>
      <w:r>
        <w:rPr>
          <w:b/>
        </w:rPr>
        <w:t xml:space="preserve">Fifth statement: </w:t>
      </w:r>
      <w:r>
        <w:t>The statements of the accounting are prepared by the company for analyzing their wealth, position, and profitability in the market. This accounting statement is very much needed by the company for its different aspects. On that basis, if a different company uses a variant process for preparing the accounting statement then it will provide an inconsistency in the formation of the statements. So for the perception of the statement, an IFRS framework has been formed which has been followed by each company, and with the help of that method, all the company prepare their statements (</w:t>
      </w:r>
      <w:r>
        <w:rPr>
          <w:color w:val="222222"/>
        </w:rPr>
        <w:t>CFA Institute, 2023)</w:t>
      </w:r>
      <w:r>
        <w:t xml:space="preserve">. The objective of this framework is they provide standards that are been maintained by each company and with the help of this framework equality and transparency are maintained. This framework has also been used for the utilization of the customer's protection. The framework maintains consistency, easy </w:t>
      </w:r>
      <w:r>
        <w:lastRenderedPageBreak/>
        <w:t>compatibility, and transparency around the world (</w:t>
      </w:r>
      <w:r>
        <w:rPr>
          <w:color w:val="222222"/>
        </w:rPr>
        <w:t>LinkedIn, 2022)</w:t>
      </w:r>
      <w:r>
        <w:t xml:space="preserve">. For this reason, the statement is false.      </w:t>
      </w:r>
    </w:p>
    <w:p w14:paraId="67669601" w14:textId="77777777" w:rsidR="00CA6D18" w:rsidRDefault="00000000">
      <w:pPr>
        <w:pStyle w:val="Normal1"/>
      </w:pPr>
      <w:r>
        <w:rPr>
          <w:b/>
        </w:rPr>
        <w:t>Sixth statement:</w:t>
      </w:r>
      <w:r>
        <w:t xml:space="preserve"> The financial statements provide information related to the financial position of the business. This statement can be incorrect for some reason. So for the analysis of the financial statements the journal account and the trail balances account are been prepared (</w:t>
      </w:r>
      <w:r>
        <w:rPr>
          <w:color w:val="222222"/>
          <w:highlight w:val="white"/>
        </w:rPr>
        <w:t>Fridson and Alvarez, 2022)</w:t>
      </w:r>
      <w:r>
        <w:t>. It can be said that these two accounts need accounting before the preparation of the financial statements. The trial balances and the ledger accounts provide and clear entry of the company translation and with the help of this the financial statements of the company are been estimated. The importance of a ledger account is this is the backbone of the company the reason is it holds all the transaction records of the company in sprite accounts (</w:t>
      </w:r>
      <w:r>
        <w:rPr>
          <w:color w:val="222222"/>
        </w:rPr>
        <w:t>Indeed, 2023)</w:t>
      </w:r>
      <w:r>
        <w:t>. The importance of the trial balances has been prepared for the balance sheet and the other accounts. This is also an important document which is been analyzed by the auditors (</w:t>
      </w:r>
      <w:r>
        <w:rPr>
          <w:color w:val="222222"/>
          <w:highlight w:val="white"/>
        </w:rPr>
        <w:t>Bragg, 2023)</w:t>
      </w:r>
      <w:r>
        <w:t xml:space="preserve">. For this reason, the statements which have been made in the question are true.   </w:t>
      </w:r>
    </w:p>
    <w:p w14:paraId="6595A1F1" w14:textId="77777777" w:rsidR="00CA6D18" w:rsidRDefault="00000000">
      <w:pPr>
        <w:pStyle w:val="Heading1"/>
      </w:pPr>
      <w:bookmarkStart w:id="13" w:name="_n1q2ndl355wl" w:colFirst="0" w:colLast="0"/>
      <w:bookmarkEnd w:id="13"/>
      <w:r>
        <w:t xml:space="preserve">Question: 2. </w:t>
      </w:r>
    </w:p>
    <w:p w14:paraId="387284E0" w14:textId="77777777" w:rsidR="00CA6D18" w:rsidRDefault="00000000">
      <w:pPr>
        <w:pStyle w:val="Normal1"/>
      </w:pPr>
      <w:r>
        <w:t>This part of the question has been made for the preposition of the income statement of the company Walse Plc for the year 2022. The formation of the statement is been made for analysis of the financial statement of the company. On the other hand, the report has been made by the accountant of the company for the estimation process in terms of the company transaction. The report holds information related to the gains, losses, and expenses of the company (</w:t>
      </w:r>
      <w:r>
        <w:rPr>
          <w:color w:val="222222"/>
        </w:rPr>
        <w:t>Langemeier, 2020)</w:t>
      </w:r>
      <w:r>
        <w:t>. These elements are been kept in the mathematical equation with the help of this the net profit of the company is driven. This report also provides information which is based on the making of the decision in the company. This report also provides information to the different shareholders of the company such as the creditors, investors, and the different readers of the company (</w:t>
      </w:r>
      <w:r>
        <w:rPr>
          <w:color w:val="222222"/>
          <w:highlight w:val="white"/>
        </w:rPr>
        <w:t>BDC, 2023)</w:t>
      </w:r>
      <w:r>
        <w:t>. The importance of this statement is it provides information to the company in the form of their profit growth. It also helps in decreasing the cost of the company. This information also helps in hiring the revenue of the company. This report also provides the strategy's effectiveness. The report holds the needed information in it which is beneficial for the company (</w:t>
      </w:r>
      <w:r>
        <w:rPr>
          <w:color w:val="222222"/>
        </w:rPr>
        <w:t>Ferriolo, 2022)</w:t>
      </w:r>
      <w:r>
        <w:t xml:space="preserve">. The income statement of the company has been formed below.   </w:t>
      </w:r>
    </w:p>
    <w:p w14:paraId="1C60558D" w14:textId="77777777" w:rsidR="00CA6D18" w:rsidRDefault="00000000">
      <w:pPr>
        <w:pStyle w:val="Normal1"/>
        <w:jc w:val="center"/>
      </w:pPr>
      <w:r>
        <w:rPr>
          <w:noProof/>
        </w:rPr>
        <w:lastRenderedPageBreak/>
        <w:drawing>
          <wp:inline distT="114300" distB="114300" distL="114300" distR="114300" wp14:anchorId="055290D7" wp14:editId="4B8B489E">
            <wp:extent cx="4909226" cy="3748088"/>
            <wp:effectExtent l="12700" t="12700" r="12700" b="12700"/>
            <wp:docPr id="9" name="image5.png"/>
            <wp:cNvGraphicFramePr/>
            <a:graphic xmlns:a="http://schemas.openxmlformats.org/drawingml/2006/main">
              <a:graphicData uri="http://schemas.openxmlformats.org/drawingml/2006/picture">
                <pic:pic xmlns:pic="http://schemas.openxmlformats.org/drawingml/2006/picture">
                  <pic:nvPicPr>
                    <pic:cNvPr id="9" name="image5.png"/>
                    <pic:cNvPicPr/>
                  </pic:nvPicPr>
                  <pic:blipFill>
                    <a:blip r:embed="rId7"/>
                    <a:stretch>
                      <a:fillRect/>
                    </a:stretch>
                  </pic:blipFill>
                  <pic:spPr>
                    <a:xfrm>
                      <a:off x="0" y="0"/>
                      <a:ext cx="4909226" cy="3748088"/>
                    </a:xfrm>
                    <a:prstGeom prst="rect">
                      <a:avLst/>
                    </a:prstGeom>
                    <a:ln w="12700">
                      <a:solidFill>
                        <a:srgbClr val="000000"/>
                      </a:solidFill>
                      <a:prstDash val="solid"/>
                    </a:ln>
                  </pic:spPr>
                </pic:pic>
              </a:graphicData>
            </a:graphic>
          </wp:inline>
        </w:drawing>
      </w:r>
    </w:p>
    <w:p w14:paraId="36BEC356" w14:textId="77777777" w:rsidR="00CA6D18" w:rsidRDefault="00000000">
      <w:pPr>
        <w:pStyle w:val="Normal1"/>
      </w:pPr>
      <w:r>
        <w:t xml:space="preserve">The above table has been prepared for the estimation of the income statement of the company Wales Plc. The estimation of the generated income and the loss of the company are been made for the evaluated year 2022. </w:t>
      </w:r>
    </w:p>
    <w:p w14:paraId="4F588E29" w14:textId="77777777" w:rsidR="00CA6D18" w:rsidRDefault="00000000">
      <w:pPr>
        <w:pStyle w:val="Normal1"/>
      </w:pPr>
      <w:r>
        <w:rPr>
          <w:b/>
        </w:rPr>
        <w:t xml:space="preserve">Gross profit estimation: </w:t>
      </w:r>
      <w:r>
        <w:t>This is the first step of the income statement formation. This element of the company is been estimated by deducting all the costs of the company which are ben related to the company's manufacturing process (</w:t>
      </w:r>
      <w:r>
        <w:rPr>
          <w:color w:val="222222"/>
        </w:rPr>
        <w:t>BDC, 2023b)</w:t>
      </w:r>
      <w:r>
        <w:t xml:space="preserve">. The estimation of the gross profit for the company is made as the revenue of the company is £900,000. From the revenue, the COGS has been deducted which is £578,650. The estimation of the gained amount from the process is £321,350. This is the gross profit of the company after deducting the COGS. </w:t>
      </w:r>
    </w:p>
    <w:p w14:paraId="1352A585" w14:textId="77777777" w:rsidR="00CA6D18" w:rsidRDefault="00000000">
      <w:pPr>
        <w:pStyle w:val="Normal1"/>
      </w:pPr>
      <w:r>
        <w:rPr>
          <w:b/>
        </w:rPr>
        <w:t xml:space="preserve">Operating profit estimation: </w:t>
      </w:r>
      <w:r>
        <w:t>This is the second step of the estimation process for forming the income statements. The estimation process helps in defining the net income which is been driven by the company from its core operations (</w:t>
      </w:r>
      <w:r>
        <w:rPr>
          <w:color w:val="222222"/>
          <w:highlight w:val="white"/>
        </w:rPr>
        <w:t>You and Lee, 2021)</w:t>
      </w:r>
      <w:r>
        <w:t xml:space="preserve">. The estimation based on the operating profit of the company is the addition of the elements such as Administrative expenses value of £160,000, interest paid by the company of £2,000, remuneration of the directors of £5,000, cost distribution of £28,000, depreciation of £65,000 salary of outstanding £10,000, commission outstanding £10,000, debenture interest of the company £4,000. The element that has been detected is outstanding receivables of £1,000. The operating profit of the company which has been gained by the process (gross profit-operating cost) the values is £46,350. </w:t>
      </w:r>
    </w:p>
    <w:p w14:paraId="64A4A4FF" w14:textId="77777777" w:rsidR="00CA6D18" w:rsidRDefault="00000000">
      <w:pPr>
        <w:pStyle w:val="Normal1"/>
      </w:pPr>
      <w:r>
        <w:rPr>
          <w:b/>
        </w:rPr>
        <w:lastRenderedPageBreak/>
        <w:t>Net Profit Estimation:</w:t>
      </w:r>
      <w:r>
        <w:t xml:space="preserve"> The last step for the formation of the income statement is the estimation of the net profit of the company. The net profit defines the average earnings of the company after the deduction of the expenses (</w:t>
      </w:r>
      <w:r>
        <w:rPr>
          <w:color w:val="222222"/>
          <w:highlight w:val="white"/>
        </w:rPr>
        <w:t>Capital, 2023)</w:t>
      </w:r>
      <w:r>
        <w:t xml:space="preserve">. The estimation of the net profit of Wales Plc is made as the gross profit of the company is £321,350 the operating cost of the company is £46,350. After the deduction of the tax paid by the year by the company is £15,000. The gained net profit after the estimation is 31,350.  </w:t>
      </w:r>
    </w:p>
    <w:p w14:paraId="1B5AC7FF" w14:textId="77777777" w:rsidR="00CA6D18" w:rsidRDefault="00000000">
      <w:pPr>
        <w:pStyle w:val="Heading1"/>
      </w:pPr>
      <w:bookmarkStart w:id="14" w:name="_oeuxcbuzyh66" w:colFirst="0" w:colLast="0"/>
      <w:bookmarkEnd w:id="14"/>
      <w:r>
        <w:t xml:space="preserve">Question: 3. </w:t>
      </w:r>
    </w:p>
    <w:p w14:paraId="04B730B2" w14:textId="77777777" w:rsidR="00CA6D18" w:rsidRDefault="00000000">
      <w:pPr>
        <w:pStyle w:val="Normal1"/>
      </w:pPr>
      <w:r>
        <w:t xml:space="preserve">This question will estimate the ratio of Sweet Plc, the formation of the ratio will be conducted below. </w:t>
      </w:r>
    </w:p>
    <w:p w14:paraId="02D3D2D7" w14:textId="77777777" w:rsidR="00CA6D18" w:rsidRDefault="00000000">
      <w:pPr>
        <w:pStyle w:val="Normal1"/>
        <w:rPr>
          <w:b/>
        </w:rPr>
      </w:pPr>
      <w:r>
        <w:rPr>
          <w:b/>
        </w:rPr>
        <w:t>1- ROCE</w:t>
      </w:r>
    </w:p>
    <w:p w14:paraId="134C4219" w14:textId="77777777" w:rsidR="00CA6D18" w:rsidRDefault="00000000">
      <w:pPr>
        <w:pStyle w:val="Normal1"/>
        <w:jc w:val="center"/>
        <w:rPr>
          <w:b/>
        </w:rPr>
      </w:pPr>
      <w:r>
        <w:rPr>
          <w:b/>
          <w:noProof/>
        </w:rPr>
        <w:drawing>
          <wp:inline distT="114300" distB="114300" distL="114300" distR="114300" wp14:anchorId="396DBE4C" wp14:editId="422A4ED6">
            <wp:extent cx="4938311" cy="1616025"/>
            <wp:effectExtent l="12700" t="12700" r="12700" b="12700"/>
            <wp:docPr id="2" name="image6.png"/>
            <wp:cNvGraphicFramePr/>
            <a:graphic xmlns:a="http://schemas.openxmlformats.org/drawingml/2006/main">
              <a:graphicData uri="http://schemas.openxmlformats.org/drawingml/2006/picture">
                <pic:pic xmlns:pic="http://schemas.openxmlformats.org/drawingml/2006/picture">
                  <pic:nvPicPr>
                    <pic:cNvPr id="2" name="image6.png"/>
                    <pic:cNvPicPr/>
                  </pic:nvPicPr>
                  <pic:blipFill>
                    <a:blip r:embed="rId8"/>
                    <a:stretch>
                      <a:fillRect/>
                    </a:stretch>
                  </pic:blipFill>
                  <pic:spPr>
                    <a:xfrm>
                      <a:off x="0" y="0"/>
                      <a:ext cx="4938311" cy="1616025"/>
                    </a:xfrm>
                    <a:prstGeom prst="rect">
                      <a:avLst/>
                    </a:prstGeom>
                    <a:ln w="12700">
                      <a:solidFill>
                        <a:srgbClr val="000000"/>
                      </a:solidFill>
                      <a:prstDash val="solid"/>
                    </a:ln>
                  </pic:spPr>
                </pic:pic>
              </a:graphicData>
            </a:graphic>
          </wp:inline>
        </w:drawing>
      </w:r>
    </w:p>
    <w:p w14:paraId="6F907134" w14:textId="77777777" w:rsidR="00CA6D18" w:rsidRDefault="00000000">
      <w:pPr>
        <w:pStyle w:val="Normal1"/>
      </w:pPr>
      <w:r>
        <w:t xml:space="preserve">The above estimation is made for the analysis of the ratio of the sweet Plc. The term </w:t>
      </w:r>
      <w:r>
        <w:rPr>
          <w:b/>
        </w:rPr>
        <w:t xml:space="preserve">ROCE </w:t>
      </w:r>
      <w:r>
        <w:t>is the primary ratio of the company. This ratio is been analyzed for the measurement of the profitability of the company (</w:t>
      </w:r>
      <w:r>
        <w:rPr>
          <w:color w:val="222222"/>
        </w:rPr>
        <w:t>Shrotriya, 2019)</w:t>
      </w:r>
      <w:r>
        <w:t xml:space="preserve">. From the analysis, it has been found that the ROCE of the company in 2021 was 7.66% whereas in 2022 the percentage increased which is 8.58%. The gained result means that the company has increased there profitability.  </w:t>
      </w:r>
    </w:p>
    <w:p w14:paraId="1353CA9C" w14:textId="77777777" w:rsidR="00CA6D18" w:rsidRDefault="00000000">
      <w:pPr>
        <w:pStyle w:val="Normal1"/>
        <w:rPr>
          <w:b/>
        </w:rPr>
      </w:pPr>
      <w:r>
        <w:rPr>
          <w:b/>
        </w:rPr>
        <w:t>2- ROE</w:t>
      </w:r>
    </w:p>
    <w:p w14:paraId="109079BF" w14:textId="77777777" w:rsidR="00CA6D18" w:rsidRDefault="00000000">
      <w:pPr>
        <w:pStyle w:val="Normal1"/>
        <w:jc w:val="center"/>
        <w:rPr>
          <w:b/>
        </w:rPr>
      </w:pPr>
      <w:r>
        <w:rPr>
          <w:b/>
          <w:noProof/>
        </w:rPr>
        <w:drawing>
          <wp:inline distT="114300" distB="114300" distL="114300" distR="114300" wp14:anchorId="6C1F50CA" wp14:editId="086B488D">
            <wp:extent cx="5148263" cy="1265686"/>
            <wp:effectExtent l="0" t="0" r="0" b="0"/>
            <wp:docPr id="10" name="image4.png"/>
            <wp:cNvGraphicFramePr/>
            <a:graphic xmlns:a="http://schemas.openxmlformats.org/drawingml/2006/main">
              <a:graphicData uri="http://schemas.openxmlformats.org/drawingml/2006/picture">
                <pic:pic xmlns:pic="http://schemas.openxmlformats.org/drawingml/2006/picture">
                  <pic:nvPicPr>
                    <pic:cNvPr id="10" name="image4.png"/>
                    <pic:cNvPicPr/>
                  </pic:nvPicPr>
                  <pic:blipFill>
                    <a:blip r:embed="rId9"/>
                    <a:stretch>
                      <a:fillRect/>
                    </a:stretch>
                  </pic:blipFill>
                  <pic:spPr>
                    <a:xfrm>
                      <a:off x="0" y="0"/>
                      <a:ext cx="5148263" cy="1265686"/>
                    </a:xfrm>
                    <a:prstGeom prst="rect">
                      <a:avLst/>
                    </a:prstGeom>
                  </pic:spPr>
                </pic:pic>
              </a:graphicData>
            </a:graphic>
          </wp:inline>
        </w:drawing>
      </w:r>
    </w:p>
    <w:p w14:paraId="119B5B46" w14:textId="77777777" w:rsidR="00CA6D18" w:rsidRDefault="00000000">
      <w:pPr>
        <w:pStyle w:val="Normal1"/>
      </w:pPr>
      <w:r>
        <w:t>The above estimation is based on the</w:t>
      </w:r>
      <w:r>
        <w:rPr>
          <w:b/>
        </w:rPr>
        <w:t xml:space="preserve"> ROE</w:t>
      </w:r>
      <w:r>
        <w:t xml:space="preserve"> analysis of Sweet Plc. The term ratio defines the measurement of the company division of the income by the equity of the shareholders. This ratio helps in defining the efficiency of the company (</w:t>
      </w:r>
      <w:r>
        <w:rPr>
          <w:color w:val="222222"/>
        </w:rPr>
        <w:t>Lewis, 2023)</w:t>
      </w:r>
      <w:r>
        <w:t xml:space="preserve">. From estimation in 2021, the percentage was 12.57% whereas in in2022 the percentage got higher which is 13.39%. The result defines the company as effectively converting its equity.     </w:t>
      </w:r>
    </w:p>
    <w:p w14:paraId="10093977" w14:textId="77777777" w:rsidR="00CA6D18" w:rsidRDefault="00000000">
      <w:pPr>
        <w:pStyle w:val="Normal1"/>
        <w:rPr>
          <w:b/>
        </w:rPr>
      </w:pPr>
      <w:r>
        <w:rPr>
          <w:b/>
        </w:rPr>
        <w:lastRenderedPageBreak/>
        <w:t>3- Earnings per share</w:t>
      </w:r>
    </w:p>
    <w:p w14:paraId="4CEE4413" w14:textId="77777777" w:rsidR="00CA6D18" w:rsidRDefault="00000000">
      <w:pPr>
        <w:pStyle w:val="Normal1"/>
        <w:jc w:val="center"/>
        <w:rPr>
          <w:b/>
        </w:rPr>
      </w:pPr>
      <w:r>
        <w:rPr>
          <w:b/>
          <w:noProof/>
        </w:rPr>
        <w:drawing>
          <wp:inline distT="114300" distB="114300" distL="114300" distR="114300" wp14:anchorId="16CB03BF" wp14:editId="055B648C">
            <wp:extent cx="5216017" cy="1277392"/>
            <wp:effectExtent l="12700" t="12700" r="12700" b="12700"/>
            <wp:docPr id="11" name="image13.png"/>
            <wp:cNvGraphicFramePr/>
            <a:graphic xmlns:a="http://schemas.openxmlformats.org/drawingml/2006/main">
              <a:graphicData uri="http://schemas.openxmlformats.org/drawingml/2006/picture">
                <pic:pic xmlns:pic="http://schemas.openxmlformats.org/drawingml/2006/picture">
                  <pic:nvPicPr>
                    <pic:cNvPr id="11" name="image13.png"/>
                    <pic:cNvPicPr/>
                  </pic:nvPicPr>
                  <pic:blipFill>
                    <a:blip r:embed="rId10"/>
                    <a:stretch>
                      <a:fillRect/>
                    </a:stretch>
                  </pic:blipFill>
                  <pic:spPr>
                    <a:xfrm>
                      <a:off x="0" y="0"/>
                      <a:ext cx="5216017" cy="1277392"/>
                    </a:xfrm>
                    <a:prstGeom prst="rect">
                      <a:avLst/>
                    </a:prstGeom>
                    <a:ln w="12700">
                      <a:solidFill>
                        <a:srgbClr val="000000"/>
                      </a:solidFill>
                      <a:prstDash val="solid"/>
                    </a:ln>
                  </pic:spPr>
                </pic:pic>
              </a:graphicData>
            </a:graphic>
          </wp:inline>
        </w:drawing>
      </w:r>
    </w:p>
    <w:p w14:paraId="6BB66F6E" w14:textId="77777777" w:rsidR="00CA6D18" w:rsidRDefault="00000000">
      <w:pPr>
        <w:pStyle w:val="Normal1"/>
      </w:pPr>
      <w:r>
        <w:t xml:space="preserve">The estimation of the </w:t>
      </w:r>
      <w:r>
        <w:rPr>
          <w:b/>
        </w:rPr>
        <w:t xml:space="preserve">Earnings per share </w:t>
      </w:r>
      <w:r>
        <w:t>of Sweet Plc has been made. The estimation has been formed for the profit allocation within the shareholders. The process is been made as the net income divided by the total outstanding shares of the company (</w:t>
      </w:r>
      <w:r>
        <w:rPr>
          <w:color w:val="222222"/>
          <w:highlight w:val="white"/>
        </w:rPr>
        <w:t xml:space="preserve">Rusdiyanto </w:t>
      </w:r>
      <w:r>
        <w:rPr>
          <w:i/>
          <w:color w:val="222222"/>
          <w:highlight w:val="white"/>
        </w:rPr>
        <w:t>et al.,</w:t>
      </w:r>
      <w:r>
        <w:rPr>
          <w:color w:val="222222"/>
          <w:highlight w:val="white"/>
        </w:rPr>
        <w:t xml:space="preserve"> 2020)</w:t>
      </w:r>
      <w:r>
        <w:t xml:space="preserve">. From the analysis in 2021, the value is 1.22 whereas in 2022 the value has increased which is 1.44. The result defines that garter value in the company for their share values.     </w:t>
      </w:r>
    </w:p>
    <w:p w14:paraId="50DDC9B1" w14:textId="77777777" w:rsidR="00CA6D18" w:rsidRDefault="00000000">
      <w:pPr>
        <w:pStyle w:val="Normal1"/>
        <w:rPr>
          <w:b/>
        </w:rPr>
      </w:pPr>
      <w:r>
        <w:rPr>
          <w:b/>
        </w:rPr>
        <w:t>4- Net profit margin</w:t>
      </w:r>
    </w:p>
    <w:p w14:paraId="678F7985" w14:textId="77777777" w:rsidR="00CA6D18" w:rsidRDefault="00000000">
      <w:pPr>
        <w:pStyle w:val="Normal1"/>
        <w:jc w:val="center"/>
        <w:rPr>
          <w:b/>
        </w:rPr>
      </w:pPr>
      <w:r>
        <w:rPr>
          <w:b/>
          <w:noProof/>
        </w:rPr>
        <w:drawing>
          <wp:inline distT="114300" distB="114300" distL="114300" distR="114300" wp14:anchorId="1E2CFE24" wp14:editId="3F1E7628">
            <wp:extent cx="5218275" cy="1247250"/>
            <wp:effectExtent l="12700" t="12700" r="12700" b="12700"/>
            <wp:docPr id="8" name="image3.png"/>
            <wp:cNvGraphicFramePr/>
            <a:graphic xmlns:a="http://schemas.openxmlformats.org/drawingml/2006/main">
              <a:graphicData uri="http://schemas.openxmlformats.org/drawingml/2006/picture">
                <pic:pic xmlns:pic="http://schemas.openxmlformats.org/drawingml/2006/picture">
                  <pic:nvPicPr>
                    <pic:cNvPr id="8" name="image3.png"/>
                    <pic:cNvPicPr/>
                  </pic:nvPicPr>
                  <pic:blipFill>
                    <a:blip r:embed="rId11"/>
                    <a:stretch>
                      <a:fillRect/>
                    </a:stretch>
                  </pic:blipFill>
                  <pic:spPr>
                    <a:xfrm>
                      <a:off x="0" y="0"/>
                      <a:ext cx="5218275" cy="1247250"/>
                    </a:xfrm>
                    <a:prstGeom prst="rect">
                      <a:avLst/>
                    </a:prstGeom>
                    <a:ln w="12700">
                      <a:solidFill>
                        <a:srgbClr val="000000"/>
                      </a:solidFill>
                      <a:prstDash val="solid"/>
                    </a:ln>
                  </pic:spPr>
                </pic:pic>
              </a:graphicData>
            </a:graphic>
          </wp:inline>
        </w:drawing>
      </w:r>
    </w:p>
    <w:p w14:paraId="0635C494" w14:textId="77777777" w:rsidR="00CA6D18" w:rsidRDefault="00000000">
      <w:pPr>
        <w:pStyle w:val="Normal1"/>
      </w:pPr>
      <w:r>
        <w:t xml:space="preserve">The estimation of the </w:t>
      </w:r>
      <w:r>
        <w:rPr>
          <w:b/>
        </w:rPr>
        <w:t>net profit margin</w:t>
      </w:r>
      <w:r>
        <w:t xml:space="preserve"> is made for Sweet Plc. This ratio has been estimated by the company for measuring profitability (</w:t>
      </w:r>
      <w:r>
        <w:rPr>
          <w:color w:val="222222"/>
          <w:highlight w:val="white"/>
        </w:rPr>
        <w:t>BDC, 2023a)</w:t>
      </w:r>
      <w:r>
        <w:t xml:space="preserve">. From the analysis in 2021, the percentage of the company was 5.68% whereas in 2022 the percentage has increased which is 6.40%. The result shows that the company has increased its profitability.  </w:t>
      </w:r>
    </w:p>
    <w:p w14:paraId="57C30C66" w14:textId="77777777" w:rsidR="00CA6D18" w:rsidRDefault="00000000">
      <w:pPr>
        <w:pStyle w:val="Normal1"/>
        <w:rPr>
          <w:b/>
        </w:rPr>
      </w:pPr>
      <w:r>
        <w:rPr>
          <w:b/>
        </w:rPr>
        <w:t>5- Asset turnover</w:t>
      </w:r>
    </w:p>
    <w:p w14:paraId="70BF8C74" w14:textId="77777777" w:rsidR="00CA6D18" w:rsidRDefault="00000000">
      <w:pPr>
        <w:pStyle w:val="Normal1"/>
        <w:jc w:val="center"/>
        <w:rPr>
          <w:b/>
        </w:rPr>
      </w:pPr>
      <w:r>
        <w:rPr>
          <w:b/>
          <w:noProof/>
        </w:rPr>
        <w:drawing>
          <wp:inline distT="114300" distB="114300" distL="114300" distR="114300" wp14:anchorId="0EA7B686" wp14:editId="5311EBED">
            <wp:extent cx="5310188" cy="1296674"/>
            <wp:effectExtent l="12700" t="12700" r="12700" b="12700"/>
            <wp:docPr id="13" name="image9.png"/>
            <wp:cNvGraphicFramePr/>
            <a:graphic xmlns:a="http://schemas.openxmlformats.org/drawingml/2006/main">
              <a:graphicData uri="http://schemas.openxmlformats.org/drawingml/2006/picture">
                <pic:pic xmlns:pic="http://schemas.openxmlformats.org/drawingml/2006/picture">
                  <pic:nvPicPr>
                    <pic:cNvPr id="13" name="image9.png"/>
                    <pic:cNvPicPr/>
                  </pic:nvPicPr>
                  <pic:blipFill>
                    <a:blip r:embed="rId12"/>
                    <a:stretch>
                      <a:fillRect/>
                    </a:stretch>
                  </pic:blipFill>
                  <pic:spPr>
                    <a:xfrm>
                      <a:off x="0" y="0"/>
                      <a:ext cx="5310188" cy="1296674"/>
                    </a:xfrm>
                    <a:prstGeom prst="rect">
                      <a:avLst/>
                    </a:prstGeom>
                    <a:ln w="12700">
                      <a:solidFill>
                        <a:srgbClr val="000000"/>
                      </a:solidFill>
                      <a:prstDash val="solid"/>
                    </a:ln>
                  </pic:spPr>
                </pic:pic>
              </a:graphicData>
            </a:graphic>
          </wp:inline>
        </w:drawing>
      </w:r>
    </w:p>
    <w:p w14:paraId="7F7C3174" w14:textId="77777777" w:rsidR="00CA6D18" w:rsidRDefault="00000000">
      <w:pPr>
        <w:pStyle w:val="Normal1"/>
      </w:pPr>
      <w:r>
        <w:t>The estimation of the</w:t>
      </w:r>
      <w:r>
        <w:rPr>
          <w:b/>
        </w:rPr>
        <w:t xml:space="preserve"> Asset turnover </w:t>
      </w:r>
      <w:r>
        <w:t>for Sweet Plc has been made. The term ratio is estimated to measure the efficiency of the company (</w:t>
      </w:r>
      <w:r>
        <w:rPr>
          <w:color w:val="222222"/>
          <w:highlight w:val="white"/>
        </w:rPr>
        <w:t>Brush, 2023)</w:t>
      </w:r>
      <w:r>
        <w:t xml:space="preserve">. From the analysis in 2021, the value was 0.64 whereas in 2022 the value has been increased which is 0.69. The result shows that the company has increased its efficiency. </w:t>
      </w:r>
    </w:p>
    <w:p w14:paraId="5A821DF5" w14:textId="77777777" w:rsidR="00CA6D18" w:rsidRDefault="00000000">
      <w:pPr>
        <w:pStyle w:val="Normal1"/>
        <w:rPr>
          <w:b/>
        </w:rPr>
      </w:pPr>
      <w:r>
        <w:rPr>
          <w:b/>
        </w:rPr>
        <w:t>6- Stock holding days</w:t>
      </w:r>
    </w:p>
    <w:p w14:paraId="4CC432B8" w14:textId="77777777" w:rsidR="00CA6D18" w:rsidRDefault="00000000">
      <w:pPr>
        <w:pStyle w:val="Normal1"/>
        <w:jc w:val="center"/>
        <w:rPr>
          <w:b/>
        </w:rPr>
      </w:pPr>
      <w:r>
        <w:rPr>
          <w:b/>
          <w:noProof/>
        </w:rPr>
        <w:lastRenderedPageBreak/>
        <w:drawing>
          <wp:inline distT="114300" distB="114300" distL="114300" distR="114300" wp14:anchorId="7194B43E" wp14:editId="70D3A3DC">
            <wp:extent cx="5443538" cy="1202642"/>
            <wp:effectExtent l="12700" t="12700" r="12700" b="12700"/>
            <wp:docPr id="1" name="image8.png"/>
            <wp:cNvGraphicFramePr/>
            <a:graphic xmlns:a="http://schemas.openxmlformats.org/drawingml/2006/main">
              <a:graphicData uri="http://schemas.openxmlformats.org/drawingml/2006/picture">
                <pic:pic xmlns:pic="http://schemas.openxmlformats.org/drawingml/2006/picture">
                  <pic:nvPicPr>
                    <pic:cNvPr id="1" name="image8.png"/>
                    <pic:cNvPicPr/>
                  </pic:nvPicPr>
                  <pic:blipFill>
                    <a:blip r:embed="rId13"/>
                    <a:stretch>
                      <a:fillRect/>
                    </a:stretch>
                  </pic:blipFill>
                  <pic:spPr>
                    <a:xfrm>
                      <a:off x="0" y="0"/>
                      <a:ext cx="5443538" cy="1202642"/>
                    </a:xfrm>
                    <a:prstGeom prst="rect">
                      <a:avLst/>
                    </a:prstGeom>
                    <a:ln w="12700">
                      <a:solidFill>
                        <a:srgbClr val="000000"/>
                      </a:solidFill>
                      <a:prstDash val="solid"/>
                    </a:ln>
                  </pic:spPr>
                </pic:pic>
              </a:graphicData>
            </a:graphic>
          </wp:inline>
        </w:drawing>
      </w:r>
    </w:p>
    <w:p w14:paraId="1DDA9A35" w14:textId="77777777" w:rsidR="00CA6D18" w:rsidRDefault="00000000">
      <w:pPr>
        <w:pStyle w:val="Normal1"/>
      </w:pPr>
      <w:r>
        <w:t xml:space="preserve">The estimation of the </w:t>
      </w:r>
      <w:r>
        <w:rPr>
          <w:b/>
        </w:rPr>
        <w:t xml:space="preserve">Stock holding days </w:t>
      </w:r>
      <w:r>
        <w:t>for Sweet Plc has been made. The term ratio defines the number of days for the holding of the company inventories (</w:t>
      </w:r>
      <w:r>
        <w:rPr>
          <w:color w:val="222222"/>
          <w:highlight w:val="white"/>
        </w:rPr>
        <w:t>Indeed, 2023)</w:t>
      </w:r>
      <w:r>
        <w:t xml:space="preserve">. From the analysis in 2021, the value was 77.69 whereas in 2022 the value increased to 79.88. The result shows that the company turnover rates are low with their inventories.   </w:t>
      </w:r>
    </w:p>
    <w:p w14:paraId="665AA32A" w14:textId="77777777" w:rsidR="00CA6D18" w:rsidRDefault="00000000">
      <w:pPr>
        <w:pStyle w:val="Normal1"/>
        <w:rPr>
          <w:b/>
        </w:rPr>
      </w:pPr>
      <w:r>
        <w:rPr>
          <w:b/>
        </w:rPr>
        <w:t>7- Debtors collection period</w:t>
      </w:r>
    </w:p>
    <w:p w14:paraId="3E328023" w14:textId="77777777" w:rsidR="00CA6D18" w:rsidRDefault="00000000">
      <w:pPr>
        <w:pStyle w:val="Normal1"/>
        <w:jc w:val="center"/>
        <w:rPr>
          <w:b/>
        </w:rPr>
      </w:pPr>
      <w:r>
        <w:rPr>
          <w:b/>
          <w:noProof/>
        </w:rPr>
        <w:drawing>
          <wp:inline distT="114300" distB="114300" distL="114300" distR="114300" wp14:anchorId="02421A26" wp14:editId="3CF1D495">
            <wp:extent cx="5138738" cy="1135302"/>
            <wp:effectExtent l="12700" t="12700" r="12700" b="12700"/>
            <wp:docPr id="12" name="image11.png"/>
            <wp:cNvGraphicFramePr/>
            <a:graphic xmlns:a="http://schemas.openxmlformats.org/drawingml/2006/main">
              <a:graphicData uri="http://schemas.openxmlformats.org/drawingml/2006/picture">
                <pic:pic xmlns:pic="http://schemas.openxmlformats.org/drawingml/2006/picture">
                  <pic:nvPicPr>
                    <pic:cNvPr id="12" name="image11.png"/>
                    <pic:cNvPicPr/>
                  </pic:nvPicPr>
                  <pic:blipFill>
                    <a:blip r:embed="rId14"/>
                    <a:stretch>
                      <a:fillRect/>
                    </a:stretch>
                  </pic:blipFill>
                  <pic:spPr>
                    <a:xfrm>
                      <a:off x="0" y="0"/>
                      <a:ext cx="5138738" cy="1135302"/>
                    </a:xfrm>
                    <a:prstGeom prst="rect">
                      <a:avLst/>
                    </a:prstGeom>
                    <a:ln w="12700">
                      <a:solidFill>
                        <a:srgbClr val="000000"/>
                      </a:solidFill>
                      <a:prstDash val="solid"/>
                    </a:ln>
                  </pic:spPr>
                </pic:pic>
              </a:graphicData>
            </a:graphic>
          </wp:inline>
        </w:drawing>
      </w:r>
    </w:p>
    <w:p w14:paraId="326A9E8D" w14:textId="77777777" w:rsidR="00CA6D18" w:rsidRDefault="00000000">
      <w:pPr>
        <w:pStyle w:val="Normal1"/>
      </w:pPr>
      <w:r>
        <w:t xml:space="preserve">The estimation of the </w:t>
      </w:r>
      <w:r>
        <w:rPr>
          <w:b/>
        </w:rPr>
        <w:t xml:space="preserve">Debtors collection period </w:t>
      </w:r>
      <w:r>
        <w:t>for Sweet Plc has been made. The term ratio defines the collection period from the debtors to the company (</w:t>
      </w:r>
      <w:r>
        <w:rPr>
          <w:color w:val="222222"/>
          <w:highlight w:val="white"/>
        </w:rPr>
        <w:t>Oxford Reference, 2023)</w:t>
      </w:r>
      <w:r>
        <w:t xml:space="preserve">. From the analysis in 2021, the value was 72.93 whereas in 2022 the value decreased which was 67.66. The result shows that the efficiency of the company has increased.  </w:t>
      </w:r>
    </w:p>
    <w:p w14:paraId="3F5146E9" w14:textId="77777777" w:rsidR="00CA6D18" w:rsidRDefault="00000000">
      <w:pPr>
        <w:pStyle w:val="Normal1"/>
        <w:rPr>
          <w:b/>
        </w:rPr>
      </w:pPr>
      <w:r>
        <w:rPr>
          <w:b/>
        </w:rPr>
        <w:t>8- Current ratio</w:t>
      </w:r>
    </w:p>
    <w:p w14:paraId="2C1A419F" w14:textId="77777777" w:rsidR="00CA6D18" w:rsidRDefault="00000000">
      <w:pPr>
        <w:pStyle w:val="Normal1"/>
        <w:jc w:val="center"/>
        <w:rPr>
          <w:b/>
        </w:rPr>
      </w:pPr>
      <w:r>
        <w:rPr>
          <w:b/>
          <w:noProof/>
        </w:rPr>
        <w:drawing>
          <wp:inline distT="114300" distB="114300" distL="114300" distR="114300" wp14:anchorId="24753B7D" wp14:editId="4077EF58">
            <wp:extent cx="5367338" cy="1212555"/>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5"/>
                    <a:stretch>
                      <a:fillRect/>
                    </a:stretch>
                  </pic:blipFill>
                  <pic:spPr>
                    <a:xfrm>
                      <a:off x="0" y="0"/>
                      <a:ext cx="5367338" cy="1212555"/>
                    </a:xfrm>
                    <a:prstGeom prst="rect">
                      <a:avLst/>
                    </a:prstGeom>
                    <a:ln w="12700">
                      <a:solidFill>
                        <a:srgbClr val="000000"/>
                      </a:solidFill>
                      <a:prstDash val="solid"/>
                    </a:ln>
                  </pic:spPr>
                </pic:pic>
              </a:graphicData>
            </a:graphic>
          </wp:inline>
        </w:drawing>
      </w:r>
    </w:p>
    <w:p w14:paraId="06543699" w14:textId="77777777" w:rsidR="00CA6D18" w:rsidRDefault="00000000">
      <w:pPr>
        <w:pStyle w:val="Normal1"/>
      </w:pPr>
      <w:r>
        <w:t xml:space="preserve">The estimation of the </w:t>
      </w:r>
      <w:r>
        <w:rPr>
          <w:b/>
        </w:rPr>
        <w:t xml:space="preserve">Current ratio </w:t>
      </w:r>
      <w:r>
        <w:t>for Sweet Plc has been made. The term ratio defines the company's liquidity. This ratio has been used for measuring the ability of the term payment by the company for their dues (</w:t>
      </w:r>
      <w:r>
        <w:rPr>
          <w:color w:val="222222"/>
          <w:highlight w:val="white"/>
        </w:rPr>
        <w:t>Indeed, 2023a)</w:t>
      </w:r>
      <w:r>
        <w:t xml:space="preserve">. From the analysis, it has been seen that in 2021 the value was 0.77 whereas in 2022 the value increased which was 0.92. The result defines that the company is capable for there payment of an obligation.  </w:t>
      </w:r>
    </w:p>
    <w:p w14:paraId="67BF4A25" w14:textId="77777777" w:rsidR="00CA6D18" w:rsidRDefault="00000000">
      <w:pPr>
        <w:pStyle w:val="Normal1"/>
        <w:rPr>
          <w:b/>
        </w:rPr>
      </w:pPr>
      <w:r>
        <w:rPr>
          <w:b/>
        </w:rPr>
        <w:t>9- Gearing ratio</w:t>
      </w:r>
    </w:p>
    <w:p w14:paraId="308C60FB" w14:textId="77777777" w:rsidR="00CA6D18" w:rsidRDefault="00000000">
      <w:pPr>
        <w:pStyle w:val="Normal1"/>
        <w:jc w:val="center"/>
        <w:rPr>
          <w:b/>
        </w:rPr>
      </w:pPr>
      <w:r>
        <w:rPr>
          <w:b/>
          <w:noProof/>
        </w:rPr>
        <w:lastRenderedPageBreak/>
        <w:drawing>
          <wp:inline distT="114300" distB="114300" distL="114300" distR="114300" wp14:anchorId="5425E101" wp14:editId="4C35BBA1">
            <wp:extent cx="5434013" cy="1236644"/>
            <wp:effectExtent l="12700" t="12700" r="12700" b="12700"/>
            <wp:docPr id="5" name="image10.png"/>
            <wp:cNvGraphicFramePr/>
            <a:graphic xmlns:a="http://schemas.openxmlformats.org/drawingml/2006/main">
              <a:graphicData uri="http://schemas.openxmlformats.org/drawingml/2006/picture">
                <pic:pic xmlns:pic="http://schemas.openxmlformats.org/drawingml/2006/picture">
                  <pic:nvPicPr>
                    <pic:cNvPr id="5" name="image10.png"/>
                    <pic:cNvPicPr/>
                  </pic:nvPicPr>
                  <pic:blipFill>
                    <a:blip r:embed="rId16"/>
                    <a:stretch>
                      <a:fillRect/>
                    </a:stretch>
                  </pic:blipFill>
                  <pic:spPr>
                    <a:xfrm>
                      <a:off x="0" y="0"/>
                      <a:ext cx="5434013" cy="1236644"/>
                    </a:xfrm>
                    <a:prstGeom prst="rect">
                      <a:avLst/>
                    </a:prstGeom>
                    <a:ln w="12700">
                      <a:solidFill>
                        <a:srgbClr val="000000"/>
                      </a:solidFill>
                      <a:prstDash val="solid"/>
                    </a:ln>
                  </pic:spPr>
                </pic:pic>
              </a:graphicData>
            </a:graphic>
          </wp:inline>
        </w:drawing>
      </w:r>
    </w:p>
    <w:p w14:paraId="14715A79" w14:textId="77777777" w:rsidR="00CA6D18" w:rsidRDefault="00000000">
      <w:pPr>
        <w:pStyle w:val="Normal1"/>
      </w:pPr>
      <w:r>
        <w:t xml:space="preserve">The estimation of the </w:t>
      </w:r>
      <w:r>
        <w:rPr>
          <w:b/>
        </w:rPr>
        <w:t xml:space="preserve">Gearing ratio </w:t>
      </w:r>
      <w:r>
        <w:t>for Sweet Plc has been made. The term ratio defines a financial metric that helps in the compression of the company's debts (</w:t>
      </w:r>
      <w:r>
        <w:rPr>
          <w:color w:val="222222"/>
        </w:rPr>
        <w:t>Oranefo and Egbunike, 2023)</w:t>
      </w:r>
      <w:r>
        <w:t xml:space="preserve">. From the analysis in 2021, the value was 1.418 whereas in 2022 the value increased which was 1.421. The result defines that the company fund debt is increased.    </w:t>
      </w:r>
    </w:p>
    <w:p w14:paraId="5BA88CE7" w14:textId="77777777" w:rsidR="00CA6D18" w:rsidRDefault="00000000">
      <w:pPr>
        <w:pStyle w:val="Normal1"/>
        <w:rPr>
          <w:b/>
        </w:rPr>
      </w:pPr>
      <w:r>
        <w:rPr>
          <w:b/>
        </w:rPr>
        <w:t>10- Interest cover</w:t>
      </w:r>
    </w:p>
    <w:p w14:paraId="6C32558E" w14:textId="77777777" w:rsidR="00CA6D18" w:rsidRDefault="00000000">
      <w:pPr>
        <w:pStyle w:val="Normal1"/>
        <w:jc w:val="center"/>
        <w:rPr>
          <w:b/>
        </w:rPr>
      </w:pPr>
      <w:r>
        <w:rPr>
          <w:b/>
          <w:noProof/>
        </w:rPr>
        <w:drawing>
          <wp:inline distT="114300" distB="114300" distL="114300" distR="114300" wp14:anchorId="446BE847" wp14:editId="7ABACEFF">
            <wp:extent cx="5529263" cy="1249136"/>
            <wp:effectExtent l="12700" t="12700" r="12700" b="12700"/>
            <wp:docPr id="3" name="image7.png"/>
            <wp:cNvGraphicFramePr/>
            <a:graphic xmlns:a="http://schemas.openxmlformats.org/drawingml/2006/main">
              <a:graphicData uri="http://schemas.openxmlformats.org/drawingml/2006/picture">
                <pic:pic xmlns:pic="http://schemas.openxmlformats.org/drawingml/2006/picture">
                  <pic:nvPicPr>
                    <pic:cNvPr id="3" name="image7.png"/>
                    <pic:cNvPicPr/>
                  </pic:nvPicPr>
                  <pic:blipFill>
                    <a:blip r:embed="rId17"/>
                    <a:stretch>
                      <a:fillRect/>
                    </a:stretch>
                  </pic:blipFill>
                  <pic:spPr>
                    <a:xfrm>
                      <a:off x="0" y="0"/>
                      <a:ext cx="5529263" cy="1249136"/>
                    </a:xfrm>
                    <a:prstGeom prst="rect">
                      <a:avLst/>
                    </a:prstGeom>
                    <a:ln w="12700">
                      <a:solidFill>
                        <a:srgbClr val="000000"/>
                      </a:solidFill>
                      <a:prstDash val="solid"/>
                    </a:ln>
                  </pic:spPr>
                </pic:pic>
              </a:graphicData>
            </a:graphic>
          </wp:inline>
        </w:drawing>
      </w:r>
    </w:p>
    <w:p w14:paraId="6209080B" w14:textId="77777777" w:rsidR="00CA6D18" w:rsidRDefault="00000000">
      <w:pPr>
        <w:pStyle w:val="Normal1"/>
        <w:rPr>
          <w:b/>
        </w:rPr>
      </w:pPr>
      <w:r>
        <w:t xml:space="preserve">The estimation of the </w:t>
      </w:r>
      <w:r>
        <w:rPr>
          <w:b/>
        </w:rPr>
        <w:t xml:space="preserve">Interest cover </w:t>
      </w:r>
      <w:r>
        <w:t>for Sweet Plc has been made. The term ratio is been estimated for the measurement of the liquidity of the company (</w:t>
      </w:r>
      <w:r>
        <w:rPr>
          <w:color w:val="222222"/>
        </w:rPr>
        <w:t>Bragg, 2023)</w:t>
      </w:r>
      <w:r>
        <w:t xml:space="preserve">. From the analysis in 2021 the value was 3.86 whereas in the year 2022, the value decreased which is 3.56. The result means that the company has less profit for expanding on the debt. </w:t>
      </w:r>
    </w:p>
    <w:p w14:paraId="0F8677B9" w14:textId="77777777" w:rsidR="00CA6D18" w:rsidRDefault="00000000">
      <w:pPr>
        <w:pStyle w:val="Normal1"/>
        <w:rPr>
          <w:b/>
        </w:rPr>
      </w:pPr>
      <w:r>
        <w:rPr>
          <w:b/>
        </w:rPr>
        <w:t>Comparison of Sweet Plc ratios.</w:t>
      </w:r>
    </w:p>
    <w:p w14:paraId="34ABB2FF" w14:textId="77777777" w:rsidR="00CA6D18" w:rsidRDefault="00000000">
      <w:pPr>
        <w:pStyle w:val="Normal1"/>
        <w:jc w:val="center"/>
        <w:rPr>
          <w:b/>
        </w:rPr>
      </w:pPr>
      <w:r>
        <w:rPr>
          <w:b/>
          <w:noProof/>
        </w:rPr>
        <w:drawing>
          <wp:inline distT="114300" distB="114300" distL="114300" distR="114300" wp14:anchorId="6BA3F95B" wp14:editId="0CA2077B">
            <wp:extent cx="5538788" cy="1610113"/>
            <wp:effectExtent l="12700" t="12700" r="12700" b="12700"/>
            <wp:docPr id="7" name="image12.png"/>
            <wp:cNvGraphicFramePr/>
            <a:graphic xmlns:a="http://schemas.openxmlformats.org/drawingml/2006/main">
              <a:graphicData uri="http://schemas.openxmlformats.org/drawingml/2006/picture">
                <pic:pic xmlns:pic="http://schemas.openxmlformats.org/drawingml/2006/picture">
                  <pic:nvPicPr>
                    <pic:cNvPr id="7" name="image12.png"/>
                    <pic:cNvPicPr/>
                  </pic:nvPicPr>
                  <pic:blipFill>
                    <a:blip r:embed="rId18"/>
                    <a:stretch>
                      <a:fillRect/>
                    </a:stretch>
                  </pic:blipFill>
                  <pic:spPr>
                    <a:xfrm>
                      <a:off x="0" y="0"/>
                      <a:ext cx="5538788" cy="1610113"/>
                    </a:xfrm>
                    <a:prstGeom prst="rect">
                      <a:avLst/>
                    </a:prstGeom>
                    <a:ln w="12700">
                      <a:solidFill>
                        <a:srgbClr val="000000"/>
                      </a:solidFill>
                      <a:prstDash val="solid"/>
                    </a:ln>
                  </pic:spPr>
                </pic:pic>
              </a:graphicData>
            </a:graphic>
          </wp:inline>
        </w:drawing>
      </w:r>
    </w:p>
    <w:p w14:paraId="39FEC2B8" w14:textId="6E90B4FF" w:rsidR="00CA6D18" w:rsidRDefault="00000000">
      <w:pPr>
        <w:pStyle w:val="Normal1"/>
        <w:rPr>
          <w:b/>
        </w:rPr>
      </w:pPr>
      <w:r>
        <w:t xml:space="preserve">From the estimation of the different ratios of Sweet Plc are been formed the compatibility of the ratio has been reflected here. From the analysis it has been seen that the company has increased its efficiency in certain forms the company has increase there efficiency and profitability in 0022 which has been by the ratio analysis of ROCE, EPS, ROE, net profit margin, debtors collection periods, gearing, and the current ratio. The company's ability and income generating have also been reducing in 2022 which has been seen in the asset turnover </w:t>
      </w:r>
      <w:r>
        <w:lastRenderedPageBreak/>
        <w:t xml:space="preserve">and the </w:t>
      </w:r>
      <w:r w:rsidR="003B10E8">
        <w:t>stock</w:t>
      </w:r>
      <w:r>
        <w:t xml:space="preserve"> holding ratio. The comparison was performed based on two different years of the company 2021 to 2022.  </w:t>
      </w:r>
    </w:p>
    <w:p w14:paraId="7D80DDC3" w14:textId="77777777" w:rsidR="00CA6D18" w:rsidRDefault="00000000">
      <w:pPr>
        <w:pStyle w:val="Heading1"/>
      </w:pPr>
      <w:bookmarkStart w:id="15" w:name="_bqz30fd2lrmy" w:colFirst="0" w:colLast="0"/>
      <w:bookmarkEnd w:id="15"/>
      <w:r>
        <w:t xml:space="preserve">Conclusion </w:t>
      </w:r>
    </w:p>
    <w:p w14:paraId="53C888A3" w14:textId="77777777" w:rsidR="00CA6D18" w:rsidRDefault="00000000">
      <w:pPr>
        <w:pStyle w:val="Normal1"/>
      </w:pPr>
      <w:r>
        <w:t xml:space="preserve">The project concluded the effective importance of the financial statements. The project holds the analysis of the statements that define the statements as false and true. The project holds the explanation of the statement and provides the needed result. The project holds the formation of the income statement of the company Wales Plc. The format and the explanation of the preparation was been presented in the projects. The analysis of the ratio for the company Swwet Plc was been performed to define the company's position and its stability. The project also reflects the comparison of the company ratio. </w:t>
      </w:r>
    </w:p>
    <w:p w14:paraId="4F2EA65D" w14:textId="77777777" w:rsidR="00CA6D18" w:rsidRDefault="00000000">
      <w:pPr>
        <w:pStyle w:val="Normal1"/>
        <w:rPr>
          <w:b/>
        </w:rPr>
      </w:pPr>
      <w:r>
        <w:br w:type="page"/>
      </w:r>
    </w:p>
    <w:p w14:paraId="4BB10CC2" w14:textId="77777777" w:rsidR="00CA6D18" w:rsidRDefault="00000000">
      <w:pPr>
        <w:pStyle w:val="Normal1"/>
        <w:rPr>
          <w:b/>
        </w:rPr>
      </w:pPr>
      <w:r>
        <w:rPr>
          <w:b/>
        </w:rPr>
        <w:lastRenderedPageBreak/>
        <w:t xml:space="preserve">References  </w:t>
      </w:r>
    </w:p>
    <w:p w14:paraId="22E9072A" w14:textId="77777777" w:rsidR="003B10E8" w:rsidRDefault="003B10E8">
      <w:pPr>
        <w:pStyle w:val="Normal1"/>
        <w:spacing w:before="240" w:after="240"/>
        <w:rPr>
          <w:color w:val="222222"/>
        </w:rPr>
      </w:pPr>
      <w:r>
        <w:rPr>
          <w:color w:val="222222"/>
        </w:rPr>
        <w:t xml:space="preserve">BBC News, (2023) </w:t>
      </w:r>
      <w:r>
        <w:rPr>
          <w:i/>
          <w:color w:val="222222"/>
        </w:rPr>
        <w:t>Who uses financial information? - financial statements - Higher Business Management Revision - BBC Bitesize</w:t>
      </w:r>
      <w:r>
        <w:rPr>
          <w:color w:val="222222"/>
        </w:rPr>
        <w:t xml:space="preserve">, </w:t>
      </w:r>
      <w:r>
        <w:rPr>
          <w:i/>
          <w:color w:val="222222"/>
        </w:rPr>
        <w:t>BBC News</w:t>
      </w:r>
      <w:r>
        <w:rPr>
          <w:color w:val="222222"/>
        </w:rPr>
        <w:t xml:space="preserve">. Available at: https://www.bbc.co.uk/bitesize/guides/zrpwt39/revision/3#:~:text=lenders%20will%20be%20looking%20at,government%20(%20HMRC (Accessed: 13 December 2023). </w:t>
      </w:r>
    </w:p>
    <w:p w14:paraId="60C49E43" w14:textId="77777777" w:rsidR="003B10E8" w:rsidRDefault="003B10E8">
      <w:pPr>
        <w:pStyle w:val="Normal1"/>
        <w:spacing w:before="240" w:after="240"/>
        <w:rPr>
          <w:color w:val="222222"/>
          <w:highlight w:val="white"/>
        </w:rPr>
      </w:pPr>
      <w:r>
        <w:rPr>
          <w:color w:val="222222"/>
          <w:highlight w:val="white"/>
        </w:rPr>
        <w:t xml:space="preserve">BDC, (2023) </w:t>
      </w:r>
      <w:r>
        <w:rPr>
          <w:i/>
          <w:color w:val="222222"/>
          <w:highlight w:val="white"/>
        </w:rPr>
        <w:t>What is an income statement</w:t>
      </w:r>
      <w:r>
        <w:rPr>
          <w:color w:val="222222"/>
          <w:highlight w:val="white"/>
        </w:rPr>
        <w:t xml:space="preserve">, </w:t>
      </w:r>
      <w:r>
        <w:rPr>
          <w:i/>
          <w:color w:val="222222"/>
          <w:highlight w:val="white"/>
        </w:rPr>
        <w:t>BDC.ca</w:t>
      </w:r>
      <w:r>
        <w:rPr>
          <w:color w:val="222222"/>
          <w:highlight w:val="white"/>
        </w:rPr>
        <w:t xml:space="preserve">. Available at: https://www.bdc.ca/en/articles-tools/entrepreneur-toolkit/templates-business-guides/glossary/income-statement (Accessed: 13 December 2023). </w:t>
      </w:r>
    </w:p>
    <w:p w14:paraId="71F85F88" w14:textId="77777777" w:rsidR="003B10E8" w:rsidRDefault="003B10E8">
      <w:pPr>
        <w:pStyle w:val="Normal1"/>
        <w:spacing w:before="240" w:after="240"/>
        <w:rPr>
          <w:color w:val="222222"/>
          <w:highlight w:val="white"/>
        </w:rPr>
      </w:pPr>
      <w:r>
        <w:rPr>
          <w:color w:val="222222"/>
          <w:highlight w:val="white"/>
        </w:rPr>
        <w:t xml:space="preserve">BDC, (2023a) </w:t>
      </w:r>
      <w:r>
        <w:rPr>
          <w:i/>
          <w:color w:val="222222"/>
          <w:highlight w:val="white"/>
        </w:rPr>
        <w:t>Net profit margin calculator</w:t>
      </w:r>
      <w:r>
        <w:rPr>
          <w:color w:val="222222"/>
          <w:highlight w:val="white"/>
        </w:rPr>
        <w:t xml:space="preserve">, </w:t>
      </w:r>
      <w:r>
        <w:rPr>
          <w:i/>
          <w:color w:val="222222"/>
          <w:highlight w:val="white"/>
        </w:rPr>
        <w:t>BDC.ca</w:t>
      </w:r>
      <w:r>
        <w:rPr>
          <w:color w:val="222222"/>
          <w:highlight w:val="white"/>
        </w:rPr>
        <w:t xml:space="preserve">. Available at: https://www.bdc.ca/en/articles-tools/entrepreneur-toolkit/financial-tools/net-profit-margin#:~:text=Net%20profit%20margin%20(also%20called,%2C%20interest%2C%20and%20income%20taxes. (Accessed: 13 December 2023). </w:t>
      </w:r>
    </w:p>
    <w:p w14:paraId="6075D386" w14:textId="77777777" w:rsidR="003B10E8" w:rsidRDefault="003B10E8">
      <w:pPr>
        <w:pStyle w:val="Normal1"/>
        <w:spacing w:before="240" w:after="240"/>
        <w:rPr>
          <w:color w:val="222222"/>
        </w:rPr>
      </w:pPr>
      <w:r>
        <w:rPr>
          <w:color w:val="222222"/>
        </w:rPr>
        <w:t xml:space="preserve">BDC, (2023b) </w:t>
      </w:r>
      <w:r>
        <w:rPr>
          <w:i/>
          <w:color w:val="222222"/>
        </w:rPr>
        <w:t>What is the gross profit margin</w:t>
      </w:r>
      <w:r>
        <w:rPr>
          <w:color w:val="222222"/>
        </w:rPr>
        <w:t xml:space="preserve">, </w:t>
      </w:r>
      <w:r>
        <w:rPr>
          <w:i/>
          <w:color w:val="222222"/>
        </w:rPr>
        <w:t>BDC.ca</w:t>
      </w:r>
      <w:r>
        <w:rPr>
          <w:color w:val="222222"/>
        </w:rPr>
        <w:t xml:space="preserve">. Available at: https://www.bdc.ca/en/articles-tools/entrepreneur-toolkit/templates-business-guides/glossary/gross-profit-margin-ratio (Accessed: 13 December 2023). </w:t>
      </w:r>
    </w:p>
    <w:p w14:paraId="2340A3E8" w14:textId="77777777" w:rsidR="003B10E8" w:rsidRDefault="003B10E8">
      <w:pPr>
        <w:pStyle w:val="Normal1"/>
        <w:spacing w:before="240" w:after="240"/>
        <w:rPr>
          <w:color w:val="222222"/>
        </w:rPr>
      </w:pPr>
      <w:r>
        <w:rPr>
          <w:color w:val="222222"/>
        </w:rPr>
        <w:t xml:space="preserve">Bragg, S. (2023) </w:t>
      </w:r>
      <w:r>
        <w:rPr>
          <w:i/>
          <w:color w:val="222222"/>
        </w:rPr>
        <w:t>Interest coverage ratio definition</w:t>
      </w:r>
      <w:r>
        <w:rPr>
          <w:color w:val="222222"/>
        </w:rPr>
        <w:t xml:space="preserve">, </w:t>
      </w:r>
      <w:r>
        <w:rPr>
          <w:i/>
          <w:color w:val="222222"/>
        </w:rPr>
        <w:t>AccountingTools</w:t>
      </w:r>
      <w:r>
        <w:rPr>
          <w:color w:val="222222"/>
        </w:rPr>
        <w:t xml:space="preserve">. Available at: https://www.accountingtools.com/articles/interest-coverage-ratio (Accessed: 13 December 2023). </w:t>
      </w:r>
    </w:p>
    <w:p w14:paraId="01DCC829" w14:textId="77777777" w:rsidR="003B10E8" w:rsidRDefault="003B10E8">
      <w:pPr>
        <w:pStyle w:val="Normal1"/>
        <w:spacing w:before="240" w:after="240"/>
      </w:pPr>
      <w:r>
        <w:t xml:space="preserve">Bragg, S. (2023) </w:t>
      </w:r>
      <w:r>
        <w:rPr>
          <w:i/>
        </w:rPr>
        <w:t>Statement of financial position definition</w:t>
      </w:r>
      <w:r>
        <w:t xml:space="preserve">, </w:t>
      </w:r>
      <w:r>
        <w:rPr>
          <w:i/>
        </w:rPr>
        <w:t>AccountingTools</w:t>
      </w:r>
      <w:r>
        <w:t xml:space="preserve">. Available at: https://www.accountingtools.com/articles/what-is-the-statement-of-financial-position.html (Accessed: 13 December 2023). </w:t>
      </w:r>
    </w:p>
    <w:p w14:paraId="0DF78E4F" w14:textId="77777777" w:rsidR="003B10E8" w:rsidRDefault="003B10E8">
      <w:pPr>
        <w:pStyle w:val="Normal1"/>
        <w:spacing w:before="240" w:after="240"/>
        <w:rPr>
          <w:color w:val="222222"/>
          <w:highlight w:val="white"/>
        </w:rPr>
      </w:pPr>
      <w:r>
        <w:rPr>
          <w:color w:val="222222"/>
          <w:highlight w:val="white"/>
        </w:rPr>
        <w:t xml:space="preserve">Bragg, S. (2023) </w:t>
      </w:r>
      <w:r>
        <w:rPr>
          <w:i/>
          <w:color w:val="222222"/>
          <w:highlight w:val="white"/>
        </w:rPr>
        <w:t>The purpose of a trial balance</w:t>
      </w:r>
      <w:r>
        <w:rPr>
          <w:color w:val="222222"/>
          <w:highlight w:val="white"/>
        </w:rPr>
        <w:t xml:space="preserve">, </w:t>
      </w:r>
      <w:r>
        <w:rPr>
          <w:i/>
          <w:color w:val="222222"/>
          <w:highlight w:val="white"/>
        </w:rPr>
        <w:t>AccountingTools</w:t>
      </w:r>
      <w:r>
        <w:rPr>
          <w:color w:val="222222"/>
          <w:highlight w:val="white"/>
        </w:rPr>
        <w:t xml:space="preserve">. Available at: https://www.accountingtools.com/articles/what-is-the-purpose-of-a-trial-balance.html (Accessed: 13 December 2023). </w:t>
      </w:r>
    </w:p>
    <w:p w14:paraId="6D1B3621" w14:textId="77777777" w:rsidR="003B10E8" w:rsidRDefault="003B10E8">
      <w:pPr>
        <w:pStyle w:val="Normal1"/>
        <w:spacing w:before="240" w:after="240"/>
        <w:rPr>
          <w:color w:val="222222"/>
          <w:highlight w:val="white"/>
        </w:rPr>
      </w:pPr>
      <w:r>
        <w:rPr>
          <w:color w:val="222222"/>
          <w:highlight w:val="white"/>
        </w:rPr>
        <w:t xml:space="preserve">Bragg, S. (2023a) </w:t>
      </w:r>
      <w:r>
        <w:rPr>
          <w:i/>
          <w:color w:val="222222"/>
          <w:highlight w:val="white"/>
        </w:rPr>
        <w:t>Users of financial information</w:t>
      </w:r>
      <w:r>
        <w:rPr>
          <w:color w:val="222222"/>
          <w:highlight w:val="white"/>
        </w:rPr>
        <w:t xml:space="preserve">, </w:t>
      </w:r>
      <w:r>
        <w:rPr>
          <w:i/>
          <w:color w:val="222222"/>
          <w:highlight w:val="white"/>
        </w:rPr>
        <w:t>AccountingTools</w:t>
      </w:r>
      <w:r>
        <w:rPr>
          <w:color w:val="222222"/>
          <w:highlight w:val="white"/>
        </w:rPr>
        <w:t xml:space="preserve">. Available at: https://www.accountingtools.com/articles/users-of-financial-information (Accessed: 13 December 2023). </w:t>
      </w:r>
    </w:p>
    <w:p w14:paraId="47F88121" w14:textId="77777777" w:rsidR="003B10E8" w:rsidRDefault="003B10E8">
      <w:pPr>
        <w:pStyle w:val="Normal1"/>
        <w:spacing w:before="240" w:after="240"/>
        <w:rPr>
          <w:color w:val="222222"/>
          <w:highlight w:val="white"/>
        </w:rPr>
      </w:pPr>
      <w:r>
        <w:rPr>
          <w:color w:val="222222"/>
          <w:highlight w:val="white"/>
        </w:rPr>
        <w:lastRenderedPageBreak/>
        <w:t xml:space="preserve">Brush, K. (2023) </w:t>
      </w:r>
      <w:r>
        <w:rPr>
          <w:i/>
          <w:color w:val="222222"/>
          <w:highlight w:val="white"/>
        </w:rPr>
        <w:t>What is asset turnover ratio?</w:t>
      </w:r>
      <w:r>
        <w:rPr>
          <w:color w:val="222222"/>
          <w:highlight w:val="white"/>
        </w:rPr>
        <w:t xml:space="preserve">, </w:t>
      </w:r>
      <w:r>
        <w:rPr>
          <w:i/>
          <w:color w:val="222222"/>
          <w:highlight w:val="white"/>
        </w:rPr>
        <w:t>Business Analytics</w:t>
      </w:r>
      <w:r>
        <w:rPr>
          <w:color w:val="222222"/>
          <w:highlight w:val="white"/>
        </w:rPr>
        <w:t xml:space="preserve">. Available at: https://www.techtarget.com/searchbusinessanalytics/definition/asset-turnover-ratio#:~:text=The%20asset%20turnover%20ratio%20is,every%20dollar%20of%20company%20assets. (Accessed: 13 December 2023). </w:t>
      </w:r>
    </w:p>
    <w:p w14:paraId="237EB39E" w14:textId="77777777" w:rsidR="003B10E8" w:rsidRDefault="003B10E8">
      <w:pPr>
        <w:pStyle w:val="Normal1"/>
        <w:spacing w:before="240" w:after="240"/>
        <w:rPr>
          <w:color w:val="222222"/>
          <w:highlight w:val="white"/>
        </w:rPr>
      </w:pPr>
      <w:r>
        <w:rPr>
          <w:color w:val="222222"/>
          <w:highlight w:val="white"/>
        </w:rPr>
        <w:t xml:space="preserve">Capital, (2023) </w:t>
      </w:r>
      <w:r>
        <w:rPr>
          <w:i/>
          <w:color w:val="222222"/>
          <w:highlight w:val="white"/>
        </w:rPr>
        <w:t>What is net profit: Definition, examples, and meaning</w:t>
      </w:r>
      <w:r>
        <w:rPr>
          <w:color w:val="222222"/>
          <w:highlight w:val="white"/>
        </w:rPr>
        <w:t xml:space="preserve">, </w:t>
      </w:r>
      <w:r>
        <w:rPr>
          <w:i/>
          <w:color w:val="222222"/>
          <w:highlight w:val="white"/>
        </w:rPr>
        <w:t>What is Net Profit: Definition, Examples, and Meaning | Capital.com</w:t>
      </w:r>
      <w:r>
        <w:rPr>
          <w:color w:val="222222"/>
          <w:highlight w:val="white"/>
        </w:rPr>
        <w:t xml:space="preserve">. Available at: https://capital.com/net-profit-definition (Accessed: 13 December 2023). </w:t>
      </w:r>
    </w:p>
    <w:p w14:paraId="4EBD8C10" w14:textId="77777777" w:rsidR="003B10E8" w:rsidRDefault="003B10E8">
      <w:pPr>
        <w:pStyle w:val="Normal1"/>
        <w:spacing w:before="240" w:after="240"/>
        <w:rPr>
          <w:color w:val="222222"/>
        </w:rPr>
      </w:pPr>
      <w:r>
        <w:rPr>
          <w:color w:val="222222"/>
        </w:rPr>
        <w:t xml:space="preserve">CFA Institute, (2023) </w:t>
      </w:r>
      <w:r>
        <w:rPr>
          <w:i/>
          <w:color w:val="222222"/>
        </w:rPr>
        <w:t>Financial reporting standards</w:t>
      </w:r>
      <w:r>
        <w:rPr>
          <w:color w:val="222222"/>
        </w:rPr>
        <w:t xml:space="preserve">, </w:t>
      </w:r>
      <w:r>
        <w:rPr>
          <w:i/>
          <w:color w:val="222222"/>
        </w:rPr>
        <w:t>CFA Institute</w:t>
      </w:r>
      <w:r>
        <w:rPr>
          <w:color w:val="222222"/>
        </w:rPr>
        <w:t xml:space="preserve">. Available at: https://www.cfainstitute.org/en/membership/professional-development/refresher-readings/financial-reporting-standards#:~:text=The%20IFRS%20framework%20sets%20forth,of%20the%20IASB’s%20Conceptual%20Framework. (Accessed: 13 December 2023). </w:t>
      </w:r>
    </w:p>
    <w:p w14:paraId="58B32F95" w14:textId="77777777" w:rsidR="003B10E8" w:rsidRDefault="003B10E8">
      <w:pPr>
        <w:pStyle w:val="Normal1"/>
        <w:spacing w:before="240" w:after="240"/>
        <w:rPr>
          <w:color w:val="222222"/>
          <w:highlight w:val="white"/>
        </w:rPr>
      </w:pPr>
      <w:r>
        <w:rPr>
          <w:color w:val="222222"/>
          <w:highlight w:val="white"/>
        </w:rPr>
        <w:t xml:space="preserve">Craja, P., Kim, A. and Lessmann, S., (2020). Deep learning for detecting financial statement fraud. </w:t>
      </w:r>
      <w:r>
        <w:rPr>
          <w:i/>
          <w:color w:val="222222"/>
          <w:highlight w:val="white"/>
        </w:rPr>
        <w:t>Decision Support Systems</w:t>
      </w:r>
      <w:r>
        <w:rPr>
          <w:color w:val="222222"/>
          <w:highlight w:val="white"/>
        </w:rPr>
        <w:t xml:space="preserve">, </w:t>
      </w:r>
      <w:r>
        <w:rPr>
          <w:i/>
          <w:color w:val="222222"/>
          <w:highlight w:val="white"/>
        </w:rPr>
        <w:t>139</w:t>
      </w:r>
      <w:r>
        <w:rPr>
          <w:color w:val="222222"/>
          <w:highlight w:val="white"/>
        </w:rPr>
        <w:t xml:space="preserve">, p.113421. </w:t>
      </w:r>
      <w:hyperlink r:id="rId19">
        <w:r>
          <w:rPr>
            <w:color w:val="1155CC"/>
            <w:highlight w:val="white"/>
            <w:u w:val="single"/>
          </w:rPr>
          <w:t>https://www.sciencedirect.com/science/article/pii/S0167923620301767</w:t>
        </w:r>
      </w:hyperlink>
      <w:r>
        <w:rPr>
          <w:color w:val="222222"/>
          <w:highlight w:val="white"/>
        </w:rPr>
        <w:t xml:space="preserve"> </w:t>
      </w:r>
    </w:p>
    <w:p w14:paraId="6D3544F0" w14:textId="77777777" w:rsidR="003B10E8" w:rsidRDefault="003B10E8">
      <w:pPr>
        <w:pStyle w:val="Normal1"/>
        <w:spacing w:before="240" w:after="240"/>
        <w:rPr>
          <w:color w:val="222222"/>
        </w:rPr>
      </w:pPr>
      <w:r>
        <w:rPr>
          <w:color w:val="222222"/>
        </w:rPr>
        <w:t xml:space="preserve">Ferriolo, J. (2022) </w:t>
      </w:r>
      <w:r>
        <w:rPr>
          <w:i/>
          <w:color w:val="222222"/>
        </w:rPr>
        <w:t>Council post: Why the income statement is crucial to your business</w:t>
      </w:r>
      <w:r>
        <w:rPr>
          <w:color w:val="222222"/>
        </w:rPr>
        <w:t xml:space="preserve">, </w:t>
      </w:r>
      <w:r>
        <w:rPr>
          <w:i/>
          <w:color w:val="222222"/>
        </w:rPr>
        <w:t>Forbes</w:t>
      </w:r>
      <w:r>
        <w:rPr>
          <w:color w:val="222222"/>
        </w:rPr>
        <w:t xml:space="preserve">. Available at: https://www.forbes.com/sites/forbesbusinessdevelopmentcouncil/2022/02/22/why-the-income-statement-is-crucial-to-your-business/ (Accessed: 13 December 2023). </w:t>
      </w:r>
    </w:p>
    <w:p w14:paraId="2FA294EA" w14:textId="77777777" w:rsidR="003B10E8" w:rsidRDefault="003B10E8">
      <w:pPr>
        <w:pStyle w:val="Normal1"/>
        <w:spacing w:before="240" w:after="240"/>
        <w:rPr>
          <w:color w:val="222222"/>
          <w:highlight w:val="white"/>
        </w:rPr>
      </w:pPr>
      <w:r>
        <w:rPr>
          <w:color w:val="222222"/>
          <w:highlight w:val="white"/>
        </w:rPr>
        <w:t xml:space="preserve">Fridson, M.S. and Alvarez, F., (2022). </w:t>
      </w:r>
      <w:r>
        <w:rPr>
          <w:i/>
          <w:color w:val="222222"/>
          <w:highlight w:val="white"/>
        </w:rPr>
        <w:t>Financial statement analysis: a practitioner's guide</w:t>
      </w:r>
      <w:r>
        <w:rPr>
          <w:color w:val="222222"/>
          <w:highlight w:val="white"/>
        </w:rPr>
        <w:t xml:space="preserve">. John Wiley &amp; Sons. </w:t>
      </w:r>
      <w:hyperlink r:id="rId20">
        <w:r>
          <w:rPr>
            <w:color w:val="1155CC"/>
            <w:highlight w:val="white"/>
            <w:u w:val="single"/>
          </w:rPr>
          <w:t>https://books.google.com/books?hl=en&amp;lr=&amp;id=2cl6EAAAQBAJ&amp;oi=fnd&amp;pg=PA25&amp;dq=financial+statement&amp;ots=5YHwOt1AE-&amp;sig=Qhe9GOjTzzxD4scA1Pv52OVPqyI</w:t>
        </w:r>
      </w:hyperlink>
      <w:r>
        <w:rPr>
          <w:color w:val="222222"/>
          <w:highlight w:val="white"/>
        </w:rPr>
        <w:t xml:space="preserve"> </w:t>
      </w:r>
    </w:p>
    <w:p w14:paraId="0B3793E0" w14:textId="77777777" w:rsidR="003B10E8" w:rsidRDefault="003B10E8">
      <w:pPr>
        <w:pStyle w:val="Normal1"/>
        <w:spacing w:before="240" w:after="240"/>
        <w:rPr>
          <w:color w:val="222222"/>
        </w:rPr>
      </w:pPr>
      <w:r>
        <w:rPr>
          <w:color w:val="222222"/>
        </w:rPr>
        <w:t xml:space="preserve">Gamayuni, R.R., (2019). The Initial Implementation Of Accrual Based Accounting, The Effect On Performance And Financial Reporting Quality At Local Governments In Indonesia-similarity checked. </w:t>
      </w:r>
      <w:hyperlink r:id="rId21">
        <w:r>
          <w:rPr>
            <w:color w:val="1155CC"/>
            <w:u w:val="single"/>
          </w:rPr>
          <w:t>http://repository.lppm.unila.ac.id/19598/1/similarity%20The%20Initial%20Implementation%20Of%20Accrual%20Based%20Accounting%2C%20The%20Effect%20On%20Performance%20And%20Financial%20Reporting%20Quality%20At%20Local%20Governments%20In%20Indonesia%20%281%29.pdf</w:t>
        </w:r>
      </w:hyperlink>
      <w:r>
        <w:rPr>
          <w:color w:val="222222"/>
        </w:rPr>
        <w:t xml:space="preserve">  </w:t>
      </w:r>
    </w:p>
    <w:p w14:paraId="6E30BB0F" w14:textId="77777777" w:rsidR="003B10E8" w:rsidRDefault="003B10E8">
      <w:pPr>
        <w:pStyle w:val="Normal1"/>
        <w:spacing w:before="240" w:after="240"/>
        <w:rPr>
          <w:color w:val="222222"/>
          <w:highlight w:val="white"/>
        </w:rPr>
      </w:pPr>
      <w:r>
        <w:rPr>
          <w:color w:val="222222"/>
          <w:highlight w:val="white"/>
        </w:rPr>
        <w:lastRenderedPageBreak/>
        <w:t xml:space="preserve">Indeed, (2023) </w:t>
      </w:r>
      <w:r>
        <w:rPr>
          <w:i/>
          <w:color w:val="222222"/>
          <w:highlight w:val="white"/>
        </w:rPr>
        <w:t>How to calculate days in inventory (with 3 examples) - indeed</w:t>
      </w:r>
      <w:r>
        <w:rPr>
          <w:color w:val="222222"/>
          <w:highlight w:val="white"/>
        </w:rPr>
        <w:t xml:space="preserve">. Available at: https://www.indeed.com/career-advice/career-development/how-to-calculate-days-in-iinventory (Accessed: 13 December 2023). </w:t>
      </w:r>
    </w:p>
    <w:p w14:paraId="5E85219D" w14:textId="77777777" w:rsidR="003B10E8" w:rsidRDefault="003B10E8">
      <w:pPr>
        <w:pStyle w:val="Normal1"/>
        <w:spacing w:before="240" w:after="240"/>
        <w:rPr>
          <w:color w:val="222222"/>
        </w:rPr>
      </w:pPr>
      <w:r>
        <w:rPr>
          <w:color w:val="222222"/>
        </w:rPr>
        <w:t xml:space="preserve">Indeed, (2023) </w:t>
      </w:r>
      <w:r>
        <w:rPr>
          <w:i/>
          <w:color w:val="222222"/>
        </w:rPr>
        <w:t>What is a general ledger? definition, functions, and key elements - indeed</w:t>
      </w:r>
      <w:r>
        <w:rPr>
          <w:color w:val="222222"/>
        </w:rPr>
        <w:t xml:space="preserve">. Available at: https://www.indeed.com/career-advice/career-development/what-is-a-general-ledger (Accessed: 13 December 2023). </w:t>
      </w:r>
    </w:p>
    <w:p w14:paraId="346764EB" w14:textId="77777777" w:rsidR="003B10E8" w:rsidRDefault="003B10E8">
      <w:pPr>
        <w:pStyle w:val="Normal1"/>
        <w:spacing w:before="240" w:after="240"/>
        <w:rPr>
          <w:color w:val="222222"/>
          <w:highlight w:val="white"/>
        </w:rPr>
      </w:pPr>
      <w:r>
        <w:rPr>
          <w:color w:val="222222"/>
          <w:highlight w:val="white"/>
        </w:rPr>
        <w:t xml:space="preserve">Indeed, (2023a) </w:t>
      </w:r>
      <w:r>
        <w:rPr>
          <w:i/>
          <w:color w:val="222222"/>
          <w:highlight w:val="white"/>
        </w:rPr>
        <w:t>What is the current ratio? (with definition and examples) - indeed</w:t>
      </w:r>
      <w:r>
        <w:rPr>
          <w:color w:val="222222"/>
          <w:highlight w:val="white"/>
        </w:rPr>
        <w:t xml:space="preserve">. Available at: https://www.indeed.com/career-advice/career-development/current-ratio (Accessed: 13 December 2023). </w:t>
      </w:r>
    </w:p>
    <w:p w14:paraId="7D975FE3" w14:textId="77777777" w:rsidR="003B10E8" w:rsidRDefault="003B10E8">
      <w:pPr>
        <w:pStyle w:val="Normal1"/>
        <w:spacing w:before="240" w:after="240"/>
        <w:rPr>
          <w:color w:val="222222"/>
        </w:rPr>
      </w:pPr>
      <w:r>
        <w:rPr>
          <w:color w:val="222222"/>
        </w:rPr>
        <w:t xml:space="preserve">Langemeier, M., (2020). Components of an Accrual Farm Income Statement. </w:t>
      </w:r>
      <w:r>
        <w:rPr>
          <w:i/>
          <w:color w:val="222222"/>
        </w:rPr>
        <w:t>Center for Commercial Agriculture</w:t>
      </w:r>
      <w:r>
        <w:rPr>
          <w:color w:val="222222"/>
        </w:rPr>
        <w:t xml:space="preserve">.  </w:t>
      </w:r>
      <w:hyperlink r:id="rId22">
        <w:r>
          <w:rPr>
            <w:color w:val="1155CC"/>
            <w:u w:val="single"/>
          </w:rPr>
          <w:t>https://ag.purdue.edu/commercialag/home/wp-content/uploads/2019/08/202008_Langemeier_ComponentsofanAccural.pdf</w:t>
        </w:r>
      </w:hyperlink>
      <w:r>
        <w:rPr>
          <w:color w:val="222222"/>
        </w:rPr>
        <w:t xml:space="preserve"> </w:t>
      </w:r>
    </w:p>
    <w:p w14:paraId="33468379" w14:textId="77777777" w:rsidR="003B10E8" w:rsidRDefault="003B10E8">
      <w:pPr>
        <w:pStyle w:val="Normal1"/>
        <w:spacing w:before="240" w:after="240"/>
        <w:rPr>
          <w:color w:val="222222"/>
        </w:rPr>
      </w:pPr>
      <w:r>
        <w:rPr>
          <w:color w:val="222222"/>
        </w:rPr>
        <w:t xml:space="preserve">Lewis, R. (2023) </w:t>
      </w:r>
      <w:r>
        <w:rPr>
          <w:i/>
          <w:color w:val="222222"/>
        </w:rPr>
        <w:t>What is the return on equity? how to calculate ROE to evaluate a company’s profitability</w:t>
      </w:r>
      <w:r>
        <w:rPr>
          <w:color w:val="222222"/>
        </w:rPr>
        <w:t xml:space="preserve">, </w:t>
      </w:r>
      <w:r>
        <w:rPr>
          <w:i/>
          <w:color w:val="222222"/>
        </w:rPr>
        <w:t>Business Insider</w:t>
      </w:r>
      <w:r>
        <w:rPr>
          <w:color w:val="222222"/>
        </w:rPr>
        <w:t xml:space="preserve">. Available at: https://www.businessinsider.com/personal-finance/return-on-equity (Accessed: 13 December 2023). </w:t>
      </w:r>
    </w:p>
    <w:p w14:paraId="332E841C" w14:textId="77777777" w:rsidR="003B10E8" w:rsidRDefault="003B10E8">
      <w:pPr>
        <w:pStyle w:val="Normal1"/>
        <w:spacing w:before="240" w:after="240"/>
        <w:rPr>
          <w:color w:val="222222"/>
        </w:rPr>
      </w:pPr>
      <w:r>
        <w:rPr>
          <w:color w:val="222222"/>
        </w:rPr>
        <w:t xml:space="preserve">LinkedIn, (2022) </w:t>
      </w:r>
      <w:r>
        <w:rPr>
          <w:i/>
          <w:color w:val="222222"/>
        </w:rPr>
        <w:t>IFRS &amp; its importance</w:t>
      </w:r>
      <w:r>
        <w:rPr>
          <w:color w:val="222222"/>
        </w:rPr>
        <w:t xml:space="preserve">, </w:t>
      </w:r>
      <w:r>
        <w:rPr>
          <w:i/>
          <w:color w:val="222222"/>
        </w:rPr>
        <w:t>LinkedIn</w:t>
      </w:r>
      <w:r>
        <w:rPr>
          <w:color w:val="222222"/>
        </w:rPr>
        <w:t xml:space="preserve">. Available at: https://www.linkedin.com/pulse/ifrs-its-importance-nadeem-muhammed#:~:text=International%20Financial%20Reporting%20Standards%20(IFRS,easily%20comparable%20around%20the%20world. (Accessed: 13 December 2023). </w:t>
      </w:r>
    </w:p>
    <w:p w14:paraId="1A8F0722" w14:textId="77777777" w:rsidR="003B10E8" w:rsidRDefault="003B10E8">
      <w:pPr>
        <w:pStyle w:val="Normal1"/>
        <w:spacing w:before="240" w:after="240"/>
        <w:rPr>
          <w:color w:val="222222"/>
          <w:highlight w:val="white"/>
        </w:rPr>
      </w:pPr>
      <w:r>
        <w:rPr>
          <w:color w:val="222222"/>
          <w:highlight w:val="white"/>
        </w:rPr>
        <w:t xml:space="preserve">NetSuite, (2023) </w:t>
      </w:r>
      <w:r>
        <w:rPr>
          <w:i/>
          <w:color w:val="222222"/>
          <w:highlight w:val="white"/>
        </w:rPr>
        <w:t>Count on accrual-based accounting</w:t>
      </w:r>
      <w:r>
        <w:rPr>
          <w:color w:val="222222"/>
          <w:highlight w:val="white"/>
        </w:rPr>
        <w:t xml:space="preserve">, </w:t>
      </w:r>
      <w:r>
        <w:rPr>
          <w:i/>
          <w:color w:val="222222"/>
          <w:highlight w:val="white"/>
        </w:rPr>
        <w:t>Oracle NetSuite</w:t>
      </w:r>
      <w:r>
        <w:rPr>
          <w:color w:val="222222"/>
          <w:highlight w:val="white"/>
        </w:rPr>
        <w:t xml:space="preserve">. Available at: https://www.netsuite.com/portal/resource/articles/accounting/accrual-basis-accounting.shtml (Accessed: 13 December 2023). </w:t>
      </w:r>
    </w:p>
    <w:p w14:paraId="7C115879" w14:textId="77777777" w:rsidR="003B10E8" w:rsidRDefault="003B10E8">
      <w:pPr>
        <w:pStyle w:val="Normal1"/>
        <w:spacing w:before="240" w:after="240"/>
        <w:rPr>
          <w:color w:val="222222"/>
        </w:rPr>
      </w:pPr>
      <w:r>
        <w:rPr>
          <w:color w:val="222222"/>
        </w:rPr>
        <w:t xml:space="preserve">Oranefo, P.C. and Egbunike, C.F., (2023). Gearing ratio and operating cash flow performance of quoted manufacturing firms in Nigeria. </w:t>
      </w:r>
      <w:r>
        <w:rPr>
          <w:i/>
          <w:color w:val="222222"/>
        </w:rPr>
        <w:t>International Journal of Financial, Accounting, and Management</w:t>
      </w:r>
      <w:r>
        <w:rPr>
          <w:color w:val="222222"/>
        </w:rPr>
        <w:t xml:space="preserve">, </w:t>
      </w:r>
      <w:r>
        <w:rPr>
          <w:i/>
          <w:color w:val="222222"/>
        </w:rPr>
        <w:t>4</w:t>
      </w:r>
      <w:r>
        <w:rPr>
          <w:color w:val="222222"/>
        </w:rPr>
        <w:t xml:space="preserve">(4), pp.395-410. </w:t>
      </w:r>
      <w:hyperlink r:id="rId23">
        <w:r>
          <w:rPr>
            <w:color w:val="1155CC"/>
            <w:u w:val="single"/>
          </w:rPr>
          <w:t>https://goodwoodpub.com/index.php/ijfam/article/view/1090</w:t>
        </w:r>
      </w:hyperlink>
      <w:r>
        <w:rPr>
          <w:color w:val="222222"/>
        </w:rPr>
        <w:t xml:space="preserve"> </w:t>
      </w:r>
    </w:p>
    <w:p w14:paraId="407C11D8" w14:textId="77777777" w:rsidR="003B10E8" w:rsidRDefault="003B10E8">
      <w:pPr>
        <w:pStyle w:val="Normal1"/>
        <w:spacing w:before="240" w:after="240"/>
        <w:rPr>
          <w:color w:val="222222"/>
          <w:highlight w:val="white"/>
        </w:rPr>
      </w:pPr>
      <w:r>
        <w:rPr>
          <w:color w:val="222222"/>
          <w:highlight w:val="white"/>
        </w:rPr>
        <w:t xml:space="preserve">Oxford Reference, (2023) </w:t>
      </w:r>
      <w:r>
        <w:rPr>
          <w:i/>
          <w:color w:val="222222"/>
          <w:highlight w:val="white"/>
        </w:rPr>
        <w:t>Debtor collection period</w:t>
      </w:r>
      <w:r>
        <w:rPr>
          <w:color w:val="222222"/>
          <w:highlight w:val="white"/>
        </w:rPr>
        <w:t xml:space="preserve">, </w:t>
      </w:r>
      <w:r>
        <w:rPr>
          <w:i/>
          <w:color w:val="222222"/>
          <w:highlight w:val="white"/>
        </w:rPr>
        <w:t>Oxford Reference</w:t>
      </w:r>
      <w:r>
        <w:rPr>
          <w:color w:val="222222"/>
          <w:highlight w:val="white"/>
        </w:rPr>
        <w:t xml:space="preserve">. Available at: https://www.oxfordreference.com/display/10.1093/oi/authority.20110803095705185#:~:text=The%20period%2C%20on%20average%2C%20that,its%20debts%20within%2045%20days. (Accessed: 13 December 2023). </w:t>
      </w:r>
    </w:p>
    <w:p w14:paraId="72C556EB" w14:textId="77777777" w:rsidR="003B10E8" w:rsidRDefault="003B10E8">
      <w:pPr>
        <w:pStyle w:val="Normal1"/>
        <w:spacing w:before="240" w:after="240"/>
        <w:rPr>
          <w:color w:val="222222"/>
          <w:highlight w:val="white"/>
        </w:rPr>
      </w:pPr>
      <w:r>
        <w:rPr>
          <w:color w:val="222222"/>
          <w:highlight w:val="white"/>
        </w:rPr>
        <w:lastRenderedPageBreak/>
        <w:t xml:space="preserve">Rusdiyanto, R., Hidayat, W., Tjaraka, H., Septiarini, D.F., Fayanni, Y., Utari, W., Waras, W., Indrawati, M., Susanto, H., Tjahjo, J.D.W. and Mufarokhah, N., (2020). The Effect Of Earning Per Share, Debt To Equity Ratio And Return On Assets Onstock Prices: Case Study Indonesian. </w:t>
      </w:r>
      <w:r>
        <w:rPr>
          <w:i/>
          <w:color w:val="222222"/>
          <w:highlight w:val="white"/>
        </w:rPr>
        <w:t>Academy of Entrepreneurship Journal (AEJ)</w:t>
      </w:r>
      <w:r>
        <w:rPr>
          <w:color w:val="222222"/>
          <w:highlight w:val="white"/>
        </w:rPr>
        <w:t xml:space="preserve">, </w:t>
      </w:r>
      <w:r>
        <w:rPr>
          <w:i/>
          <w:color w:val="222222"/>
          <w:highlight w:val="white"/>
        </w:rPr>
        <w:t>26</w:t>
      </w:r>
      <w:r>
        <w:rPr>
          <w:color w:val="222222"/>
          <w:highlight w:val="white"/>
        </w:rPr>
        <w:t xml:space="preserve">(2), pp.1-10. </w:t>
      </w:r>
      <w:hyperlink r:id="rId24">
        <w:r>
          <w:rPr>
            <w:color w:val="1155CC"/>
            <w:highlight w:val="white"/>
            <w:u w:val="single"/>
          </w:rPr>
          <w:t>http://eprints.uwp.ac.id/id/eprint/2784/</w:t>
        </w:r>
      </w:hyperlink>
      <w:r>
        <w:rPr>
          <w:color w:val="222222"/>
          <w:highlight w:val="white"/>
        </w:rPr>
        <w:t xml:space="preserve"> </w:t>
      </w:r>
    </w:p>
    <w:p w14:paraId="17A47234" w14:textId="77777777" w:rsidR="003B10E8" w:rsidRDefault="003B10E8">
      <w:pPr>
        <w:pStyle w:val="Normal1"/>
        <w:spacing w:before="240" w:after="240"/>
        <w:rPr>
          <w:color w:val="222222"/>
        </w:rPr>
      </w:pPr>
      <w:r>
        <w:rPr>
          <w:color w:val="222222"/>
        </w:rPr>
        <w:t xml:space="preserve">Sayari, N. and Mugan, F.N.C.S., (2019). Cash flow statement as evidence for financial distress. </w:t>
      </w:r>
      <w:r>
        <w:rPr>
          <w:i/>
          <w:color w:val="222222"/>
        </w:rPr>
        <w:t>Universal Journal of Accounting and Finance</w:t>
      </w:r>
      <w:r>
        <w:rPr>
          <w:color w:val="222222"/>
        </w:rPr>
        <w:t xml:space="preserve">, </w:t>
      </w:r>
      <w:r>
        <w:rPr>
          <w:i/>
          <w:color w:val="222222"/>
        </w:rPr>
        <w:t>1</w:t>
      </w:r>
      <w:r>
        <w:rPr>
          <w:color w:val="222222"/>
        </w:rPr>
        <w:t xml:space="preserve">(3), pp.95-103. </w:t>
      </w:r>
      <w:hyperlink r:id="rId25">
        <w:r>
          <w:rPr>
            <w:color w:val="1155CC"/>
            <w:u w:val="single"/>
          </w:rPr>
          <w:t>https://www.academia.edu/download/35385137/B_1_AG_assignement.pdf</w:t>
        </w:r>
      </w:hyperlink>
      <w:r>
        <w:rPr>
          <w:color w:val="222222"/>
        </w:rPr>
        <w:t xml:space="preserve"> </w:t>
      </w:r>
    </w:p>
    <w:p w14:paraId="1ABE000C" w14:textId="77777777" w:rsidR="003B10E8" w:rsidRDefault="003B10E8">
      <w:pPr>
        <w:pStyle w:val="Normal1"/>
        <w:spacing w:before="240" w:after="240"/>
        <w:rPr>
          <w:color w:val="222222"/>
        </w:rPr>
      </w:pPr>
      <w:r>
        <w:rPr>
          <w:color w:val="222222"/>
        </w:rPr>
        <w:t xml:space="preserve">Shrotriya, V., (2019). Analysis of return on total assets (ROTA) and return on capital employed (ROCE) of IFFCO limited. </w:t>
      </w:r>
      <w:r>
        <w:rPr>
          <w:i/>
          <w:color w:val="222222"/>
        </w:rPr>
        <w:t>International Journal of Research and Analytical Reviews</w:t>
      </w:r>
      <w:r>
        <w:rPr>
          <w:color w:val="222222"/>
        </w:rPr>
        <w:t xml:space="preserve">, </w:t>
      </w:r>
      <w:r>
        <w:rPr>
          <w:i/>
          <w:color w:val="222222"/>
        </w:rPr>
        <w:t>6</w:t>
      </w:r>
      <w:r>
        <w:rPr>
          <w:color w:val="222222"/>
        </w:rPr>
        <w:t xml:space="preserve">(2), pp.746-754. </w:t>
      </w:r>
      <w:hyperlink r:id="rId26">
        <w:r>
          <w:rPr>
            <w:color w:val="1155CC"/>
            <w:u w:val="single"/>
          </w:rPr>
          <w:t>https://www.researchgate.net/profile/Vikas-Shrotriya/publication/337464978_Analysis_of_Return_on_Total_Assets_ROTA_and_Return_on_Capital_Employed_ROCE_of_IFFCO_Limited/links/5dd8ec51299bf10c5a2a9e43/Analysis-of-Return-on-Total-Assets-ROTA-and-Return-on-Capital-Employed-ROCE-of-IFFCO-Limited.pdf</w:t>
        </w:r>
      </w:hyperlink>
      <w:r>
        <w:rPr>
          <w:color w:val="222222"/>
        </w:rPr>
        <w:t xml:space="preserve"> </w:t>
      </w:r>
    </w:p>
    <w:p w14:paraId="061486F5" w14:textId="77777777" w:rsidR="003B10E8" w:rsidRDefault="003B10E8">
      <w:pPr>
        <w:pStyle w:val="Normal1"/>
        <w:spacing w:before="240" w:after="240"/>
        <w:rPr>
          <w:color w:val="222222"/>
        </w:rPr>
      </w:pPr>
      <w:r>
        <w:rPr>
          <w:color w:val="222222"/>
        </w:rPr>
        <w:t xml:space="preserve">Xero, (2023) </w:t>
      </w:r>
      <w:r>
        <w:rPr>
          <w:i/>
          <w:color w:val="222222"/>
        </w:rPr>
        <w:t>What are non-current assets?</w:t>
      </w:r>
      <w:r>
        <w:rPr>
          <w:color w:val="222222"/>
        </w:rPr>
        <w:t xml:space="preserve"> </w:t>
      </w:r>
      <w:r>
        <w:rPr>
          <w:i/>
          <w:color w:val="222222"/>
        </w:rPr>
        <w:t>Xero</w:t>
      </w:r>
      <w:r>
        <w:rPr>
          <w:color w:val="222222"/>
        </w:rPr>
        <w:t xml:space="preserve">. Available at: https://www.xero.com/us/glossary/non-current-assets/#:~:text=Non%2Dcurrent%20assets%20are%20assets,be%20called%20long%2Dterm%20assets. (Accessed: 13 December 2023). </w:t>
      </w:r>
    </w:p>
    <w:p w14:paraId="5C8A1A20" w14:textId="77777777" w:rsidR="003B10E8" w:rsidRDefault="003B10E8">
      <w:pPr>
        <w:pStyle w:val="Normal1"/>
        <w:spacing w:before="240" w:after="240"/>
        <w:rPr>
          <w:color w:val="222222"/>
        </w:rPr>
      </w:pPr>
      <w:r>
        <w:rPr>
          <w:color w:val="222222"/>
        </w:rPr>
        <w:t xml:space="preserve">Yao, D.F.T., Percy, M. and Hu, F., (2019). Fair value accounting for non-current assets and audit fees: Evidence from Australian companies. </w:t>
      </w:r>
      <w:r>
        <w:rPr>
          <w:i/>
          <w:color w:val="222222"/>
        </w:rPr>
        <w:t>Journal of Contemporary Accounting &amp; Economics</w:t>
      </w:r>
      <w:r>
        <w:rPr>
          <w:color w:val="222222"/>
        </w:rPr>
        <w:t xml:space="preserve">, </w:t>
      </w:r>
      <w:r>
        <w:rPr>
          <w:i/>
          <w:color w:val="222222"/>
        </w:rPr>
        <w:t>11</w:t>
      </w:r>
      <w:r>
        <w:rPr>
          <w:color w:val="222222"/>
        </w:rPr>
        <w:t xml:space="preserve">(1), pp.31-45. </w:t>
      </w:r>
      <w:hyperlink r:id="rId27">
        <w:r>
          <w:rPr>
            <w:color w:val="1155CC"/>
            <w:u w:val="single"/>
          </w:rPr>
          <w:t>https://www.sciencedirect.com/science/article/pii/S181556691400040X</w:t>
        </w:r>
      </w:hyperlink>
      <w:r>
        <w:rPr>
          <w:color w:val="222222"/>
        </w:rPr>
        <w:t xml:space="preserve"> </w:t>
      </w:r>
    </w:p>
    <w:p w14:paraId="39193583" w14:textId="77777777" w:rsidR="003B10E8" w:rsidRDefault="003B10E8">
      <w:pPr>
        <w:pStyle w:val="Normal1"/>
        <w:spacing w:before="240" w:after="240"/>
        <w:rPr>
          <w:color w:val="222222"/>
          <w:highlight w:val="white"/>
        </w:rPr>
      </w:pPr>
      <w:r>
        <w:rPr>
          <w:color w:val="222222"/>
          <w:highlight w:val="white"/>
        </w:rPr>
        <w:t xml:space="preserve">You, Y. and Lee, J.C., (2021). Estimation of operating profit of liner ship from integrated mathematical model considering design, hydrodynamic performance, and operation. </w:t>
      </w:r>
      <w:r>
        <w:rPr>
          <w:i/>
          <w:color w:val="222222"/>
          <w:highlight w:val="white"/>
        </w:rPr>
        <w:t>Ocean Engineering</w:t>
      </w:r>
      <w:r>
        <w:rPr>
          <w:color w:val="222222"/>
          <w:highlight w:val="white"/>
        </w:rPr>
        <w:t xml:space="preserve">, </w:t>
      </w:r>
      <w:r>
        <w:rPr>
          <w:i/>
          <w:color w:val="222222"/>
          <w:highlight w:val="white"/>
        </w:rPr>
        <w:t>228</w:t>
      </w:r>
      <w:r>
        <w:rPr>
          <w:color w:val="222222"/>
          <w:highlight w:val="white"/>
        </w:rPr>
        <w:t xml:space="preserve">, p.108771. </w:t>
      </w:r>
      <w:hyperlink r:id="rId28">
        <w:r>
          <w:rPr>
            <w:color w:val="1155CC"/>
            <w:highlight w:val="white"/>
            <w:u w:val="single"/>
          </w:rPr>
          <w:t>https://www.sciencedirect.com/science/article/pii/S0029801821002067</w:t>
        </w:r>
      </w:hyperlink>
      <w:r>
        <w:rPr>
          <w:color w:val="222222"/>
          <w:highlight w:val="white"/>
        </w:rPr>
        <w:t xml:space="preserve"> </w:t>
      </w:r>
    </w:p>
    <w:p w14:paraId="79F3C041" w14:textId="77777777" w:rsidR="00CA6D18" w:rsidRDefault="00CA6D18">
      <w:pPr>
        <w:pStyle w:val="Normal1"/>
        <w:spacing w:before="240" w:after="240"/>
        <w:rPr>
          <w:color w:val="222222"/>
        </w:rPr>
      </w:pPr>
    </w:p>
    <w:sectPr w:rsidR="00CA6D18" w:rsidSect="003B10E8">
      <w:footerReference w:type="default" r:id="rId29"/>
      <w:pgSz w:w="11909" w:h="16834"/>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40D54E" w14:textId="77777777" w:rsidR="0073388C" w:rsidRDefault="0073388C" w:rsidP="00E44E48">
      <w:pPr>
        <w:spacing w:line="240" w:lineRule="auto"/>
      </w:pPr>
      <w:r>
        <w:separator/>
      </w:r>
    </w:p>
  </w:endnote>
  <w:endnote w:type="continuationSeparator" w:id="0">
    <w:p w14:paraId="53749F21" w14:textId="77777777" w:rsidR="0073388C" w:rsidRDefault="0073388C" w:rsidP="00E44E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895827"/>
      <w:docPartObj>
        <w:docPartGallery w:val="Page Numbers (Bottom of Page)"/>
        <w:docPartUnique/>
      </w:docPartObj>
    </w:sdtPr>
    <w:sdtEndPr>
      <w:rPr>
        <w:noProof/>
      </w:rPr>
    </w:sdtEndPr>
    <w:sdtContent>
      <w:p w14:paraId="5827363A" w14:textId="1AAFE717" w:rsidR="00E44E48" w:rsidRDefault="00E44E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52C0E5" w14:textId="77777777" w:rsidR="00E44E48" w:rsidRDefault="00E44E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EBFF64" w14:textId="77777777" w:rsidR="0073388C" w:rsidRDefault="0073388C" w:rsidP="00E44E48">
      <w:pPr>
        <w:spacing w:line="240" w:lineRule="auto"/>
      </w:pPr>
      <w:r>
        <w:separator/>
      </w:r>
    </w:p>
  </w:footnote>
  <w:footnote w:type="continuationSeparator" w:id="0">
    <w:p w14:paraId="45BCBAC5" w14:textId="77777777" w:rsidR="0073388C" w:rsidRDefault="0073388C" w:rsidP="00E44E4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6D18"/>
    <w:rsid w:val="003B10E8"/>
    <w:rsid w:val="00510066"/>
    <w:rsid w:val="0073388C"/>
    <w:rsid w:val="00CA6D18"/>
    <w:rsid w:val="00E44E48"/>
    <w:rsid w:val="00FF55D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054961"/>
  <w15:docId w15:val="{10D8CEFB-0275-41D9-8BB9-899D2077A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200" w:after="200"/>
      <w:outlineLvl w:val="0"/>
    </w:pPr>
    <w:rPr>
      <w: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E44E48"/>
    <w:pPr>
      <w:tabs>
        <w:tab w:val="center" w:pos="4513"/>
        <w:tab w:val="right" w:pos="9026"/>
      </w:tabs>
      <w:spacing w:line="240" w:lineRule="auto"/>
    </w:pPr>
  </w:style>
  <w:style w:type="character" w:customStyle="1" w:styleId="HeaderChar">
    <w:name w:val="Header Char"/>
    <w:basedOn w:val="DefaultParagraphFont"/>
    <w:link w:val="Header"/>
    <w:uiPriority w:val="99"/>
    <w:rsid w:val="00E44E48"/>
  </w:style>
  <w:style w:type="paragraph" w:styleId="Footer">
    <w:name w:val="footer"/>
    <w:basedOn w:val="Normal"/>
    <w:link w:val="FooterChar"/>
    <w:uiPriority w:val="99"/>
    <w:unhideWhenUsed/>
    <w:rsid w:val="00E44E48"/>
    <w:pPr>
      <w:tabs>
        <w:tab w:val="center" w:pos="4513"/>
        <w:tab w:val="right" w:pos="9026"/>
      </w:tabs>
      <w:spacing w:line="240" w:lineRule="auto"/>
    </w:pPr>
  </w:style>
  <w:style w:type="character" w:customStyle="1" w:styleId="FooterChar">
    <w:name w:val="Footer Char"/>
    <w:basedOn w:val="DefaultParagraphFont"/>
    <w:link w:val="Footer"/>
    <w:uiPriority w:val="99"/>
    <w:rsid w:val="00E44E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www.researchgate.net/profile/Vikas-Shrotriya/publication/337464978_Analysis_of_Return_on_Total_Assets_ROTA_and_Return_on_Capital_Employed_ROCE_of_IFFCO_Limited/links/5dd8ec51299bf10c5a2a9e43/Analysis-of-Return-on-Total-Assets-ROTA-and-Return-on-Capital-Employed-ROCE-of-IFFCO-Limited.pdf" TargetMode="External"/><Relationship Id="rId3" Type="http://schemas.openxmlformats.org/officeDocument/2006/relationships/webSettings" Target="webSettings.xml"/><Relationship Id="rId21" Type="http://schemas.openxmlformats.org/officeDocument/2006/relationships/hyperlink" Target="http://repository.lppm.unila.ac.id/19598/1/similarity%20The%20Initial%20Implementation%20Of%20Accrual%20Based%20Accounting%2C%20The%20Effect%20On%20Performance%20And%20Financial%20Reporting%20Quality%20At%20Local%20Governments%20In%20Indonesia%20%281%29.pdf"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academia.edu/download/35385137/B_1_AG_assignement.pdf" TargetMode="Externa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hyperlink" Target="https://books.google.com/books?hl=en&amp;lr=&amp;id=2cl6EAAAQBAJ&amp;oi=fnd&amp;pg=PA25&amp;dq=financial+statement&amp;ots=5YHwOt1AE-&amp;sig=Qhe9GOjTzzxD4scA1Pv52OVPqyI"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eprints.uwp.ac.id/id/eprint/2784/" TargetMode="Externa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hyperlink" Target="https://goodwoodpub.com/index.php/ijfam/article/view/1090" TargetMode="External"/><Relationship Id="rId28" Type="http://schemas.openxmlformats.org/officeDocument/2006/relationships/hyperlink" Target="https://www.sciencedirect.com/science/article/pii/S0029801821002067" TargetMode="External"/><Relationship Id="rId10" Type="http://schemas.openxmlformats.org/officeDocument/2006/relationships/image" Target="media/image5.png"/><Relationship Id="rId19" Type="http://schemas.openxmlformats.org/officeDocument/2006/relationships/hyperlink" Target="https://www.sciencedirect.com/science/article/pii/S0167923620301767"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ag.purdue.edu/commercialag/home/wp-content/uploads/2019/08/202008_Langemeier_ComponentsofanAccural.pdf" TargetMode="External"/><Relationship Id="rId27" Type="http://schemas.openxmlformats.org/officeDocument/2006/relationships/hyperlink" Target="https://www.sciencedirect.com/science/article/pii/S181556691400040X"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3716</Words>
  <Characters>21184</Characters>
  <Application>Microsoft Office Word</Application>
  <DocSecurity>0</DocSecurity>
  <Lines>176</Lines>
  <Paragraphs>49</Paragraphs>
  <ScaleCrop>false</ScaleCrop>
  <Company/>
  <LinksUpToDate>false</LinksUpToDate>
  <CharactersWithSpaces>24851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 Neatu</cp:lastModifiedBy>
  <cp:revision>4</cp:revision>
  <dcterms:created xsi:type="dcterms:W3CDTF">2023-12-13T11:33:00Z</dcterms:created>
  <dcterms:modified xsi:type="dcterms:W3CDTF">2023-12-17T09:21:00Z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326f2e48e12bd5aae14f1e6c52929b8c372d800368f9bf669061155236b73769</vt:lpwstr>
  </property>
</Properties>
</file>