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27126" w14:textId="77777777" w:rsidR="004B2581" w:rsidRPr="00B22A80" w:rsidRDefault="004B2581" w:rsidP="004B2581">
      <w:pPr>
        <w:rPr>
          <w:rFonts w:ascii="Arial" w:hAnsi="Arial" w:cs="Arial"/>
          <w:b/>
          <w:bCs/>
          <w:sz w:val="24"/>
          <w:szCs w:val="24"/>
          <w:u w:val="single"/>
        </w:rPr>
      </w:pPr>
      <w:r w:rsidRPr="00B22A80">
        <w:rPr>
          <w:rFonts w:ascii="Arial" w:hAnsi="Arial" w:cs="Arial"/>
          <w:b/>
          <w:bCs/>
          <w:sz w:val="24"/>
          <w:szCs w:val="24"/>
          <w:u w:val="single"/>
        </w:rPr>
        <w:t>INTERNAL MEMORANDUM</w:t>
      </w:r>
    </w:p>
    <w:p w14:paraId="1D9B7B80" w14:textId="77777777" w:rsidR="004B2581" w:rsidRPr="00B22A80" w:rsidRDefault="004B2581" w:rsidP="004B2581">
      <w:pPr>
        <w:rPr>
          <w:rFonts w:ascii="Arial" w:hAnsi="Arial" w:cs="Arial"/>
          <w:b/>
          <w:bCs/>
          <w:sz w:val="24"/>
          <w:szCs w:val="24"/>
          <w:u w:val="single"/>
        </w:rPr>
      </w:pPr>
    </w:p>
    <w:p w14:paraId="70DD95EB" w14:textId="77777777" w:rsidR="004B2581" w:rsidRPr="00B22A80" w:rsidRDefault="004B2581" w:rsidP="004B2581">
      <w:pPr>
        <w:rPr>
          <w:rFonts w:ascii="Arial" w:hAnsi="Arial" w:cs="Arial"/>
          <w:b/>
          <w:bCs/>
          <w:sz w:val="24"/>
          <w:szCs w:val="24"/>
        </w:rPr>
      </w:pPr>
      <w:r w:rsidRPr="00B22A80">
        <w:rPr>
          <w:rFonts w:ascii="Arial" w:hAnsi="Arial" w:cs="Arial"/>
          <w:b/>
          <w:bCs/>
          <w:sz w:val="24"/>
          <w:szCs w:val="24"/>
        </w:rPr>
        <w:t xml:space="preserve">TO: </w:t>
      </w:r>
      <w:r>
        <w:rPr>
          <w:rFonts w:ascii="Arial" w:hAnsi="Arial" w:cs="Arial"/>
          <w:b/>
          <w:bCs/>
          <w:sz w:val="24"/>
          <w:szCs w:val="24"/>
        </w:rPr>
        <w:t>Thomas Trinity</w:t>
      </w:r>
    </w:p>
    <w:p w14:paraId="7FCD4FF4" w14:textId="77777777" w:rsidR="004B2581" w:rsidRPr="00B22A80" w:rsidRDefault="004B2581" w:rsidP="004B2581">
      <w:pPr>
        <w:rPr>
          <w:rFonts w:ascii="Arial" w:hAnsi="Arial" w:cs="Arial"/>
          <w:b/>
          <w:bCs/>
          <w:sz w:val="24"/>
          <w:szCs w:val="24"/>
        </w:rPr>
      </w:pPr>
    </w:p>
    <w:p w14:paraId="02813FF3" w14:textId="77777777" w:rsidR="004B2581" w:rsidRPr="00B22A80" w:rsidRDefault="004B2581" w:rsidP="004B2581">
      <w:pPr>
        <w:rPr>
          <w:rFonts w:ascii="Arial" w:hAnsi="Arial" w:cs="Arial"/>
          <w:b/>
          <w:bCs/>
          <w:sz w:val="24"/>
          <w:szCs w:val="24"/>
        </w:rPr>
      </w:pPr>
      <w:r w:rsidRPr="00B22A80">
        <w:rPr>
          <w:rFonts w:ascii="Arial" w:hAnsi="Arial" w:cs="Arial"/>
          <w:b/>
          <w:bCs/>
          <w:sz w:val="24"/>
          <w:szCs w:val="24"/>
        </w:rPr>
        <w:t xml:space="preserve">FROM: </w:t>
      </w:r>
      <w:r>
        <w:rPr>
          <w:rFonts w:ascii="Arial" w:hAnsi="Arial" w:cs="Arial"/>
          <w:b/>
          <w:bCs/>
          <w:sz w:val="24"/>
          <w:szCs w:val="24"/>
        </w:rPr>
        <w:t>(insert your name)</w:t>
      </w:r>
    </w:p>
    <w:p w14:paraId="337F0DF1" w14:textId="77777777" w:rsidR="004B2581" w:rsidRPr="00B22A80" w:rsidRDefault="004B2581" w:rsidP="004B2581">
      <w:pPr>
        <w:rPr>
          <w:rFonts w:ascii="Arial" w:hAnsi="Arial" w:cs="Arial"/>
          <w:b/>
          <w:bCs/>
          <w:sz w:val="24"/>
          <w:szCs w:val="24"/>
        </w:rPr>
      </w:pPr>
    </w:p>
    <w:p w14:paraId="2C46A707" w14:textId="77777777" w:rsidR="004B2581" w:rsidRPr="00B22A80" w:rsidRDefault="004B2581" w:rsidP="004B2581">
      <w:pPr>
        <w:rPr>
          <w:rFonts w:ascii="Arial" w:hAnsi="Arial" w:cs="Arial"/>
          <w:b/>
          <w:bCs/>
          <w:sz w:val="24"/>
          <w:szCs w:val="24"/>
        </w:rPr>
      </w:pPr>
      <w:r w:rsidRPr="00B22A80">
        <w:rPr>
          <w:rFonts w:ascii="Arial" w:hAnsi="Arial" w:cs="Arial"/>
          <w:b/>
          <w:bCs/>
          <w:sz w:val="24"/>
          <w:szCs w:val="24"/>
        </w:rPr>
        <w:t>MATTER:</w:t>
      </w:r>
      <w:r>
        <w:rPr>
          <w:rFonts w:ascii="Arial" w:hAnsi="Arial" w:cs="Arial"/>
          <w:b/>
          <w:bCs/>
          <w:sz w:val="24"/>
          <w:szCs w:val="24"/>
        </w:rPr>
        <w:t xml:space="preserve"> The c</w:t>
      </w:r>
      <w:r w:rsidRPr="00B22A80">
        <w:rPr>
          <w:rFonts w:ascii="Arial" w:hAnsi="Arial" w:cs="Arial"/>
          <w:b/>
          <w:bCs/>
          <w:sz w:val="24"/>
          <w:szCs w:val="24"/>
        </w:rPr>
        <w:t xml:space="preserve">ase of </w:t>
      </w:r>
      <w:r>
        <w:rPr>
          <w:rFonts w:ascii="Arial" w:hAnsi="Arial" w:cs="Arial"/>
          <w:b/>
          <w:bCs/>
          <w:sz w:val="24"/>
          <w:szCs w:val="24"/>
        </w:rPr>
        <w:t>SARAH JONES</w:t>
      </w:r>
    </w:p>
    <w:p w14:paraId="2D82852C" w14:textId="77777777" w:rsidR="004B2581" w:rsidRPr="00B22A80" w:rsidRDefault="004B2581" w:rsidP="004B2581">
      <w:pPr>
        <w:rPr>
          <w:rFonts w:ascii="Arial" w:hAnsi="Arial" w:cs="Arial"/>
          <w:b/>
          <w:bCs/>
          <w:sz w:val="24"/>
          <w:szCs w:val="24"/>
        </w:rPr>
      </w:pPr>
    </w:p>
    <w:p w14:paraId="033BA35C" w14:textId="6053988F" w:rsidR="004B2581" w:rsidRDefault="004B2581" w:rsidP="004B2581">
      <w:pPr>
        <w:rPr>
          <w:rFonts w:ascii="Arial" w:hAnsi="Arial" w:cs="Arial"/>
          <w:b/>
          <w:bCs/>
          <w:sz w:val="24"/>
          <w:szCs w:val="24"/>
        </w:rPr>
      </w:pPr>
      <w:r w:rsidRPr="00B22A80">
        <w:rPr>
          <w:rFonts w:ascii="Arial" w:hAnsi="Arial" w:cs="Arial"/>
          <w:b/>
          <w:bCs/>
          <w:sz w:val="24"/>
          <w:szCs w:val="24"/>
        </w:rPr>
        <w:t xml:space="preserve">DATE: </w:t>
      </w:r>
      <w:r w:rsidR="005F2EA0">
        <w:rPr>
          <w:rFonts w:ascii="Arial" w:hAnsi="Arial" w:cs="Arial"/>
          <w:b/>
          <w:bCs/>
          <w:sz w:val="24"/>
          <w:szCs w:val="24"/>
        </w:rPr>
        <w:t>11 November 2022</w:t>
      </w:r>
    </w:p>
    <w:p w14:paraId="21F6A0A5" w14:textId="77777777" w:rsidR="004B2581" w:rsidRDefault="004B2581" w:rsidP="004B2581">
      <w:pPr>
        <w:rPr>
          <w:rFonts w:ascii="Arial" w:hAnsi="Arial" w:cs="Arial"/>
          <w:b/>
          <w:bCs/>
          <w:sz w:val="24"/>
          <w:szCs w:val="24"/>
        </w:rPr>
      </w:pPr>
    </w:p>
    <w:p w14:paraId="0D7D9178" w14:textId="77777777" w:rsidR="004B2581" w:rsidRDefault="004B2581" w:rsidP="004B2581">
      <w:pPr>
        <w:rPr>
          <w:rFonts w:ascii="Arial" w:hAnsi="Arial" w:cs="Arial"/>
          <w:b/>
          <w:bCs/>
          <w:sz w:val="24"/>
          <w:szCs w:val="24"/>
        </w:rPr>
      </w:pPr>
    </w:p>
    <w:p w14:paraId="25426390" w14:textId="77777777" w:rsidR="004B2581" w:rsidRDefault="004B2581" w:rsidP="004B2581">
      <w:pPr>
        <w:rPr>
          <w:rFonts w:ascii="Arial" w:hAnsi="Arial" w:cs="Arial"/>
          <w:b/>
          <w:bCs/>
          <w:sz w:val="24"/>
          <w:szCs w:val="24"/>
        </w:rPr>
      </w:pPr>
      <w:r>
        <w:rPr>
          <w:rFonts w:ascii="Arial" w:hAnsi="Arial" w:cs="Arial"/>
          <w:b/>
          <w:bCs/>
          <w:sz w:val="24"/>
          <w:szCs w:val="24"/>
        </w:rPr>
        <w:t xml:space="preserve">This is the case of Miss Sarah Jones. </w:t>
      </w:r>
    </w:p>
    <w:p w14:paraId="7EF26346" w14:textId="437136F6" w:rsidR="004B2581" w:rsidRDefault="004B2581" w:rsidP="004B2581">
      <w:pPr>
        <w:rPr>
          <w:rFonts w:ascii="Arial" w:hAnsi="Arial" w:cs="Arial"/>
          <w:b/>
          <w:bCs/>
          <w:sz w:val="24"/>
          <w:szCs w:val="24"/>
        </w:rPr>
      </w:pPr>
      <w:r>
        <w:rPr>
          <w:rFonts w:ascii="Arial" w:hAnsi="Arial" w:cs="Arial"/>
          <w:b/>
          <w:bCs/>
          <w:sz w:val="24"/>
          <w:szCs w:val="24"/>
        </w:rPr>
        <w:t>I will set out below the following:</w:t>
      </w:r>
    </w:p>
    <w:p w14:paraId="69566025" w14:textId="77777777" w:rsidR="004B2581" w:rsidRPr="00B22A80" w:rsidRDefault="004B2581" w:rsidP="004B2581">
      <w:pPr>
        <w:rPr>
          <w:rFonts w:ascii="Arial" w:hAnsi="Arial" w:cs="Arial"/>
          <w:b/>
          <w:bCs/>
          <w:sz w:val="24"/>
          <w:szCs w:val="24"/>
        </w:rPr>
      </w:pPr>
    </w:p>
    <w:p w14:paraId="59E81B2D" w14:textId="77777777" w:rsidR="0022023A" w:rsidRDefault="0022023A" w:rsidP="0022023A">
      <w:r>
        <w:t>Miss Sarah Jones grew up in a dangerous neighbourhood and got engaged in criminal activity as a young adult. Since deciding to commit her life to God a few years ago, she has been unemployed but actively engaged in her local Catholic church. She committed robbery five years ago and was sentenced to four years in prison, although she only spent two years before being released for good behaviour. Her values and many charitable deeds are important to her existence. Miss Jones denies taking the pocketbook and claims she discovered it in a Swansea alley off Wind Street after a night out. The buyer recognised Miss Nora Davies as the person who pounced on her and pulled the Handbag from her panicked clutches.</w:t>
      </w:r>
    </w:p>
    <w:p w14:paraId="38676670" w14:textId="77777777" w:rsidR="0022023A" w:rsidRDefault="0022023A" w:rsidP="0022023A"/>
    <w:p w14:paraId="71D1AF66" w14:textId="77777777" w:rsidR="0022023A" w:rsidRDefault="0022023A" w:rsidP="0022023A">
      <w:r>
        <w:t>Depending on the information supplied concerning the incident involving Miss Sara Jones and taking into consideration her past, she will likely be charged with the following violations:</w:t>
      </w:r>
    </w:p>
    <w:p w14:paraId="1442DEA8" w14:textId="77777777" w:rsidR="0022023A" w:rsidRDefault="0022023A" w:rsidP="0022023A">
      <w:r>
        <w:t xml:space="preserve">Miss Jones will be charged under Section 1 of the Criminal Justice Act of 1993 for handling a potentially stolen item. It is sufficiently fresh to qualify as a possession. Jurors may utilise common sense to assess whether a defendant stole or handled stolen things if the defendant is discovered in possession of stolen items that were taken within a reasonable amount of time (including </w:t>
      </w:r>
      <w:proofErr w:type="gramStart"/>
      <w:r>
        <w:t>whether or not</w:t>
      </w:r>
      <w:proofErr w:type="gramEnd"/>
      <w:r>
        <w:t xml:space="preserve"> the goods were stolen during the commission of a robbery or burglary). The courts have delegitimized "recent possession" as a legal theory and reduced it to the application of common sense. In the case involving Miss Jones, the court will determine the burden of proof and ratio decidendi. Before rendering a verdict, the court will review evidence and testimony from both sides. Therefore, we must produce irrefutable proof that Miss Jones is not guilty of the allegations against her.</w:t>
      </w:r>
    </w:p>
    <w:p w14:paraId="64649D95" w14:textId="77777777" w:rsidR="0022023A" w:rsidRDefault="0022023A" w:rsidP="0022023A"/>
    <w:p w14:paraId="02FE5312" w14:textId="77777777" w:rsidR="0022023A" w:rsidRDefault="0022023A" w:rsidP="0022023A">
      <w:r>
        <w:t xml:space="preserve">Section 1 of the 1968 Theft Act defines theft as the unauthorised acquisition of another's property with the aim to permanently deprive the owner of the item. These variables are discussed in further detail in Sections 2 through 6 of the Tax Reform Act of 1968. Section 5 TA 1968 states that a property "belongs" to the person designated as the owner in the applicable official documents. The defendant received the property in error and must return it to the rightful owner, the defendant is the beneficiary of a trust to which the property is subject, the person in possession or control of the property gave the property to the defendant on the condition that it be used in a particular manner, etc (in whole or in part). The term does not clarify whether the person in possession or control is authorised to do so. The theft charge is therefore established regardless of whether the "victim" is in unlawful possession of drugs or products. A person may be guilty of theft even if they have a legal right to the thing at issue. In R v. Turner (1971), 55 Cr. App. R. 336, the defendant took their own automobile from a repair shop without paying for the work. Whoever had a "stronger" claim to the vehicle was immaterial. When something is stolen, it must have previously belonged to someone else. This should not be an issue in </w:t>
      </w:r>
      <w:proofErr w:type="gramStart"/>
      <w:r>
        <w:t>the overwhelming majority of</w:t>
      </w:r>
      <w:proofErr w:type="gramEnd"/>
      <w:r>
        <w:t xml:space="preserve"> circumstances. However, it is feasible that the legal ownership of the property might be transferred before the payment is due.</w:t>
      </w:r>
    </w:p>
    <w:p w14:paraId="71C58944" w14:textId="77777777" w:rsidR="0022023A" w:rsidRDefault="0022023A" w:rsidP="0022023A">
      <w:r>
        <w:t xml:space="preserve">Since the item was someone else's at the time of the dishonest appropriation, the defendant should be charged with theft if the prosecution can demonstrate that the defendant had the purpose to not pay for the food or fuel before eating it or removing it. This difficulty occurs if the defendant discards or steals the object before having a dishonest intent to avoid payment. Since the object does not 'belong to another' </w:t>
      </w:r>
      <w:proofErr w:type="gramStart"/>
      <w:r>
        <w:t>at the moment</w:t>
      </w:r>
      <w:proofErr w:type="gramEnd"/>
      <w:r>
        <w:t xml:space="preserve"> the dishonest purpose is formed, it would be dishonest to steal it. Even if dishonest intent existed prior to the commission of a crime, it may be difficult to establish it.</w:t>
      </w:r>
    </w:p>
    <w:p w14:paraId="422FEA98" w14:textId="77777777" w:rsidR="0022023A" w:rsidRDefault="0022023A" w:rsidP="0022023A"/>
    <w:p w14:paraId="4347A18F" w14:textId="77777777" w:rsidR="0022023A" w:rsidRDefault="0022023A" w:rsidP="0022023A">
      <w:r>
        <w:lastRenderedPageBreak/>
        <w:t xml:space="preserve">Section 51 of the 1998 Offense and Disorder Act stipulates that the Crown Court must have jurisdiction over the alleged offence </w:t>
      </w:r>
      <w:proofErr w:type="gramStart"/>
      <w:r>
        <w:t>in order to</w:t>
      </w:r>
      <w:proofErr w:type="gramEnd"/>
      <w:r>
        <w:t xml:space="preserve"> "send" a defendant to trial on indictable charges. Prosecutors should be aware that in cases where shoplifting charges are "sent" to the Crown Court as related offences in addition to an indictable offence, the sending Court may endorse the certificate of sending to indicate </w:t>
      </w:r>
      <w:proofErr w:type="gramStart"/>
      <w:r>
        <w:t>whether or not</w:t>
      </w:r>
      <w:proofErr w:type="gramEnd"/>
      <w:r>
        <w:t xml:space="preserve"> the charges are considered to be summary only matters (i.e., where the total value is less than £200). Since shoplifting below a certain level is not included in the list of </w:t>
      </w:r>
      <w:proofErr w:type="gramStart"/>
      <w:r>
        <w:t>summary</w:t>
      </w:r>
      <w:proofErr w:type="gramEnd"/>
      <w:r>
        <w:t xml:space="preserve"> only offences in section 40 of the Criminal Justice Act of 1988, a case "sent" to the Crown Court will not be indicted and tried in that court. The case is documented in R v. McDermott-Mullane (2016 EWCA Crim 2239). Nevertheless, after a conviction, the Crown Court may advise the offender to enter a guilty plea for a lower charge in the summary criminal proceedings. </w:t>
      </w:r>
      <w:proofErr w:type="gramStart"/>
      <w:r>
        <w:t>Similar to</w:t>
      </w:r>
      <w:proofErr w:type="gramEnd"/>
      <w:r>
        <w:t xml:space="preserve"> the Magistrates' Court, the Crown Court has the authority to impose penalties upon a guilty plea. Section 176(5)(b) of the Anti-social Behaviour, Crime, and Policing Act of 2014, which amended the Criminal Attempts Act of 1981, eliminates the potential of prosecution for minor theft attempts.</w:t>
      </w:r>
    </w:p>
    <w:p w14:paraId="2E0DCAB6" w14:textId="77777777" w:rsidR="0022023A" w:rsidRDefault="0022023A" w:rsidP="0022023A"/>
    <w:p w14:paraId="622660D6" w14:textId="77777777" w:rsidR="0022023A" w:rsidRDefault="0022023A" w:rsidP="0022023A"/>
    <w:p w14:paraId="755DDED6" w14:textId="77777777" w:rsidR="0022023A" w:rsidRDefault="0022023A" w:rsidP="0022023A">
      <w:r>
        <w:t xml:space="preserve">If convicted of a violation prior to Monday, May 2, 2022, you may face up to six months in prison and/or an unlimited fine for a single violation and up to twelve months in prison and/or an unlimited fine for several violations. The Criminal Justice Act of 2003 (Commencement No. 33) and the Sentencing Act of 2020 (Commencement No. 2) stipulate up to 12 months in prison and/or an unlimited fine for those convicted of violating either law as of Monday, May 2, </w:t>
      </w:r>
      <w:proofErr w:type="gramStart"/>
      <w:r>
        <w:t>2022</w:t>
      </w:r>
      <w:proofErr w:type="gramEnd"/>
      <w:r>
        <w:t xml:space="preserve"> at 12:00 a.m. UTC [see The Criminal Justice Act of 2003 (Commencement No. 33) and Sentencing Act of 2020 (Commencement No. 2) Regulations 2022]. According to Section 22</w:t>
      </w:r>
      <w:proofErr w:type="gramStart"/>
      <w:r>
        <w:t>A(</w:t>
      </w:r>
      <w:proofErr w:type="gramEnd"/>
      <w:r>
        <w:t>1) of the Magistrates' Courts Act of 1980, thefts of less than £100 do not qualify as serious offences. The current shoplifting pandemic makes £200 worth of merchandise seem little.</w:t>
      </w:r>
    </w:p>
    <w:p w14:paraId="2D3AA391" w14:textId="77777777" w:rsidR="0022023A" w:rsidRDefault="0022023A" w:rsidP="0022023A"/>
    <w:p w14:paraId="449D85F0" w14:textId="3DA1B3D7" w:rsidR="00585B35" w:rsidRDefault="0022023A" w:rsidP="0022023A">
      <w:r>
        <w:t xml:space="preserve">When executing a violent act for the aim of robbery, the perpetrator will often attempt to leave with the stolen items but fail. To circumvent the technical difficulties of proving attempt, such as determining whether the acts relied on are more than simply preliminary, prosecutors may choose to pursue an assault with intent to rob if there is sufficient evidence of an attack. The jury will then </w:t>
      </w:r>
      <w:proofErr w:type="gramStart"/>
      <w:r>
        <w:t>have the opportunity to</w:t>
      </w:r>
      <w:proofErr w:type="gramEnd"/>
      <w:r>
        <w:t xml:space="preserve"> reinstate the conviction for assault. </w:t>
      </w:r>
      <w:proofErr w:type="gramStart"/>
      <w:r>
        <w:t>In order to</w:t>
      </w:r>
      <w:proofErr w:type="gramEnd"/>
      <w:r>
        <w:t xml:space="preserve"> establish a burglary, the elements of theft must be shown if stealing is the basis for the burglary, either as the motivation for entry under section 9(1)(a) TA 1968 or as the act performed after entry under section 9(1)(b) TA 1968. She must demonstrate that the intruder was at least 18 years old, had been convicted of home invasion twice since November 30, 1999, and that the alleged burglary constituted an invasion of the victim's house. This is commonly referred to as "three strikes," a phrase that reflects the seriousness of the situation properly. Remember that this only applies to the actual illegal act and not to any planning or preparation beforehand. Regarding the </w:t>
      </w:r>
      <w:proofErr w:type="gramStart"/>
      <w:r>
        <w:t>time period</w:t>
      </w:r>
      <w:proofErr w:type="gramEnd"/>
      <w:r>
        <w:t xml:space="preserve"> utilised to determine whether a particular defendant is subject to this rule. If the offence happened before June 28, 2022, the prosecutor must use the procedures described in section 314(2) of SA 2020 to implement the "three strike rule."</w:t>
      </w:r>
    </w:p>
    <w:p w14:paraId="0B7BC8C0" w14:textId="77777777" w:rsidR="0022023A" w:rsidRDefault="0022023A" w:rsidP="0022023A"/>
    <w:p w14:paraId="40C3766E" w14:textId="77777777" w:rsidR="0022023A" w:rsidRDefault="0022023A" w:rsidP="0022023A"/>
    <w:p w14:paraId="21B0EC94" w14:textId="756ED3A7" w:rsidR="00585B35" w:rsidRDefault="00585B35" w:rsidP="00585B35">
      <w:r>
        <w:t>References</w:t>
      </w:r>
    </w:p>
    <w:p w14:paraId="37BA9838" w14:textId="77528016" w:rsidR="005F2EA0" w:rsidRDefault="005F2EA0" w:rsidP="00585B35">
      <w:r w:rsidRPr="005F2EA0">
        <w:t>R v McDermott-Mullane [2016] EWCA Crim 2239</w:t>
      </w:r>
    </w:p>
    <w:p w14:paraId="4B5D5843" w14:textId="570FEB17" w:rsidR="00585B35" w:rsidRDefault="00585B35" w:rsidP="00585B35"/>
    <w:p w14:paraId="18BAA8A6" w14:textId="77777777" w:rsidR="00585B35" w:rsidRPr="00585B35" w:rsidRDefault="00585B35" w:rsidP="00585B35"/>
    <w:sectPr w:rsidR="00585B35" w:rsidRPr="00585B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581"/>
    <w:rsid w:val="000941FB"/>
    <w:rsid w:val="001363B5"/>
    <w:rsid w:val="0022023A"/>
    <w:rsid w:val="002620C9"/>
    <w:rsid w:val="00427282"/>
    <w:rsid w:val="004B2581"/>
    <w:rsid w:val="004D4FE1"/>
    <w:rsid w:val="00585B35"/>
    <w:rsid w:val="005D685D"/>
    <w:rsid w:val="005F2EA0"/>
    <w:rsid w:val="00642C69"/>
    <w:rsid w:val="0065614B"/>
    <w:rsid w:val="006F4AAD"/>
    <w:rsid w:val="007E725B"/>
    <w:rsid w:val="00C744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BB1E4"/>
  <w15:chartTrackingRefBased/>
  <w15:docId w15:val="{D80B5E87-E396-4C27-9E88-41A5EF1C5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581"/>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autoRedefine/>
    <w:uiPriority w:val="9"/>
    <w:qFormat/>
    <w:rsid w:val="00C7446F"/>
    <w:pPr>
      <w:keepNext/>
      <w:keepLines/>
      <w:spacing w:before="240" w:line="259" w:lineRule="auto"/>
      <w:jc w:val="both"/>
      <w:outlineLvl w:val="0"/>
    </w:pPr>
    <w:rPr>
      <w:rFonts w:eastAsiaTheme="majorEastAsia" w:cstheme="majorBidi"/>
      <w:b/>
      <w:noProof/>
      <w:color w:val="000000" w:themeColor="text1"/>
      <w:sz w:val="32"/>
      <w:szCs w:val="32"/>
      <w:u w:val="single"/>
      <w:lang w:eastAsia="en-US"/>
    </w:rPr>
  </w:style>
  <w:style w:type="paragraph" w:styleId="Heading2">
    <w:name w:val="heading 2"/>
    <w:basedOn w:val="Normal"/>
    <w:next w:val="Normal"/>
    <w:link w:val="Heading2Char"/>
    <w:uiPriority w:val="9"/>
    <w:semiHidden/>
    <w:unhideWhenUsed/>
    <w:qFormat/>
    <w:rsid w:val="00C7446F"/>
    <w:pPr>
      <w:keepNext/>
      <w:keepLines/>
      <w:spacing w:before="40" w:line="259" w:lineRule="auto"/>
      <w:jc w:val="both"/>
      <w:outlineLvl w:val="1"/>
    </w:pPr>
    <w:rPr>
      <w:rFonts w:asciiTheme="majorBidi" w:eastAsiaTheme="majorEastAsia" w:hAnsiTheme="majorBidi" w:cstheme="majorBidi"/>
      <w:b/>
      <w:noProof/>
      <w:color w:val="000000" w:themeColor="text1"/>
      <w:sz w:val="26"/>
      <w:szCs w:val="26"/>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46F"/>
    <w:rPr>
      <w:rFonts w:ascii="Times New Roman" w:eastAsiaTheme="majorEastAsia" w:hAnsi="Times New Roman" w:cstheme="majorBidi"/>
      <w:b/>
      <w:color w:val="000000" w:themeColor="text1"/>
      <w:sz w:val="32"/>
      <w:szCs w:val="32"/>
      <w:u w:val="single"/>
      <w:lang w:val="en-GB"/>
    </w:rPr>
  </w:style>
  <w:style w:type="character" w:customStyle="1" w:styleId="Heading2Char">
    <w:name w:val="Heading 2 Char"/>
    <w:basedOn w:val="DefaultParagraphFont"/>
    <w:link w:val="Heading2"/>
    <w:uiPriority w:val="9"/>
    <w:semiHidden/>
    <w:rsid w:val="00C7446F"/>
    <w:rPr>
      <w:rFonts w:asciiTheme="majorBidi" w:eastAsiaTheme="majorEastAsia" w:hAnsiTheme="majorBidi" w:cstheme="majorBidi"/>
      <w:b/>
      <w:color w:val="000000" w:themeColor="text1"/>
      <w:sz w:val="26"/>
      <w:szCs w:val="26"/>
      <w:u w:val="single"/>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Pages>
  <Words>1144</Words>
  <Characters>6521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Writing Star</dc:creator>
  <cp:keywords/>
  <dc:description/>
  <cp:lastModifiedBy>Writing Star</cp:lastModifiedBy>
  <cp:revision>8</cp:revision>
  <dcterms:created xsi:type="dcterms:W3CDTF">2022-11-10T22:19:00Z</dcterms:created>
  <dcterms:modified xsi:type="dcterms:W3CDTF">2022-11-11T00:31:00Z</dcterms:modified>
</cp:coreProperties>
</file>