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E567A" w:rsidRDefault="003D225A" w:rsidP="00281CB1">
      <w:pPr>
        <w:pStyle w:val="Title"/>
        <w:jc w:val="center"/>
        <w:outlineLvl w:val="0"/>
        <w:rPr>
          <w:rFonts w:ascii="Times New Roman" w:hAnsi="Times New Roman" w:cs="Times New Roman"/>
          <w:sz w:val="44"/>
        </w:rPr>
      </w:pPr>
      <w:r w:rsidRPr="003D225A">
        <w:rPr>
          <w:rFonts w:ascii="Times New Roman" w:hAnsi="Times New Roman" w:cs="Times New Roman"/>
          <w:sz w:val="44"/>
        </w:rPr>
        <w:t>Scholarly Reply Essay</w:t>
      </w:r>
    </w:p>
    <w:p w:rsidR="003D225A" w:rsidRPr="003D225A" w:rsidRDefault="003D225A" w:rsidP="003D225A"/>
    <w:p w:rsidR="003D225A" w:rsidRDefault="003D225A" w:rsidP="003D225A">
      <w:pPr>
        <w:rPr>
          <w:rFonts w:ascii="Times New Roman" w:hAnsi="Times New Roman" w:cs="Times New Roman"/>
          <w:sz w:val="24"/>
          <w:szCs w:val="24"/>
        </w:rPr>
      </w:pPr>
      <w:r w:rsidRPr="006C24B2">
        <w:rPr>
          <w:rFonts w:ascii="Times New Roman" w:hAnsi="Times New Roman" w:cs="Times New Roman"/>
          <w:sz w:val="24"/>
          <w:szCs w:val="24"/>
        </w:rPr>
        <w:t xml:space="preserve">My chosen article for this essay is ‘When Push Comes to Shove: What Was the “Othismos” of Hoplite Combat?’; it was written by Christopher A. Matthew and published in the </w:t>
      </w:r>
      <w:r w:rsidRPr="006C24B2">
        <w:rPr>
          <w:rFonts w:ascii="Times New Roman" w:hAnsi="Times New Roman" w:cs="Times New Roman"/>
          <w:i/>
          <w:sz w:val="24"/>
          <w:szCs w:val="24"/>
        </w:rPr>
        <w:t xml:space="preserve">Historia Zeitschrift für Alte Geschichte. </w:t>
      </w:r>
      <w:r w:rsidRPr="006C24B2">
        <w:rPr>
          <w:rFonts w:ascii="Times New Roman" w:hAnsi="Times New Roman" w:cs="Times New Roman"/>
          <w:sz w:val="24"/>
          <w:szCs w:val="24"/>
        </w:rPr>
        <w:t>His article revolves around the heavily disputed topic of the interpretation and definition of the word ‘</w:t>
      </w:r>
      <w:r w:rsidRPr="006C24B2">
        <w:rPr>
          <w:rFonts w:ascii="Times New Roman" w:hAnsi="Times New Roman" w:cs="Times New Roman"/>
          <w:i/>
          <w:sz w:val="24"/>
          <w:szCs w:val="24"/>
        </w:rPr>
        <w:t>Othismos</w:t>
      </w:r>
      <w:r w:rsidRPr="006C24B2">
        <w:rPr>
          <w:rFonts w:ascii="Times New Roman" w:hAnsi="Times New Roman" w:cs="Times New Roman"/>
          <w:sz w:val="24"/>
          <w:szCs w:val="24"/>
        </w:rPr>
        <w:t>’</w:t>
      </w:r>
      <w:r w:rsidR="00782281" w:rsidRPr="006C24B2">
        <w:rPr>
          <w:rFonts w:ascii="Times New Roman" w:hAnsi="Times New Roman" w:cs="Times New Roman"/>
          <w:sz w:val="24"/>
          <w:szCs w:val="24"/>
        </w:rPr>
        <w:t xml:space="preserve">. </w:t>
      </w:r>
      <w:r w:rsidR="00616029" w:rsidRPr="006C24B2">
        <w:rPr>
          <w:rFonts w:ascii="Times New Roman" w:hAnsi="Times New Roman" w:cs="Times New Roman"/>
          <w:sz w:val="24"/>
          <w:szCs w:val="24"/>
        </w:rPr>
        <w:t xml:space="preserve">Matthew goes as far as to state that it is </w:t>
      </w:r>
      <w:r w:rsidR="00616029" w:rsidRPr="006C24B2">
        <w:rPr>
          <w:rFonts w:ascii="Times New Roman" w:hAnsi="Times New Roman" w:cs="Times New Roman"/>
          <w:i/>
          <w:sz w:val="24"/>
          <w:szCs w:val="24"/>
        </w:rPr>
        <w:t>“the most disputed aspect of any relating to ancient warfare.”</w:t>
      </w:r>
      <w:r w:rsidR="0094701F" w:rsidRPr="006C24B2">
        <w:rPr>
          <w:rFonts w:ascii="Times New Roman" w:hAnsi="Times New Roman" w:cs="Times New Roman"/>
          <w:i/>
          <w:sz w:val="24"/>
          <w:szCs w:val="24"/>
        </w:rPr>
        <w:t xml:space="preserve">; </w:t>
      </w:r>
      <w:r w:rsidR="0094701F" w:rsidRPr="006C24B2">
        <w:rPr>
          <w:rFonts w:ascii="Times New Roman" w:hAnsi="Times New Roman" w:cs="Times New Roman"/>
          <w:sz w:val="24"/>
          <w:szCs w:val="24"/>
        </w:rPr>
        <w:t xml:space="preserve">a disputed topic separated primarily into two </w:t>
      </w:r>
      <w:r w:rsidR="00D06F29">
        <w:rPr>
          <w:rFonts w:ascii="Times New Roman" w:hAnsi="Times New Roman" w:cs="Times New Roman"/>
          <w:sz w:val="24"/>
          <w:szCs w:val="24"/>
        </w:rPr>
        <w:t>groups</w:t>
      </w:r>
      <w:r w:rsidR="0094701F" w:rsidRPr="006C24B2">
        <w:rPr>
          <w:rFonts w:ascii="Times New Roman" w:hAnsi="Times New Roman" w:cs="Times New Roman"/>
          <w:sz w:val="24"/>
          <w:szCs w:val="24"/>
        </w:rPr>
        <w:t xml:space="preserve"> supporting either a literal or figurative interpretation of the term.</w:t>
      </w:r>
      <w:r w:rsidR="00616029" w:rsidRPr="006C24B2">
        <w:rPr>
          <w:rStyle w:val="FootnoteReference"/>
          <w:rFonts w:ascii="Times New Roman" w:hAnsi="Times New Roman" w:cs="Times New Roman"/>
          <w:sz w:val="24"/>
          <w:szCs w:val="24"/>
        </w:rPr>
        <w:footnoteReference w:id="1"/>
      </w:r>
      <w:r w:rsidR="008D35DF" w:rsidRPr="006C24B2">
        <w:rPr>
          <w:rFonts w:ascii="Times New Roman" w:hAnsi="Times New Roman" w:cs="Times New Roman"/>
          <w:sz w:val="24"/>
          <w:szCs w:val="24"/>
        </w:rPr>
        <w:t xml:space="preserve"> </w:t>
      </w:r>
      <w:r w:rsidR="0094701F" w:rsidRPr="006C24B2">
        <w:rPr>
          <w:rFonts w:ascii="Times New Roman" w:hAnsi="Times New Roman" w:cs="Times New Roman"/>
          <w:sz w:val="24"/>
          <w:szCs w:val="24"/>
        </w:rPr>
        <w:t xml:space="preserve">Matthew concludes in his article that neither interpretation of the term is completely correct due to hoplite warfare being varied and dynamic; </w:t>
      </w:r>
      <w:r w:rsidR="0065362F" w:rsidRPr="006C24B2">
        <w:rPr>
          <w:rFonts w:ascii="Times New Roman" w:hAnsi="Times New Roman" w:cs="Times New Roman"/>
          <w:sz w:val="24"/>
          <w:szCs w:val="24"/>
        </w:rPr>
        <w:t>therefore,</w:t>
      </w:r>
      <w:r w:rsidR="0094701F" w:rsidRPr="006C24B2">
        <w:rPr>
          <w:rFonts w:ascii="Times New Roman" w:hAnsi="Times New Roman" w:cs="Times New Roman"/>
          <w:sz w:val="24"/>
          <w:szCs w:val="24"/>
        </w:rPr>
        <w:t xml:space="preserve"> being situationally dependent.</w:t>
      </w:r>
      <w:r w:rsidR="0094701F" w:rsidRPr="006C24B2">
        <w:rPr>
          <w:rStyle w:val="FootnoteReference"/>
          <w:rFonts w:ascii="Times New Roman" w:hAnsi="Times New Roman" w:cs="Times New Roman"/>
          <w:sz w:val="24"/>
          <w:szCs w:val="24"/>
        </w:rPr>
        <w:footnoteReference w:id="2"/>
      </w:r>
      <w:r w:rsidR="0094701F" w:rsidRPr="006C24B2">
        <w:rPr>
          <w:rFonts w:ascii="Times New Roman" w:hAnsi="Times New Roman" w:cs="Times New Roman"/>
          <w:sz w:val="24"/>
          <w:szCs w:val="24"/>
        </w:rPr>
        <w:t xml:space="preserve"> </w:t>
      </w:r>
      <w:r w:rsidR="00AF0F8F" w:rsidRPr="006C24B2">
        <w:rPr>
          <w:rFonts w:ascii="Times New Roman" w:hAnsi="Times New Roman" w:cs="Times New Roman"/>
          <w:sz w:val="24"/>
          <w:szCs w:val="24"/>
        </w:rPr>
        <w:t xml:space="preserve">This is a view that </w:t>
      </w:r>
      <w:r w:rsidR="005F2D31" w:rsidRPr="006C24B2">
        <w:rPr>
          <w:rFonts w:ascii="Times New Roman" w:hAnsi="Times New Roman" w:cs="Times New Roman"/>
          <w:sz w:val="24"/>
          <w:szCs w:val="24"/>
        </w:rPr>
        <w:t xml:space="preserve">can be called into question; during this essay it is my intention to provide evidence to show that the evidence available relating to the topic of the </w:t>
      </w:r>
      <w:r w:rsidR="005F2D31" w:rsidRPr="006C24B2">
        <w:rPr>
          <w:rFonts w:ascii="Times New Roman" w:hAnsi="Times New Roman" w:cs="Times New Roman"/>
          <w:i/>
          <w:sz w:val="24"/>
          <w:szCs w:val="24"/>
        </w:rPr>
        <w:t>‘Othismos’</w:t>
      </w:r>
      <w:r w:rsidR="005F2D31" w:rsidRPr="006C24B2">
        <w:rPr>
          <w:rFonts w:ascii="Times New Roman" w:hAnsi="Times New Roman" w:cs="Times New Roman"/>
          <w:sz w:val="24"/>
          <w:szCs w:val="24"/>
        </w:rPr>
        <w:t xml:space="preserve"> </w:t>
      </w:r>
      <w:r w:rsidR="00396BB5" w:rsidRPr="006C24B2">
        <w:rPr>
          <w:rFonts w:ascii="Times New Roman" w:hAnsi="Times New Roman" w:cs="Times New Roman"/>
          <w:sz w:val="24"/>
          <w:szCs w:val="24"/>
        </w:rPr>
        <w:t>is more supportive of a figurative interpretation of the ‘</w:t>
      </w:r>
      <w:r w:rsidR="00396BB5" w:rsidRPr="006C24B2">
        <w:rPr>
          <w:rFonts w:ascii="Times New Roman" w:hAnsi="Times New Roman" w:cs="Times New Roman"/>
          <w:i/>
          <w:sz w:val="24"/>
          <w:szCs w:val="24"/>
        </w:rPr>
        <w:t>Othismos</w:t>
      </w:r>
      <w:r w:rsidR="00396BB5" w:rsidRPr="006C24B2">
        <w:rPr>
          <w:rFonts w:ascii="Times New Roman" w:hAnsi="Times New Roman" w:cs="Times New Roman"/>
          <w:sz w:val="24"/>
          <w:szCs w:val="24"/>
        </w:rPr>
        <w:t xml:space="preserve">´ rather than </w:t>
      </w:r>
      <w:r w:rsidR="004B3A81" w:rsidRPr="006C24B2">
        <w:rPr>
          <w:rFonts w:ascii="Times New Roman" w:hAnsi="Times New Roman" w:cs="Times New Roman"/>
          <w:sz w:val="24"/>
          <w:szCs w:val="24"/>
        </w:rPr>
        <w:t xml:space="preserve">the literal interpretation. </w:t>
      </w:r>
      <w:r w:rsidR="0061267A" w:rsidRPr="006C24B2">
        <w:rPr>
          <w:rFonts w:ascii="Times New Roman" w:hAnsi="Times New Roman" w:cs="Times New Roman"/>
          <w:sz w:val="24"/>
          <w:szCs w:val="24"/>
        </w:rPr>
        <w:t>This is an aim I will achieve by first summarizing the arguments and evidence used by Matthews</w:t>
      </w:r>
      <w:r w:rsidR="009B033D" w:rsidRPr="006C24B2">
        <w:rPr>
          <w:rFonts w:ascii="Times New Roman" w:hAnsi="Times New Roman" w:cs="Times New Roman"/>
          <w:sz w:val="24"/>
          <w:szCs w:val="24"/>
        </w:rPr>
        <w:t xml:space="preserve"> in his article; </w:t>
      </w:r>
      <w:r w:rsidR="009C5692" w:rsidRPr="006C24B2">
        <w:rPr>
          <w:rFonts w:ascii="Times New Roman" w:hAnsi="Times New Roman" w:cs="Times New Roman"/>
          <w:sz w:val="24"/>
          <w:szCs w:val="24"/>
        </w:rPr>
        <w:t xml:space="preserve">secondly, by presenting my </w:t>
      </w:r>
      <w:r w:rsidR="009B033D" w:rsidRPr="006C24B2">
        <w:rPr>
          <w:rFonts w:ascii="Times New Roman" w:hAnsi="Times New Roman" w:cs="Times New Roman"/>
          <w:sz w:val="24"/>
          <w:szCs w:val="24"/>
        </w:rPr>
        <w:t xml:space="preserve">counter-arguments to </w:t>
      </w:r>
      <w:r w:rsidR="006C24B2" w:rsidRPr="006C24B2">
        <w:rPr>
          <w:rFonts w:ascii="Times New Roman" w:hAnsi="Times New Roman" w:cs="Times New Roman"/>
          <w:sz w:val="24"/>
          <w:szCs w:val="24"/>
        </w:rPr>
        <w:t xml:space="preserve">certain examples he has used and finally, show </w:t>
      </w:r>
      <w:r w:rsidR="009C5692" w:rsidRPr="006C24B2">
        <w:rPr>
          <w:rFonts w:ascii="Times New Roman" w:hAnsi="Times New Roman" w:cs="Times New Roman"/>
          <w:sz w:val="24"/>
          <w:szCs w:val="24"/>
        </w:rPr>
        <w:t xml:space="preserve">evidence </w:t>
      </w:r>
      <w:r w:rsidR="006C24B2" w:rsidRPr="006C24B2">
        <w:rPr>
          <w:rFonts w:ascii="Times New Roman" w:hAnsi="Times New Roman" w:cs="Times New Roman"/>
          <w:sz w:val="24"/>
          <w:szCs w:val="24"/>
        </w:rPr>
        <w:t>that suggests</w:t>
      </w:r>
      <w:r w:rsidR="009C5692" w:rsidRPr="006C24B2">
        <w:rPr>
          <w:rFonts w:ascii="Times New Roman" w:hAnsi="Times New Roman" w:cs="Times New Roman"/>
          <w:sz w:val="24"/>
          <w:szCs w:val="24"/>
        </w:rPr>
        <w:t xml:space="preserve"> a closer connection between the ‘</w:t>
      </w:r>
      <w:r w:rsidR="009C5692" w:rsidRPr="006C24B2">
        <w:rPr>
          <w:rFonts w:ascii="Times New Roman" w:hAnsi="Times New Roman" w:cs="Times New Roman"/>
          <w:i/>
          <w:sz w:val="24"/>
          <w:szCs w:val="24"/>
        </w:rPr>
        <w:t>Othismos</w:t>
      </w:r>
      <w:r w:rsidR="009C5692" w:rsidRPr="006C24B2">
        <w:rPr>
          <w:rFonts w:ascii="Times New Roman" w:hAnsi="Times New Roman" w:cs="Times New Roman"/>
          <w:sz w:val="24"/>
          <w:szCs w:val="24"/>
        </w:rPr>
        <w:t>’ and its figurative interpretation.</w:t>
      </w:r>
    </w:p>
    <w:p w:rsidR="00A84113" w:rsidRDefault="006C24B2" w:rsidP="003D225A">
      <w:pPr>
        <w:rPr>
          <w:rFonts w:ascii="Times New Roman" w:hAnsi="Times New Roman" w:cs="Times New Roman"/>
          <w:sz w:val="24"/>
          <w:szCs w:val="24"/>
        </w:rPr>
      </w:pPr>
      <w:r>
        <w:rPr>
          <w:rFonts w:ascii="Times New Roman" w:hAnsi="Times New Roman" w:cs="Times New Roman"/>
          <w:sz w:val="24"/>
          <w:szCs w:val="24"/>
        </w:rPr>
        <w:t>As previously stated, the debate Matthews addresses in his article surround the ‘</w:t>
      </w:r>
      <w:r>
        <w:rPr>
          <w:rFonts w:ascii="Times New Roman" w:hAnsi="Times New Roman" w:cs="Times New Roman"/>
          <w:i/>
          <w:sz w:val="24"/>
          <w:szCs w:val="24"/>
        </w:rPr>
        <w:t>Othismos</w:t>
      </w:r>
      <w:r>
        <w:rPr>
          <w:rFonts w:ascii="Times New Roman" w:hAnsi="Times New Roman" w:cs="Times New Roman"/>
          <w:sz w:val="24"/>
          <w:szCs w:val="24"/>
        </w:rPr>
        <w:t>’. He explains that there are two primary groups of scholars providing an insight into how the term should be interpreted; and as a result of this, there are also two primary viewpoints</w:t>
      </w:r>
      <w:r w:rsidR="00D06F29">
        <w:rPr>
          <w:rFonts w:ascii="Times New Roman" w:hAnsi="Times New Roman" w:cs="Times New Roman"/>
          <w:sz w:val="24"/>
          <w:szCs w:val="24"/>
        </w:rPr>
        <w:t xml:space="preserve"> regarding the interpretation of</w:t>
      </w:r>
      <w:r>
        <w:rPr>
          <w:rFonts w:ascii="Times New Roman" w:hAnsi="Times New Roman" w:cs="Times New Roman"/>
          <w:sz w:val="24"/>
          <w:szCs w:val="24"/>
        </w:rPr>
        <w:t xml:space="preserve"> how hoplite warfare </w:t>
      </w:r>
      <w:r w:rsidR="00D06F29">
        <w:rPr>
          <w:rFonts w:ascii="Times New Roman" w:hAnsi="Times New Roman" w:cs="Times New Roman"/>
          <w:sz w:val="24"/>
          <w:szCs w:val="24"/>
        </w:rPr>
        <w:t>commenced in the Greek world. Matthews summarises both sides of these arguments. The first group of scholars support a primarily literal interpretation of the ‘</w:t>
      </w:r>
      <w:r w:rsidR="00D06F29">
        <w:rPr>
          <w:rFonts w:ascii="Times New Roman" w:hAnsi="Times New Roman" w:cs="Times New Roman"/>
          <w:i/>
          <w:sz w:val="24"/>
          <w:szCs w:val="24"/>
        </w:rPr>
        <w:t>Othismos’</w:t>
      </w:r>
      <w:r w:rsidR="00DC6300">
        <w:rPr>
          <w:rFonts w:ascii="Times New Roman" w:hAnsi="Times New Roman" w:cs="Times New Roman"/>
          <w:i/>
          <w:sz w:val="24"/>
          <w:szCs w:val="24"/>
        </w:rPr>
        <w:t xml:space="preserve">, </w:t>
      </w:r>
      <w:r w:rsidR="00DC6300">
        <w:rPr>
          <w:rFonts w:ascii="Times New Roman" w:hAnsi="Times New Roman" w:cs="Times New Roman"/>
          <w:sz w:val="24"/>
          <w:szCs w:val="24"/>
        </w:rPr>
        <w:t>often referred to as the literal model or the orthodox view.</w:t>
      </w:r>
      <w:r w:rsidR="00DC6300">
        <w:rPr>
          <w:rStyle w:val="FootnoteReference"/>
          <w:rFonts w:ascii="Times New Roman" w:hAnsi="Times New Roman" w:cs="Times New Roman"/>
          <w:sz w:val="24"/>
          <w:szCs w:val="24"/>
        </w:rPr>
        <w:footnoteReference w:id="3"/>
      </w:r>
      <w:r w:rsidR="00F016C3">
        <w:rPr>
          <w:rFonts w:ascii="Times New Roman" w:hAnsi="Times New Roman" w:cs="Times New Roman"/>
          <w:sz w:val="24"/>
          <w:szCs w:val="24"/>
        </w:rPr>
        <w:t xml:space="preserve"> Scholarly support for this interpretation of the ‘</w:t>
      </w:r>
      <w:r w:rsidR="00F016C3">
        <w:rPr>
          <w:rFonts w:ascii="Times New Roman" w:hAnsi="Times New Roman" w:cs="Times New Roman"/>
          <w:i/>
          <w:sz w:val="24"/>
          <w:szCs w:val="24"/>
        </w:rPr>
        <w:t xml:space="preserve">othismos’ </w:t>
      </w:r>
      <w:r w:rsidR="00A72140">
        <w:rPr>
          <w:rFonts w:ascii="Times New Roman" w:hAnsi="Times New Roman" w:cs="Times New Roman"/>
          <w:sz w:val="24"/>
          <w:szCs w:val="24"/>
        </w:rPr>
        <w:t xml:space="preserve">present the argument that the pushing context of the term should be taken literally. As pointed out by Matthew, there are multiple examples in ancient texts that could be interpreted to support this. Scholars </w:t>
      </w:r>
      <w:r w:rsidR="00E308B2">
        <w:rPr>
          <w:rFonts w:ascii="Times New Roman" w:hAnsi="Times New Roman" w:cs="Times New Roman"/>
          <w:sz w:val="24"/>
          <w:szCs w:val="24"/>
        </w:rPr>
        <w:t>within this group state, according to Matthew, that hoplite warfare was conducted through a violent and physical collision of the hoplite lines with the overall aim of using the momentum from the clash to break through the opposing forces lines.</w:t>
      </w:r>
      <w:r w:rsidR="00E308B2">
        <w:rPr>
          <w:rStyle w:val="FootnoteReference"/>
          <w:rFonts w:ascii="Times New Roman" w:hAnsi="Times New Roman" w:cs="Times New Roman"/>
          <w:sz w:val="24"/>
          <w:szCs w:val="24"/>
        </w:rPr>
        <w:footnoteReference w:id="4"/>
      </w:r>
      <w:r w:rsidR="00E308B2">
        <w:rPr>
          <w:rFonts w:ascii="Times New Roman" w:hAnsi="Times New Roman" w:cs="Times New Roman"/>
          <w:sz w:val="24"/>
          <w:szCs w:val="24"/>
        </w:rPr>
        <w:t xml:space="preserve"> </w:t>
      </w:r>
      <w:r w:rsidR="00F558D2">
        <w:rPr>
          <w:rFonts w:ascii="Times New Roman" w:hAnsi="Times New Roman" w:cs="Times New Roman"/>
          <w:sz w:val="24"/>
          <w:szCs w:val="24"/>
        </w:rPr>
        <w:t xml:space="preserve">This appears to be a view that Matthew doesn’t overly appear to support in this article, yet he doesn’t align with the opposing group. </w:t>
      </w:r>
      <w:r w:rsidR="00415FA7">
        <w:rPr>
          <w:rFonts w:ascii="Times New Roman" w:hAnsi="Times New Roman" w:cs="Times New Roman"/>
          <w:sz w:val="24"/>
          <w:szCs w:val="24"/>
        </w:rPr>
        <w:t xml:space="preserve">The second group of scholars </w:t>
      </w:r>
      <w:r w:rsidR="007B1BD2">
        <w:rPr>
          <w:rFonts w:ascii="Times New Roman" w:hAnsi="Times New Roman" w:cs="Times New Roman"/>
          <w:sz w:val="24"/>
          <w:szCs w:val="24"/>
        </w:rPr>
        <w:t>support a primarily figurative interpretation of the ‘</w:t>
      </w:r>
      <w:r w:rsidR="007B1BD2">
        <w:rPr>
          <w:rFonts w:ascii="Times New Roman" w:hAnsi="Times New Roman" w:cs="Times New Roman"/>
          <w:i/>
          <w:sz w:val="24"/>
          <w:szCs w:val="24"/>
        </w:rPr>
        <w:t>othismos</w:t>
      </w:r>
      <w:r w:rsidR="007B1BD2">
        <w:rPr>
          <w:rFonts w:ascii="Times New Roman" w:hAnsi="Times New Roman" w:cs="Times New Roman"/>
          <w:sz w:val="24"/>
          <w:szCs w:val="24"/>
        </w:rPr>
        <w:t>’</w:t>
      </w:r>
      <w:r w:rsidR="00A50E03">
        <w:rPr>
          <w:rFonts w:ascii="Times New Roman" w:hAnsi="Times New Roman" w:cs="Times New Roman"/>
          <w:sz w:val="24"/>
          <w:szCs w:val="24"/>
        </w:rPr>
        <w:t>; this view is known as the figurative model or the heretical view.</w:t>
      </w:r>
      <w:r w:rsidR="00A50E03">
        <w:rPr>
          <w:rStyle w:val="FootnoteReference"/>
          <w:rFonts w:ascii="Times New Roman" w:hAnsi="Times New Roman" w:cs="Times New Roman"/>
          <w:sz w:val="24"/>
          <w:szCs w:val="24"/>
        </w:rPr>
        <w:footnoteReference w:id="5"/>
      </w:r>
      <w:r w:rsidR="00EA54A8">
        <w:rPr>
          <w:rFonts w:ascii="Times New Roman" w:hAnsi="Times New Roman" w:cs="Times New Roman"/>
          <w:sz w:val="24"/>
          <w:szCs w:val="24"/>
        </w:rPr>
        <w:t xml:space="preserve"> In summary, according to Matthew, scholars in support of this view believe that the</w:t>
      </w:r>
      <w:r w:rsidR="001814F8">
        <w:rPr>
          <w:rFonts w:ascii="Times New Roman" w:hAnsi="Times New Roman" w:cs="Times New Roman"/>
          <w:sz w:val="24"/>
          <w:szCs w:val="24"/>
        </w:rPr>
        <w:t xml:space="preserve"> contextual definition of the</w:t>
      </w:r>
      <w:r w:rsidR="00EA54A8">
        <w:rPr>
          <w:rFonts w:ascii="Times New Roman" w:hAnsi="Times New Roman" w:cs="Times New Roman"/>
          <w:sz w:val="24"/>
          <w:szCs w:val="24"/>
        </w:rPr>
        <w:t xml:space="preserve"> </w:t>
      </w:r>
      <w:r w:rsidR="008A2ACF">
        <w:rPr>
          <w:rFonts w:ascii="Times New Roman" w:hAnsi="Times New Roman" w:cs="Times New Roman"/>
          <w:i/>
          <w:sz w:val="24"/>
          <w:szCs w:val="24"/>
        </w:rPr>
        <w:t xml:space="preserve">‘othismos’ </w:t>
      </w:r>
      <w:r w:rsidR="009D5C60">
        <w:rPr>
          <w:rFonts w:ascii="Times New Roman" w:hAnsi="Times New Roman" w:cs="Times New Roman"/>
          <w:sz w:val="24"/>
          <w:szCs w:val="24"/>
        </w:rPr>
        <w:t>as pushing should be viewed as metaphorical.</w:t>
      </w:r>
      <w:r w:rsidR="009D5C60">
        <w:rPr>
          <w:rStyle w:val="FootnoteReference"/>
          <w:rFonts w:ascii="Times New Roman" w:hAnsi="Times New Roman" w:cs="Times New Roman"/>
          <w:sz w:val="24"/>
          <w:szCs w:val="24"/>
        </w:rPr>
        <w:footnoteReference w:id="6"/>
      </w:r>
      <w:r w:rsidR="00F500A1">
        <w:rPr>
          <w:rFonts w:ascii="Times New Roman" w:hAnsi="Times New Roman" w:cs="Times New Roman"/>
          <w:sz w:val="24"/>
          <w:szCs w:val="24"/>
        </w:rPr>
        <w:t xml:space="preserve"> As a result of this they present an almost opposite argument for the conduct of hoplite warfare. Scholars in this group state that</w:t>
      </w:r>
      <w:r w:rsidR="00B478E4">
        <w:rPr>
          <w:rFonts w:ascii="Times New Roman" w:hAnsi="Times New Roman" w:cs="Times New Roman"/>
          <w:sz w:val="24"/>
          <w:szCs w:val="24"/>
        </w:rPr>
        <w:t xml:space="preserve">, </w:t>
      </w:r>
      <w:r w:rsidR="00F500A1">
        <w:rPr>
          <w:rFonts w:ascii="Times New Roman" w:hAnsi="Times New Roman" w:cs="Times New Roman"/>
          <w:sz w:val="24"/>
          <w:szCs w:val="24"/>
        </w:rPr>
        <w:t xml:space="preserve">rather than up and close physical conflict, hoplite warfare was conducted at a distance and didn’t rely on an initial </w:t>
      </w:r>
      <w:r w:rsidR="00B478E4">
        <w:rPr>
          <w:rFonts w:ascii="Times New Roman" w:hAnsi="Times New Roman" w:cs="Times New Roman"/>
          <w:sz w:val="24"/>
          <w:szCs w:val="24"/>
        </w:rPr>
        <w:t xml:space="preserve">collision of the hoplite formations; </w:t>
      </w:r>
      <w:r w:rsidR="007836BD">
        <w:rPr>
          <w:rFonts w:ascii="Times New Roman" w:hAnsi="Times New Roman" w:cs="Times New Roman"/>
          <w:sz w:val="24"/>
          <w:szCs w:val="24"/>
        </w:rPr>
        <w:lastRenderedPageBreak/>
        <w:t xml:space="preserve">furthermore, </w:t>
      </w:r>
      <w:r w:rsidR="006C25D1">
        <w:rPr>
          <w:rFonts w:ascii="Times New Roman" w:hAnsi="Times New Roman" w:cs="Times New Roman"/>
          <w:sz w:val="24"/>
          <w:szCs w:val="24"/>
        </w:rPr>
        <w:t xml:space="preserve">it is suggested by scholars in this group that </w:t>
      </w:r>
      <w:r w:rsidR="007836BD">
        <w:rPr>
          <w:rFonts w:ascii="Times New Roman" w:hAnsi="Times New Roman" w:cs="Times New Roman"/>
          <w:sz w:val="24"/>
          <w:szCs w:val="24"/>
        </w:rPr>
        <w:t xml:space="preserve">references </w:t>
      </w:r>
      <w:r w:rsidR="006C25D1">
        <w:rPr>
          <w:rFonts w:ascii="Times New Roman" w:hAnsi="Times New Roman" w:cs="Times New Roman"/>
          <w:sz w:val="24"/>
          <w:szCs w:val="24"/>
        </w:rPr>
        <w:t>made by ancient scholars to the ‘</w:t>
      </w:r>
      <w:r w:rsidR="00126B49">
        <w:rPr>
          <w:rFonts w:ascii="Times New Roman" w:hAnsi="Times New Roman" w:cs="Times New Roman"/>
          <w:i/>
          <w:sz w:val="24"/>
          <w:szCs w:val="24"/>
        </w:rPr>
        <w:t xml:space="preserve">othismos’ </w:t>
      </w:r>
      <w:r w:rsidR="00126B49">
        <w:rPr>
          <w:rFonts w:ascii="Times New Roman" w:hAnsi="Times New Roman" w:cs="Times New Roman"/>
          <w:sz w:val="24"/>
          <w:szCs w:val="24"/>
        </w:rPr>
        <w:t xml:space="preserve">in the context of pushing are </w:t>
      </w:r>
      <w:r w:rsidR="007836BD">
        <w:rPr>
          <w:rFonts w:ascii="Times New Roman" w:hAnsi="Times New Roman" w:cs="Times New Roman"/>
          <w:sz w:val="24"/>
          <w:szCs w:val="24"/>
        </w:rPr>
        <w:t>actually refer to the concept of one side being forced from the field of battle.</w:t>
      </w:r>
      <w:r w:rsidR="007836BD">
        <w:rPr>
          <w:rStyle w:val="FootnoteReference"/>
          <w:rFonts w:ascii="Times New Roman" w:hAnsi="Times New Roman" w:cs="Times New Roman"/>
          <w:sz w:val="24"/>
          <w:szCs w:val="24"/>
        </w:rPr>
        <w:footnoteReference w:id="7"/>
      </w:r>
      <w:r w:rsidR="00126B49">
        <w:rPr>
          <w:rFonts w:ascii="Times New Roman" w:hAnsi="Times New Roman" w:cs="Times New Roman"/>
          <w:sz w:val="24"/>
          <w:szCs w:val="24"/>
        </w:rPr>
        <w:t xml:space="preserve"> </w:t>
      </w:r>
      <w:r w:rsidR="00DD4D74">
        <w:rPr>
          <w:rFonts w:ascii="Times New Roman" w:hAnsi="Times New Roman" w:cs="Times New Roman"/>
          <w:sz w:val="24"/>
          <w:szCs w:val="24"/>
        </w:rPr>
        <w:t>Matthews also makes reference to a final group of scholars that appear to present the equivalent of a hybrid argument referred to as final phase theory which states that hoplite warfare consisted of a combination of the two theories.</w:t>
      </w:r>
      <w:r w:rsidR="00DD4D74">
        <w:rPr>
          <w:rStyle w:val="FootnoteReference"/>
          <w:rFonts w:ascii="Times New Roman" w:hAnsi="Times New Roman" w:cs="Times New Roman"/>
          <w:sz w:val="24"/>
          <w:szCs w:val="24"/>
        </w:rPr>
        <w:footnoteReference w:id="8"/>
      </w:r>
      <w:r w:rsidR="00284766">
        <w:rPr>
          <w:rFonts w:ascii="Times New Roman" w:hAnsi="Times New Roman" w:cs="Times New Roman"/>
          <w:sz w:val="24"/>
          <w:szCs w:val="24"/>
        </w:rPr>
        <w:t xml:space="preserve"> </w:t>
      </w:r>
      <w:r w:rsidR="00D27AFA">
        <w:rPr>
          <w:rFonts w:ascii="Times New Roman" w:hAnsi="Times New Roman" w:cs="Times New Roman"/>
          <w:sz w:val="24"/>
          <w:szCs w:val="24"/>
        </w:rPr>
        <w:t>Matthew concludes his argument by appearing to remain on the metaphorical fence and not align with any group in particular whilst stating that the different views on hoplite warfare present the case that there isn’t a clear a comprehensive understanding of hoplite warfare and that it is most likely a case that hoplite warfare was conducted in a manner relative to both models on a situationally dependent basis.</w:t>
      </w:r>
      <w:r w:rsidR="00D27AFA">
        <w:rPr>
          <w:rStyle w:val="FootnoteReference"/>
          <w:rFonts w:ascii="Times New Roman" w:hAnsi="Times New Roman" w:cs="Times New Roman"/>
          <w:sz w:val="24"/>
          <w:szCs w:val="24"/>
        </w:rPr>
        <w:footnoteReference w:id="9"/>
      </w:r>
      <w:r w:rsidR="00D27AFA">
        <w:rPr>
          <w:rFonts w:ascii="Times New Roman" w:hAnsi="Times New Roman" w:cs="Times New Roman"/>
          <w:sz w:val="24"/>
          <w:szCs w:val="24"/>
        </w:rPr>
        <w:t xml:space="preserve"> </w:t>
      </w:r>
      <w:r w:rsidR="00D8348B">
        <w:rPr>
          <w:rFonts w:ascii="Times New Roman" w:hAnsi="Times New Roman" w:cs="Times New Roman"/>
          <w:sz w:val="24"/>
          <w:szCs w:val="24"/>
        </w:rPr>
        <w:t>In relation to the evidence that Matthew uses to present his viewpoint, he relies primarily on two forms of evidence. The first of which are literary examples of hoplite warfare, a large number of his examples are taken from Herodotus, Xenophon and Thucydides. The second primary form of evidence used by Matthew is a combination of archaeological reconstructions of the hoplite and the phalanx. Within the article, he separates these sections under the heading of the literary basis of the ‘</w:t>
      </w:r>
      <w:r w:rsidR="00D8348B">
        <w:rPr>
          <w:rFonts w:ascii="Times New Roman" w:hAnsi="Times New Roman" w:cs="Times New Roman"/>
          <w:i/>
          <w:sz w:val="24"/>
          <w:szCs w:val="24"/>
        </w:rPr>
        <w:t xml:space="preserve">othismos’ </w:t>
      </w:r>
      <w:r w:rsidR="00BF4C45">
        <w:rPr>
          <w:rFonts w:ascii="Times New Roman" w:hAnsi="Times New Roman" w:cs="Times New Roman"/>
          <w:sz w:val="24"/>
          <w:szCs w:val="24"/>
        </w:rPr>
        <w:t xml:space="preserve">and the physical basis of the </w:t>
      </w:r>
      <w:r w:rsidR="00BF4C45">
        <w:rPr>
          <w:rFonts w:ascii="Times New Roman" w:hAnsi="Times New Roman" w:cs="Times New Roman"/>
          <w:i/>
          <w:sz w:val="24"/>
          <w:szCs w:val="24"/>
        </w:rPr>
        <w:t>‘othismos</w:t>
      </w:r>
      <w:r w:rsidR="00BF4C45">
        <w:rPr>
          <w:rFonts w:ascii="Times New Roman" w:hAnsi="Times New Roman" w:cs="Times New Roman"/>
          <w:sz w:val="24"/>
          <w:szCs w:val="24"/>
        </w:rPr>
        <w:t>’.</w:t>
      </w:r>
      <w:r w:rsidR="00776824">
        <w:rPr>
          <w:rFonts w:ascii="Times New Roman" w:hAnsi="Times New Roman" w:cs="Times New Roman"/>
          <w:sz w:val="24"/>
          <w:szCs w:val="24"/>
        </w:rPr>
        <w:t xml:space="preserve"> Within the section on the physical basis of the ‘</w:t>
      </w:r>
      <w:r w:rsidR="00776824">
        <w:rPr>
          <w:rFonts w:ascii="Times New Roman" w:hAnsi="Times New Roman" w:cs="Times New Roman"/>
          <w:i/>
          <w:sz w:val="24"/>
          <w:szCs w:val="24"/>
        </w:rPr>
        <w:t>othismos</w:t>
      </w:r>
      <w:r w:rsidR="00776824">
        <w:rPr>
          <w:rFonts w:ascii="Times New Roman" w:hAnsi="Times New Roman" w:cs="Times New Roman"/>
          <w:sz w:val="24"/>
          <w:szCs w:val="24"/>
        </w:rPr>
        <w:t>’</w:t>
      </w:r>
      <w:r w:rsidR="00A84113">
        <w:rPr>
          <w:rFonts w:ascii="Times New Roman" w:hAnsi="Times New Roman" w:cs="Times New Roman"/>
          <w:sz w:val="24"/>
          <w:szCs w:val="24"/>
        </w:rPr>
        <w:t xml:space="preserve">, Matthew also refers to a number of iconographic examples of hoplite warfare. </w:t>
      </w:r>
    </w:p>
    <w:p w:rsidR="002A1769" w:rsidRDefault="00A84113" w:rsidP="003D225A">
      <w:pPr>
        <w:rPr>
          <w:rFonts w:ascii="Times New Roman" w:hAnsi="Times New Roman" w:cs="Times New Roman"/>
          <w:sz w:val="24"/>
          <w:szCs w:val="24"/>
        </w:rPr>
      </w:pPr>
      <w:r>
        <w:rPr>
          <w:rFonts w:ascii="Times New Roman" w:hAnsi="Times New Roman" w:cs="Times New Roman"/>
          <w:sz w:val="24"/>
          <w:szCs w:val="24"/>
        </w:rPr>
        <w:t>Before moving onto my argument showing a closer link to the figurative interpretation of the ‘</w:t>
      </w:r>
      <w:r>
        <w:rPr>
          <w:rFonts w:ascii="Times New Roman" w:hAnsi="Times New Roman" w:cs="Times New Roman"/>
          <w:i/>
          <w:sz w:val="24"/>
          <w:szCs w:val="24"/>
        </w:rPr>
        <w:t>othismos</w:t>
      </w:r>
      <w:r w:rsidR="00D703A8">
        <w:rPr>
          <w:rFonts w:ascii="Times New Roman" w:hAnsi="Times New Roman" w:cs="Times New Roman"/>
          <w:sz w:val="24"/>
          <w:szCs w:val="24"/>
        </w:rPr>
        <w:t xml:space="preserve">’, there are two main issues to be raised with the evidence used by Matthew. These issues being the use of poetry and of Homeric texts and images as evidence </w:t>
      </w:r>
      <w:r w:rsidR="00B24D8E">
        <w:rPr>
          <w:rFonts w:ascii="Times New Roman" w:hAnsi="Times New Roman" w:cs="Times New Roman"/>
          <w:sz w:val="24"/>
          <w:szCs w:val="24"/>
        </w:rPr>
        <w:t>in his argument.</w:t>
      </w:r>
      <w:r w:rsidR="00944459">
        <w:rPr>
          <w:rFonts w:ascii="Times New Roman" w:hAnsi="Times New Roman" w:cs="Times New Roman"/>
          <w:sz w:val="24"/>
          <w:szCs w:val="24"/>
        </w:rPr>
        <w:t xml:space="preserve"> In the case of poetry, Matthew uses the examples of Aristophanes and Tyrtaeus stating that it is likely the sections of their poetry that refer to hoplite warfare are </w:t>
      </w:r>
      <w:r w:rsidR="00946C35">
        <w:rPr>
          <w:rFonts w:ascii="Times New Roman" w:hAnsi="Times New Roman" w:cs="Times New Roman"/>
          <w:sz w:val="24"/>
          <w:szCs w:val="24"/>
        </w:rPr>
        <w:t xml:space="preserve">accurate as an </w:t>
      </w:r>
      <w:r w:rsidR="00094D45">
        <w:rPr>
          <w:rFonts w:ascii="Times New Roman" w:hAnsi="Times New Roman" w:cs="Times New Roman"/>
          <w:sz w:val="24"/>
          <w:szCs w:val="24"/>
        </w:rPr>
        <w:t xml:space="preserve">understanding of military concepts would have been common in the audience. </w:t>
      </w:r>
      <w:r w:rsidR="00094D45">
        <w:rPr>
          <w:rStyle w:val="FootnoteReference"/>
          <w:rFonts w:ascii="Times New Roman" w:hAnsi="Times New Roman" w:cs="Times New Roman"/>
          <w:sz w:val="24"/>
          <w:szCs w:val="24"/>
        </w:rPr>
        <w:footnoteReference w:id="10"/>
      </w:r>
      <w:r w:rsidR="00946C35">
        <w:rPr>
          <w:rFonts w:ascii="Times New Roman" w:hAnsi="Times New Roman" w:cs="Times New Roman"/>
          <w:sz w:val="24"/>
          <w:szCs w:val="24"/>
        </w:rPr>
        <w:t xml:space="preserve"> </w:t>
      </w:r>
      <w:r w:rsidR="004625AF">
        <w:rPr>
          <w:rFonts w:ascii="Times New Roman" w:hAnsi="Times New Roman" w:cs="Times New Roman"/>
          <w:sz w:val="24"/>
          <w:szCs w:val="24"/>
        </w:rPr>
        <w:t xml:space="preserve">This is a view shared by Van Wees, he states that most </w:t>
      </w:r>
      <w:r w:rsidR="006944D5">
        <w:rPr>
          <w:rFonts w:ascii="Times New Roman" w:hAnsi="Times New Roman" w:cs="Times New Roman"/>
          <w:sz w:val="24"/>
          <w:szCs w:val="24"/>
        </w:rPr>
        <w:t>Ar</w:t>
      </w:r>
      <w:r w:rsidR="004625AF">
        <w:rPr>
          <w:rFonts w:ascii="Times New Roman" w:hAnsi="Times New Roman" w:cs="Times New Roman"/>
          <w:sz w:val="24"/>
          <w:szCs w:val="24"/>
        </w:rPr>
        <w:t>chaic and Classical Greek autho</w:t>
      </w:r>
      <w:r w:rsidR="00960C00">
        <w:rPr>
          <w:rFonts w:ascii="Times New Roman" w:hAnsi="Times New Roman" w:cs="Times New Roman"/>
          <w:sz w:val="24"/>
          <w:szCs w:val="24"/>
        </w:rPr>
        <w:t>rs would have assumed their audiences to have had experience of combat.</w:t>
      </w:r>
      <w:r w:rsidR="00960C00">
        <w:rPr>
          <w:rStyle w:val="FootnoteReference"/>
          <w:rFonts w:ascii="Times New Roman" w:hAnsi="Times New Roman" w:cs="Times New Roman"/>
          <w:sz w:val="24"/>
          <w:szCs w:val="24"/>
        </w:rPr>
        <w:footnoteReference w:id="11"/>
      </w:r>
      <w:r w:rsidR="00896DD0">
        <w:rPr>
          <w:rFonts w:ascii="Times New Roman" w:hAnsi="Times New Roman" w:cs="Times New Roman"/>
          <w:sz w:val="24"/>
          <w:szCs w:val="24"/>
        </w:rPr>
        <w:t xml:space="preserve"> primary issue with using th</w:t>
      </w:r>
      <w:r w:rsidR="00F25398">
        <w:rPr>
          <w:rFonts w:ascii="Times New Roman" w:hAnsi="Times New Roman" w:cs="Times New Roman"/>
          <w:sz w:val="24"/>
          <w:szCs w:val="24"/>
        </w:rPr>
        <w:t>is argument as the basis for using poetry as evidence is th</w:t>
      </w:r>
      <w:r w:rsidR="003376B7">
        <w:rPr>
          <w:rFonts w:ascii="Times New Roman" w:hAnsi="Times New Roman" w:cs="Times New Roman"/>
          <w:sz w:val="24"/>
          <w:szCs w:val="24"/>
        </w:rPr>
        <w:t>at Matthew doesn’t appear to make consideration for the fact that poets are primarily writing to entertain</w:t>
      </w:r>
      <w:r w:rsidR="00F97250">
        <w:rPr>
          <w:rFonts w:ascii="Times New Roman" w:hAnsi="Times New Roman" w:cs="Times New Roman"/>
          <w:sz w:val="24"/>
          <w:szCs w:val="24"/>
        </w:rPr>
        <w:t xml:space="preserve"> so there is every chance that the elements of hoplite warfare that would be considered unpleasant could be glossed over or ignored</w:t>
      </w:r>
      <w:r w:rsidR="0023445D">
        <w:rPr>
          <w:rFonts w:ascii="Times New Roman" w:hAnsi="Times New Roman" w:cs="Times New Roman"/>
          <w:sz w:val="24"/>
          <w:szCs w:val="24"/>
        </w:rPr>
        <w:t>. Therefore, Matthews use of examples from poetry can be viewed as significantly flawed unless he has allowed for these considerations. In regards to Matthews use of Homeric texts,</w:t>
      </w:r>
      <w:r w:rsidR="00DE1504">
        <w:rPr>
          <w:rFonts w:ascii="Times New Roman" w:hAnsi="Times New Roman" w:cs="Times New Roman"/>
          <w:sz w:val="24"/>
          <w:szCs w:val="24"/>
        </w:rPr>
        <w:t xml:space="preserve"> </w:t>
      </w:r>
      <w:r w:rsidR="00281C22">
        <w:rPr>
          <w:rFonts w:ascii="Times New Roman" w:hAnsi="Times New Roman" w:cs="Times New Roman"/>
          <w:sz w:val="24"/>
          <w:szCs w:val="24"/>
        </w:rPr>
        <w:t>in the initial stages of his argument for the figurative interpretation of the ‘</w:t>
      </w:r>
      <w:r w:rsidR="00C04431">
        <w:rPr>
          <w:rFonts w:ascii="Times New Roman" w:hAnsi="Times New Roman" w:cs="Times New Roman"/>
          <w:i/>
          <w:sz w:val="24"/>
          <w:szCs w:val="24"/>
        </w:rPr>
        <w:t>othismos</w:t>
      </w:r>
      <w:r w:rsidR="00C04431">
        <w:rPr>
          <w:rFonts w:ascii="Times New Roman" w:hAnsi="Times New Roman" w:cs="Times New Roman"/>
          <w:sz w:val="24"/>
          <w:szCs w:val="24"/>
        </w:rPr>
        <w:t>’ he uses the example of the duel between Ajax and</w:t>
      </w:r>
      <w:r w:rsidR="00037E15">
        <w:rPr>
          <w:rFonts w:ascii="Times New Roman" w:hAnsi="Times New Roman" w:cs="Times New Roman"/>
          <w:sz w:val="24"/>
          <w:szCs w:val="24"/>
        </w:rPr>
        <w:t xml:space="preserve"> Hector </w:t>
      </w:r>
      <w:r w:rsidR="00C04431">
        <w:rPr>
          <w:rFonts w:ascii="Times New Roman" w:hAnsi="Times New Roman" w:cs="Times New Roman"/>
          <w:sz w:val="24"/>
          <w:szCs w:val="24"/>
        </w:rPr>
        <w:t xml:space="preserve">in book thirteen of the Iliad during which Ajax strikes the shield </w:t>
      </w:r>
      <w:r w:rsidR="00037E15">
        <w:rPr>
          <w:rFonts w:ascii="Times New Roman" w:hAnsi="Times New Roman" w:cs="Times New Roman"/>
          <w:sz w:val="24"/>
          <w:szCs w:val="24"/>
        </w:rPr>
        <w:t>of Hector thus pushing him back.</w:t>
      </w:r>
      <w:r w:rsidR="00037E15">
        <w:rPr>
          <w:rStyle w:val="FootnoteReference"/>
          <w:rFonts w:ascii="Times New Roman" w:hAnsi="Times New Roman" w:cs="Times New Roman"/>
          <w:sz w:val="24"/>
          <w:szCs w:val="24"/>
        </w:rPr>
        <w:footnoteReference w:id="12"/>
      </w:r>
      <w:r w:rsidR="00D36866">
        <w:rPr>
          <w:rFonts w:ascii="Times New Roman" w:hAnsi="Times New Roman" w:cs="Times New Roman"/>
          <w:sz w:val="24"/>
          <w:szCs w:val="24"/>
        </w:rPr>
        <w:t xml:space="preserve"> This is used by Matthew to show a situation in which the ‘</w:t>
      </w:r>
      <w:r w:rsidR="00D36866">
        <w:rPr>
          <w:rFonts w:ascii="Times New Roman" w:hAnsi="Times New Roman" w:cs="Times New Roman"/>
          <w:i/>
          <w:sz w:val="24"/>
          <w:szCs w:val="24"/>
        </w:rPr>
        <w:t>othismos</w:t>
      </w:r>
      <w:r w:rsidR="00D36866">
        <w:rPr>
          <w:rFonts w:ascii="Times New Roman" w:hAnsi="Times New Roman" w:cs="Times New Roman"/>
          <w:sz w:val="24"/>
          <w:szCs w:val="24"/>
        </w:rPr>
        <w:t>’ can be interpreted figuratively.</w:t>
      </w:r>
      <w:r w:rsidR="00D36866">
        <w:rPr>
          <w:rStyle w:val="FootnoteReference"/>
          <w:rFonts w:ascii="Times New Roman" w:hAnsi="Times New Roman" w:cs="Times New Roman"/>
          <w:sz w:val="24"/>
          <w:szCs w:val="24"/>
        </w:rPr>
        <w:footnoteReference w:id="13"/>
      </w:r>
      <w:r w:rsidR="002811A8">
        <w:rPr>
          <w:rFonts w:ascii="Times New Roman" w:hAnsi="Times New Roman" w:cs="Times New Roman"/>
          <w:sz w:val="24"/>
          <w:szCs w:val="24"/>
        </w:rPr>
        <w:t xml:space="preserve"> </w:t>
      </w:r>
      <w:r w:rsidR="00252802">
        <w:rPr>
          <w:rFonts w:ascii="Times New Roman" w:hAnsi="Times New Roman" w:cs="Times New Roman"/>
          <w:sz w:val="24"/>
          <w:szCs w:val="24"/>
        </w:rPr>
        <w:t xml:space="preserve">There </w:t>
      </w:r>
      <w:r w:rsidR="00073054">
        <w:rPr>
          <w:rFonts w:ascii="Times New Roman" w:hAnsi="Times New Roman" w:cs="Times New Roman"/>
          <w:sz w:val="24"/>
          <w:szCs w:val="24"/>
        </w:rPr>
        <w:t xml:space="preserve">is one primary issue to be raised from </w:t>
      </w:r>
      <w:r w:rsidR="00C7368A">
        <w:rPr>
          <w:rFonts w:ascii="Times New Roman" w:hAnsi="Times New Roman" w:cs="Times New Roman"/>
          <w:sz w:val="24"/>
          <w:szCs w:val="24"/>
        </w:rPr>
        <w:t xml:space="preserve">use of </w:t>
      </w:r>
      <w:r w:rsidR="00252802">
        <w:rPr>
          <w:rFonts w:ascii="Times New Roman" w:hAnsi="Times New Roman" w:cs="Times New Roman"/>
          <w:sz w:val="24"/>
          <w:szCs w:val="24"/>
        </w:rPr>
        <w:t xml:space="preserve">this example. Firstly, it is unrealistic to assume </w:t>
      </w:r>
      <w:r w:rsidR="00C56ACF">
        <w:rPr>
          <w:rFonts w:ascii="Times New Roman" w:hAnsi="Times New Roman" w:cs="Times New Roman"/>
          <w:sz w:val="24"/>
          <w:szCs w:val="24"/>
        </w:rPr>
        <w:t xml:space="preserve">that comparisons can be made between hoplite warfare in Archaic and Classical Greece, and Homeric warfare in the Iliad. Whilst the Homeric epics are generally considered </w:t>
      </w:r>
      <w:r w:rsidR="00C56ACF">
        <w:rPr>
          <w:rFonts w:ascii="Times New Roman" w:hAnsi="Times New Roman" w:cs="Times New Roman"/>
          <w:sz w:val="24"/>
          <w:szCs w:val="24"/>
        </w:rPr>
        <w:lastRenderedPageBreak/>
        <w:t>to have been accurate, the numerous duels found within the Iliad are simply not accurately representative of Greek Hoplite warfare.</w:t>
      </w:r>
      <w:r w:rsidR="00C56ACF">
        <w:rPr>
          <w:rStyle w:val="FootnoteReference"/>
          <w:rFonts w:ascii="Times New Roman" w:hAnsi="Times New Roman" w:cs="Times New Roman"/>
          <w:sz w:val="24"/>
          <w:szCs w:val="24"/>
        </w:rPr>
        <w:footnoteReference w:id="14"/>
      </w:r>
      <w:r w:rsidR="00C56ACF">
        <w:rPr>
          <w:rFonts w:ascii="Times New Roman" w:hAnsi="Times New Roman" w:cs="Times New Roman"/>
          <w:sz w:val="24"/>
          <w:szCs w:val="24"/>
        </w:rPr>
        <w:t xml:space="preserve"> </w:t>
      </w:r>
      <w:r w:rsidR="006229C3">
        <w:rPr>
          <w:rFonts w:ascii="Times New Roman" w:hAnsi="Times New Roman" w:cs="Times New Roman"/>
          <w:sz w:val="24"/>
          <w:szCs w:val="24"/>
        </w:rPr>
        <w:t xml:space="preserve">Van Wees suggests, I think accurately, that Homeric warfare is not representative of hoplite </w:t>
      </w:r>
      <w:r w:rsidR="00F049A1">
        <w:rPr>
          <w:rFonts w:ascii="Times New Roman" w:hAnsi="Times New Roman" w:cs="Times New Roman"/>
          <w:sz w:val="24"/>
          <w:szCs w:val="24"/>
        </w:rPr>
        <w:t xml:space="preserve">warfare in general but can be considered </w:t>
      </w:r>
      <w:r w:rsidR="0026186C">
        <w:rPr>
          <w:rFonts w:ascii="Times New Roman" w:hAnsi="Times New Roman" w:cs="Times New Roman"/>
          <w:sz w:val="24"/>
          <w:szCs w:val="24"/>
        </w:rPr>
        <w:t xml:space="preserve">a partially </w:t>
      </w:r>
      <w:r w:rsidR="00F049A1">
        <w:rPr>
          <w:rFonts w:ascii="Times New Roman" w:hAnsi="Times New Roman" w:cs="Times New Roman"/>
          <w:sz w:val="24"/>
          <w:szCs w:val="24"/>
        </w:rPr>
        <w:t xml:space="preserve">accurate </w:t>
      </w:r>
      <w:r w:rsidR="0026186C">
        <w:rPr>
          <w:rFonts w:ascii="Times New Roman" w:hAnsi="Times New Roman" w:cs="Times New Roman"/>
          <w:sz w:val="24"/>
          <w:szCs w:val="24"/>
        </w:rPr>
        <w:t xml:space="preserve">representation of hoplite warfare </w:t>
      </w:r>
      <w:r w:rsidR="00F049A1">
        <w:rPr>
          <w:rFonts w:ascii="Times New Roman" w:hAnsi="Times New Roman" w:cs="Times New Roman"/>
          <w:sz w:val="24"/>
          <w:szCs w:val="24"/>
        </w:rPr>
        <w:t>up until the mid 7</w:t>
      </w:r>
      <w:r w:rsidR="00F049A1" w:rsidRPr="00F049A1">
        <w:rPr>
          <w:rFonts w:ascii="Times New Roman" w:hAnsi="Times New Roman" w:cs="Times New Roman"/>
          <w:sz w:val="24"/>
          <w:szCs w:val="24"/>
          <w:vertAlign w:val="superscript"/>
        </w:rPr>
        <w:t>th</w:t>
      </w:r>
      <w:r w:rsidR="00F049A1">
        <w:rPr>
          <w:rFonts w:ascii="Times New Roman" w:hAnsi="Times New Roman" w:cs="Times New Roman"/>
          <w:sz w:val="24"/>
          <w:szCs w:val="24"/>
        </w:rPr>
        <w:t xml:space="preserve"> Century BC.</w:t>
      </w:r>
      <w:r w:rsidR="00F049A1">
        <w:rPr>
          <w:rStyle w:val="FootnoteReference"/>
          <w:rFonts w:ascii="Times New Roman" w:hAnsi="Times New Roman" w:cs="Times New Roman"/>
          <w:sz w:val="24"/>
          <w:szCs w:val="24"/>
        </w:rPr>
        <w:footnoteReference w:id="15"/>
      </w:r>
      <w:r w:rsidR="006C60BF">
        <w:rPr>
          <w:rFonts w:ascii="Times New Roman" w:hAnsi="Times New Roman" w:cs="Times New Roman"/>
          <w:sz w:val="24"/>
          <w:szCs w:val="24"/>
        </w:rPr>
        <w:t xml:space="preserve"> The inclusion of multiple duels within the Homeric Epics is likely a result of selective focus, according to Jong;</w:t>
      </w:r>
      <w:r w:rsidR="002E54B5">
        <w:rPr>
          <w:rStyle w:val="FootnoteReference"/>
          <w:rFonts w:ascii="Times New Roman" w:hAnsi="Times New Roman" w:cs="Times New Roman"/>
          <w:sz w:val="24"/>
          <w:szCs w:val="24"/>
        </w:rPr>
        <w:footnoteReference w:id="16"/>
      </w:r>
      <w:r w:rsidR="006C60BF">
        <w:rPr>
          <w:rFonts w:ascii="Times New Roman" w:hAnsi="Times New Roman" w:cs="Times New Roman"/>
          <w:sz w:val="24"/>
          <w:szCs w:val="24"/>
        </w:rPr>
        <w:t xml:space="preserve"> </w:t>
      </w:r>
      <w:r w:rsidR="002E54B5">
        <w:rPr>
          <w:rFonts w:ascii="Times New Roman" w:hAnsi="Times New Roman" w:cs="Times New Roman"/>
          <w:sz w:val="24"/>
          <w:szCs w:val="24"/>
        </w:rPr>
        <w:t xml:space="preserve">Therefore, </w:t>
      </w:r>
      <w:r w:rsidR="006C60BF">
        <w:rPr>
          <w:rFonts w:ascii="Times New Roman" w:hAnsi="Times New Roman" w:cs="Times New Roman"/>
          <w:sz w:val="24"/>
          <w:szCs w:val="24"/>
        </w:rPr>
        <w:t>providing further reason to limit use of Homeric examples in the debate on Hoplite warfare</w:t>
      </w:r>
      <w:r w:rsidR="002E54B5">
        <w:rPr>
          <w:rFonts w:ascii="Times New Roman" w:hAnsi="Times New Roman" w:cs="Times New Roman"/>
          <w:sz w:val="24"/>
          <w:szCs w:val="24"/>
        </w:rPr>
        <w:t xml:space="preserve"> (this reason being that the focus in the Homeric epics is on the heroes and the narrative rather than on the concepts and experiences of Hoplite Warfare</w:t>
      </w:r>
      <w:r w:rsidR="00C7368A">
        <w:rPr>
          <w:rFonts w:ascii="Times New Roman" w:hAnsi="Times New Roman" w:cs="Times New Roman"/>
          <w:sz w:val="24"/>
          <w:szCs w:val="24"/>
        </w:rPr>
        <w:t xml:space="preserve">. </w:t>
      </w:r>
      <w:r w:rsidR="00230C14">
        <w:rPr>
          <w:rFonts w:ascii="Times New Roman" w:hAnsi="Times New Roman" w:cs="Times New Roman"/>
          <w:sz w:val="24"/>
          <w:szCs w:val="24"/>
        </w:rPr>
        <w:t xml:space="preserve">This focus on heroes and narrative can also be seen in the duels between Hector and Patroclus in book 16 of the Iliad and the duel between Hector and Achilles in book 22 of the Iliad.). </w:t>
      </w:r>
      <w:r w:rsidR="002A1769">
        <w:rPr>
          <w:rFonts w:ascii="Times New Roman" w:hAnsi="Times New Roman" w:cs="Times New Roman"/>
          <w:sz w:val="24"/>
          <w:szCs w:val="24"/>
        </w:rPr>
        <w:t>Despite this, the argument presented by Matthew in support of the figurative interpretation of the ‘</w:t>
      </w:r>
      <w:r w:rsidR="002A1769">
        <w:rPr>
          <w:rFonts w:ascii="Times New Roman" w:hAnsi="Times New Roman" w:cs="Times New Roman"/>
          <w:i/>
          <w:sz w:val="24"/>
          <w:szCs w:val="24"/>
        </w:rPr>
        <w:t>othismos</w:t>
      </w:r>
      <w:r w:rsidR="002A1769">
        <w:rPr>
          <w:rFonts w:ascii="Times New Roman" w:hAnsi="Times New Roman" w:cs="Times New Roman"/>
          <w:sz w:val="24"/>
          <w:szCs w:val="24"/>
        </w:rPr>
        <w:t>’ is still stronger than the argument and evidence provided in support of the literal interpretation. In the final section of this essay, I will provide other primary source examples that support a figurative interpretation of the ‘</w:t>
      </w:r>
      <w:r w:rsidR="002A1769">
        <w:rPr>
          <w:rFonts w:ascii="Times New Roman" w:hAnsi="Times New Roman" w:cs="Times New Roman"/>
          <w:i/>
          <w:sz w:val="24"/>
          <w:szCs w:val="24"/>
        </w:rPr>
        <w:t>othismos</w:t>
      </w:r>
      <w:r w:rsidR="002A1769">
        <w:rPr>
          <w:rFonts w:ascii="Times New Roman" w:hAnsi="Times New Roman" w:cs="Times New Roman"/>
          <w:sz w:val="24"/>
          <w:szCs w:val="24"/>
        </w:rPr>
        <w:t>’</w:t>
      </w:r>
      <w:r w:rsidR="00AC5005">
        <w:rPr>
          <w:rFonts w:ascii="Times New Roman" w:hAnsi="Times New Roman" w:cs="Times New Roman"/>
          <w:sz w:val="24"/>
          <w:szCs w:val="24"/>
        </w:rPr>
        <w:t xml:space="preserve">, thus showing a stronger </w:t>
      </w:r>
      <w:r w:rsidR="00ED6CE9">
        <w:rPr>
          <w:rFonts w:ascii="Times New Roman" w:hAnsi="Times New Roman" w:cs="Times New Roman"/>
          <w:sz w:val="24"/>
          <w:szCs w:val="24"/>
        </w:rPr>
        <w:t xml:space="preserve">correlation between hoplite warfare and the heretical/figurative model. </w:t>
      </w:r>
    </w:p>
    <w:p w:rsidR="0043067F" w:rsidRDefault="0006342B" w:rsidP="003D225A">
      <w:pPr>
        <w:rPr>
          <w:rFonts w:ascii="Times New Roman" w:hAnsi="Times New Roman" w:cs="Times New Roman"/>
          <w:sz w:val="24"/>
          <w:szCs w:val="24"/>
        </w:rPr>
      </w:pPr>
      <w:r>
        <w:rPr>
          <w:rFonts w:ascii="Times New Roman" w:hAnsi="Times New Roman" w:cs="Times New Roman"/>
          <w:sz w:val="24"/>
          <w:szCs w:val="24"/>
        </w:rPr>
        <w:t>Matthew presents a variety of different literary examples in support of the figurative model; however, there are examples not mentioned in his article that further strengthen the argument presented for the figurative model therefore showing a closer link between the '</w:t>
      </w:r>
      <w:proofErr w:type="spellStart"/>
      <w:r>
        <w:rPr>
          <w:rFonts w:ascii="Times New Roman" w:hAnsi="Times New Roman" w:cs="Times New Roman"/>
          <w:sz w:val="24"/>
          <w:szCs w:val="24"/>
        </w:rPr>
        <w:t>othismos</w:t>
      </w:r>
      <w:proofErr w:type="spellEnd"/>
      <w:r>
        <w:rPr>
          <w:rFonts w:ascii="Times New Roman" w:hAnsi="Times New Roman" w:cs="Times New Roman"/>
          <w:sz w:val="24"/>
          <w:szCs w:val="24"/>
        </w:rPr>
        <w:t xml:space="preserve">' and its figurative interpretation. </w:t>
      </w:r>
      <w:r w:rsidR="00924281">
        <w:rPr>
          <w:rFonts w:ascii="Times New Roman" w:hAnsi="Times New Roman" w:cs="Times New Roman"/>
          <w:sz w:val="24"/>
          <w:szCs w:val="24"/>
        </w:rPr>
        <w:t>Matthew makes two key points in his argument that I would argue can be agreed to; firstly that it is possible in some circumstances to interpret ‘shield against shield’ as being an explanation of a close order shield wall</w:t>
      </w:r>
      <w:r w:rsidR="00293444">
        <w:rPr>
          <w:rFonts w:ascii="Times New Roman" w:hAnsi="Times New Roman" w:cs="Times New Roman"/>
          <w:sz w:val="24"/>
          <w:szCs w:val="24"/>
        </w:rPr>
        <w:t>, and secondly, that it is possible for the ‘othismos’ to bear more than one meaning attained from a number of different interpretations.</w:t>
      </w:r>
      <w:r w:rsidR="00293444">
        <w:rPr>
          <w:rStyle w:val="FootnoteReference"/>
          <w:rFonts w:ascii="Times New Roman" w:hAnsi="Times New Roman" w:cs="Times New Roman"/>
          <w:sz w:val="24"/>
          <w:szCs w:val="24"/>
        </w:rPr>
        <w:footnoteReference w:id="17"/>
      </w:r>
      <w:r w:rsidR="00DA0BE0">
        <w:rPr>
          <w:rFonts w:ascii="Times New Roman" w:hAnsi="Times New Roman" w:cs="Times New Roman"/>
          <w:sz w:val="24"/>
          <w:szCs w:val="24"/>
        </w:rPr>
        <w:t xml:space="preserve"> </w:t>
      </w:r>
      <w:r w:rsidR="00E321F0">
        <w:rPr>
          <w:rFonts w:ascii="Times New Roman" w:hAnsi="Times New Roman" w:cs="Times New Roman"/>
          <w:sz w:val="24"/>
          <w:szCs w:val="24"/>
        </w:rPr>
        <w:t xml:space="preserve">He uses the examples of the battle of Plataea, the battle of </w:t>
      </w:r>
      <w:r w:rsidR="00ED33FE">
        <w:rPr>
          <w:rFonts w:ascii="Times New Roman" w:hAnsi="Times New Roman" w:cs="Times New Roman"/>
          <w:sz w:val="24"/>
          <w:szCs w:val="24"/>
        </w:rPr>
        <w:t>Sphacteria, and the battle of Piraeus.</w:t>
      </w:r>
      <w:r w:rsidR="00ED33FE">
        <w:rPr>
          <w:rStyle w:val="FootnoteReference"/>
          <w:rFonts w:ascii="Times New Roman" w:hAnsi="Times New Roman" w:cs="Times New Roman"/>
          <w:sz w:val="24"/>
          <w:szCs w:val="24"/>
        </w:rPr>
        <w:footnoteReference w:id="18"/>
      </w:r>
      <w:r w:rsidR="00A27DC7">
        <w:rPr>
          <w:rFonts w:ascii="Times New Roman" w:hAnsi="Times New Roman" w:cs="Times New Roman"/>
          <w:sz w:val="24"/>
          <w:szCs w:val="24"/>
        </w:rPr>
        <w:t xml:space="preserve"> </w:t>
      </w:r>
      <w:r w:rsidR="00791AFA">
        <w:rPr>
          <w:rFonts w:ascii="Times New Roman" w:hAnsi="Times New Roman" w:cs="Times New Roman"/>
          <w:sz w:val="24"/>
          <w:szCs w:val="24"/>
        </w:rPr>
        <w:t xml:space="preserve">Multiple other examples </w:t>
      </w:r>
      <w:r w:rsidR="003B61F4">
        <w:rPr>
          <w:rFonts w:ascii="Times New Roman" w:hAnsi="Times New Roman" w:cs="Times New Roman"/>
          <w:sz w:val="24"/>
          <w:szCs w:val="24"/>
        </w:rPr>
        <w:t>supporting the figurative model can be found in texts from ancient authors; primarily from Xenophon, Thucydides and Herodotus. The first example can be seen in the Acarnanians defeat of the Peloponnesian barbarian mercenaries in 429BC;</w:t>
      </w:r>
      <w:r w:rsidR="002B7B40">
        <w:rPr>
          <w:rFonts w:ascii="Times New Roman" w:hAnsi="Times New Roman" w:cs="Times New Roman"/>
          <w:sz w:val="24"/>
          <w:szCs w:val="24"/>
        </w:rPr>
        <w:t xml:space="preserve"> from Thucydides account of the engagement, the Acarnanians used skirmishers and the tactic of avoiding direct conflict with the atta</w:t>
      </w:r>
      <w:r w:rsidR="00814A7D">
        <w:rPr>
          <w:rFonts w:ascii="Times New Roman" w:hAnsi="Times New Roman" w:cs="Times New Roman"/>
          <w:sz w:val="24"/>
          <w:szCs w:val="24"/>
        </w:rPr>
        <w:t>ck</w:t>
      </w:r>
      <w:r w:rsidR="002B7B40">
        <w:rPr>
          <w:rFonts w:ascii="Times New Roman" w:hAnsi="Times New Roman" w:cs="Times New Roman"/>
          <w:sz w:val="24"/>
          <w:szCs w:val="24"/>
        </w:rPr>
        <w:t>ing barbarians to defeat them.</w:t>
      </w:r>
      <w:r w:rsidR="003B61F4">
        <w:rPr>
          <w:rStyle w:val="FootnoteReference"/>
          <w:rFonts w:ascii="Times New Roman" w:hAnsi="Times New Roman" w:cs="Times New Roman"/>
          <w:sz w:val="24"/>
          <w:szCs w:val="24"/>
        </w:rPr>
        <w:footnoteReference w:id="19"/>
      </w:r>
      <w:r w:rsidR="000C2925">
        <w:rPr>
          <w:rFonts w:ascii="Times New Roman" w:hAnsi="Times New Roman" w:cs="Times New Roman"/>
          <w:sz w:val="24"/>
          <w:szCs w:val="24"/>
        </w:rPr>
        <w:t xml:space="preserve"> </w:t>
      </w:r>
      <w:r w:rsidR="00814A7D">
        <w:rPr>
          <w:rFonts w:ascii="Times New Roman" w:hAnsi="Times New Roman" w:cs="Times New Roman"/>
          <w:sz w:val="24"/>
          <w:szCs w:val="24"/>
        </w:rPr>
        <w:t xml:space="preserve">This example is in direct conflict with the concept of hoplite warfare consisting entirely of massive clashes between large bodies of infantry. </w:t>
      </w:r>
      <w:r w:rsidR="00877694">
        <w:rPr>
          <w:rFonts w:ascii="Times New Roman" w:hAnsi="Times New Roman" w:cs="Times New Roman"/>
          <w:sz w:val="24"/>
          <w:szCs w:val="24"/>
        </w:rPr>
        <w:t xml:space="preserve">Therefore, it is more likely to interpret the ‘othismos’ of this engagement </w:t>
      </w:r>
      <w:r w:rsidR="00FA5F32">
        <w:rPr>
          <w:rFonts w:ascii="Times New Roman" w:hAnsi="Times New Roman" w:cs="Times New Roman"/>
          <w:sz w:val="24"/>
          <w:szCs w:val="24"/>
        </w:rPr>
        <w:t>in the figurative sense as a result of the barbarian force being routed from the battlefield. This is a situation that bears some similarity to an example used by Matthew, this being the battle of Delium in which the Athenian forces were pushed “</w:t>
      </w:r>
      <w:r w:rsidR="00FA5F32">
        <w:rPr>
          <w:rFonts w:ascii="Times New Roman" w:hAnsi="Times New Roman" w:cs="Times New Roman"/>
          <w:i/>
          <w:sz w:val="24"/>
          <w:szCs w:val="24"/>
        </w:rPr>
        <w:t xml:space="preserve">further and further” </w:t>
      </w:r>
      <w:r w:rsidR="00FA5F32">
        <w:rPr>
          <w:rFonts w:ascii="Times New Roman" w:hAnsi="Times New Roman" w:cs="Times New Roman"/>
          <w:sz w:val="24"/>
          <w:szCs w:val="24"/>
        </w:rPr>
        <w:t>back by the Argive forces.</w:t>
      </w:r>
      <w:r w:rsidR="00FA5F32">
        <w:rPr>
          <w:rStyle w:val="FootnoteReference"/>
          <w:rFonts w:ascii="Times New Roman" w:hAnsi="Times New Roman" w:cs="Times New Roman"/>
          <w:sz w:val="24"/>
          <w:szCs w:val="24"/>
        </w:rPr>
        <w:footnoteReference w:id="20"/>
      </w:r>
      <w:r w:rsidR="00482F05">
        <w:rPr>
          <w:rFonts w:ascii="Times New Roman" w:hAnsi="Times New Roman" w:cs="Times New Roman"/>
          <w:sz w:val="24"/>
          <w:szCs w:val="24"/>
        </w:rPr>
        <w:t xml:space="preserve"> This is also a clear example that supports the view put forward by Van Wees that a drive forward during an engagement in Ancient Greece could be described as a push despite the lack of a physical </w:t>
      </w:r>
      <w:r w:rsidR="00482F05">
        <w:rPr>
          <w:rFonts w:ascii="Times New Roman" w:hAnsi="Times New Roman" w:cs="Times New Roman"/>
          <w:sz w:val="24"/>
          <w:szCs w:val="24"/>
        </w:rPr>
        <w:lastRenderedPageBreak/>
        <w:t>bodily push as suggested by the literal model.</w:t>
      </w:r>
      <w:r w:rsidR="00482F05">
        <w:rPr>
          <w:rStyle w:val="FootnoteReference"/>
          <w:rFonts w:ascii="Times New Roman" w:hAnsi="Times New Roman" w:cs="Times New Roman"/>
          <w:sz w:val="24"/>
          <w:szCs w:val="24"/>
        </w:rPr>
        <w:footnoteReference w:id="21"/>
      </w:r>
      <w:r w:rsidR="00D7622A">
        <w:rPr>
          <w:rFonts w:ascii="Times New Roman" w:hAnsi="Times New Roman" w:cs="Times New Roman"/>
          <w:sz w:val="24"/>
          <w:szCs w:val="24"/>
        </w:rPr>
        <w:t xml:space="preserve"> </w:t>
      </w:r>
      <w:r w:rsidR="00CD19AB">
        <w:rPr>
          <w:rFonts w:ascii="Times New Roman" w:hAnsi="Times New Roman" w:cs="Times New Roman"/>
          <w:sz w:val="24"/>
          <w:szCs w:val="24"/>
        </w:rPr>
        <w:t>The argument for the figurative understanding of the conduct of hoplite warfare is also supported in an extract from Xenophon on the siege of Byzantium by the Athenians (at this time, Byzantium was being defended by a force of Spartans) in which he writes of the varying styles of close up and distant fighting used by the Athenians during the siege.</w:t>
      </w:r>
      <w:r w:rsidR="00CD19AB">
        <w:rPr>
          <w:rStyle w:val="FootnoteReference"/>
          <w:rFonts w:ascii="Times New Roman" w:hAnsi="Times New Roman" w:cs="Times New Roman"/>
          <w:sz w:val="24"/>
          <w:szCs w:val="24"/>
        </w:rPr>
        <w:footnoteReference w:id="22"/>
      </w:r>
      <w:r w:rsidR="00774AD3">
        <w:rPr>
          <w:rFonts w:ascii="Times New Roman" w:hAnsi="Times New Roman" w:cs="Times New Roman"/>
          <w:sz w:val="24"/>
          <w:szCs w:val="24"/>
        </w:rPr>
        <w:t xml:space="preserve"> </w:t>
      </w:r>
      <w:r w:rsidR="00780DE6">
        <w:rPr>
          <w:rFonts w:ascii="Times New Roman" w:hAnsi="Times New Roman" w:cs="Times New Roman"/>
          <w:sz w:val="24"/>
          <w:szCs w:val="24"/>
        </w:rPr>
        <w:t xml:space="preserve">From these examples, Matthews representation of the literal model and it’s argument for the literal interpretation of the ‘othismos’ and resulting view on hoplite warfare can be viewed as more unlikely than the figurative model. </w:t>
      </w:r>
    </w:p>
    <w:p w:rsidR="00B173D9" w:rsidRDefault="0067158C" w:rsidP="003D225A">
      <w:pPr>
        <w:rPr>
          <w:rFonts w:ascii="Times New Roman" w:hAnsi="Times New Roman" w:cs="Times New Roman"/>
          <w:sz w:val="24"/>
          <w:szCs w:val="24"/>
        </w:rPr>
      </w:pPr>
      <w:r>
        <w:rPr>
          <w:rFonts w:ascii="Times New Roman" w:hAnsi="Times New Roman" w:cs="Times New Roman"/>
          <w:sz w:val="24"/>
          <w:szCs w:val="24"/>
        </w:rPr>
        <w:t xml:space="preserve">To further the argument presented by </w:t>
      </w:r>
      <w:r w:rsidR="00780DE6">
        <w:rPr>
          <w:rFonts w:ascii="Times New Roman" w:hAnsi="Times New Roman" w:cs="Times New Roman"/>
          <w:sz w:val="24"/>
          <w:szCs w:val="24"/>
        </w:rPr>
        <w:t>Matthew that the phrase ‘shield against shield’</w:t>
      </w:r>
      <w:r>
        <w:rPr>
          <w:rFonts w:ascii="Times New Roman" w:hAnsi="Times New Roman" w:cs="Times New Roman"/>
          <w:sz w:val="24"/>
          <w:szCs w:val="24"/>
        </w:rPr>
        <w:t xml:space="preserve"> could be interpreted as actually referring to close </w:t>
      </w:r>
      <w:r w:rsidR="001E7006">
        <w:rPr>
          <w:rFonts w:ascii="Times New Roman" w:hAnsi="Times New Roman" w:cs="Times New Roman"/>
          <w:sz w:val="24"/>
          <w:szCs w:val="24"/>
        </w:rPr>
        <w:t>order shield formation, there are a number of examples th</w:t>
      </w:r>
      <w:r w:rsidR="00EE1BC8">
        <w:rPr>
          <w:rFonts w:ascii="Times New Roman" w:hAnsi="Times New Roman" w:cs="Times New Roman"/>
          <w:sz w:val="24"/>
          <w:szCs w:val="24"/>
        </w:rPr>
        <w:t>at</w:t>
      </w:r>
      <w:r w:rsidR="001E7006">
        <w:rPr>
          <w:rFonts w:ascii="Times New Roman" w:hAnsi="Times New Roman" w:cs="Times New Roman"/>
          <w:sz w:val="24"/>
          <w:szCs w:val="24"/>
        </w:rPr>
        <w:t xml:space="preserve"> can be seen within ancient authors. The first of these is</w:t>
      </w:r>
      <w:r w:rsidR="00EE1BC8">
        <w:rPr>
          <w:rFonts w:ascii="Times New Roman" w:hAnsi="Times New Roman" w:cs="Times New Roman"/>
          <w:sz w:val="24"/>
          <w:szCs w:val="24"/>
        </w:rPr>
        <w:t xml:space="preserve"> </w:t>
      </w:r>
      <w:r w:rsidR="00FD249F">
        <w:rPr>
          <w:rFonts w:ascii="Times New Roman" w:hAnsi="Times New Roman" w:cs="Times New Roman"/>
          <w:sz w:val="24"/>
          <w:szCs w:val="24"/>
        </w:rPr>
        <w:t>comes from boo</w:t>
      </w:r>
      <w:r w:rsidR="007E7478">
        <w:rPr>
          <w:rFonts w:ascii="Times New Roman" w:hAnsi="Times New Roman" w:cs="Times New Roman"/>
          <w:sz w:val="24"/>
          <w:szCs w:val="24"/>
        </w:rPr>
        <w:t>k 5 of Thucydides</w:t>
      </w:r>
      <w:r w:rsidR="00CE6823">
        <w:rPr>
          <w:rFonts w:ascii="Times New Roman" w:hAnsi="Times New Roman" w:cs="Times New Roman"/>
          <w:sz w:val="24"/>
          <w:szCs w:val="24"/>
        </w:rPr>
        <w:t>; he writes on the battle of Ma</w:t>
      </w:r>
      <w:r w:rsidR="00AF6E18">
        <w:rPr>
          <w:rFonts w:ascii="Times New Roman" w:hAnsi="Times New Roman" w:cs="Times New Roman"/>
          <w:sz w:val="24"/>
          <w:szCs w:val="24"/>
        </w:rPr>
        <w:t>ntinea.</w:t>
      </w:r>
      <w:r w:rsidR="00AF6E18">
        <w:rPr>
          <w:rStyle w:val="FootnoteReference"/>
          <w:rFonts w:ascii="Times New Roman" w:hAnsi="Times New Roman" w:cs="Times New Roman"/>
          <w:sz w:val="24"/>
          <w:szCs w:val="24"/>
        </w:rPr>
        <w:footnoteReference w:id="23"/>
      </w:r>
      <w:r w:rsidR="004711AD">
        <w:rPr>
          <w:rFonts w:ascii="Times New Roman" w:hAnsi="Times New Roman" w:cs="Times New Roman"/>
          <w:sz w:val="24"/>
          <w:szCs w:val="24"/>
        </w:rPr>
        <w:t xml:space="preserve"> </w:t>
      </w:r>
      <w:r w:rsidR="0099556A">
        <w:rPr>
          <w:rFonts w:ascii="Times New Roman" w:hAnsi="Times New Roman" w:cs="Times New Roman"/>
          <w:sz w:val="24"/>
          <w:szCs w:val="24"/>
        </w:rPr>
        <w:t xml:space="preserve">Thucydides writes of the ordered and structured manner in which the </w:t>
      </w:r>
      <w:r w:rsidR="0006342B">
        <w:rPr>
          <w:rFonts w:ascii="Times New Roman" w:hAnsi="Times New Roman" w:cs="Times New Roman"/>
          <w:sz w:val="24"/>
          <w:szCs w:val="24"/>
        </w:rPr>
        <w:t>Spartan</w:t>
      </w:r>
      <w:r w:rsidR="0099556A">
        <w:rPr>
          <w:rFonts w:ascii="Times New Roman" w:hAnsi="Times New Roman" w:cs="Times New Roman"/>
          <w:sz w:val="24"/>
          <w:szCs w:val="24"/>
        </w:rPr>
        <w:t xml:space="preserve"> forces advanced with their shields locked together, this clearly supports the idea presented by Matthew. In Thucydides commentary on the battle of Mantinea </w:t>
      </w:r>
      <w:r w:rsidR="007116E1">
        <w:rPr>
          <w:rFonts w:ascii="Times New Roman" w:hAnsi="Times New Roman" w:cs="Times New Roman"/>
          <w:sz w:val="24"/>
          <w:szCs w:val="24"/>
        </w:rPr>
        <w:t>he also writes of the manner in which the Argive forces charged, this manner being with haste and fury.</w:t>
      </w:r>
      <w:r w:rsidR="007116E1">
        <w:rPr>
          <w:rStyle w:val="FootnoteReference"/>
          <w:rFonts w:ascii="Times New Roman" w:hAnsi="Times New Roman" w:cs="Times New Roman"/>
          <w:sz w:val="24"/>
          <w:szCs w:val="24"/>
        </w:rPr>
        <w:footnoteReference w:id="24"/>
      </w:r>
      <w:r w:rsidR="007201D6">
        <w:rPr>
          <w:rFonts w:ascii="Times New Roman" w:hAnsi="Times New Roman" w:cs="Times New Roman"/>
          <w:sz w:val="24"/>
          <w:szCs w:val="24"/>
        </w:rPr>
        <w:t xml:space="preserve"> Whilst this could be interpreted as being in support of the literal model and the physical clash between the two opposing hoplite forces; it could also be interpreted</w:t>
      </w:r>
      <w:r w:rsidR="00B173D9">
        <w:rPr>
          <w:rFonts w:ascii="Times New Roman" w:hAnsi="Times New Roman" w:cs="Times New Roman"/>
          <w:sz w:val="24"/>
          <w:szCs w:val="24"/>
        </w:rPr>
        <w:t xml:space="preserve"> as showing why the figurative model is the more likely interpretation of the ‘othmosis’.  This is due to the clearly different styles by which the forces are approaching the ensuing conflict; this also supports the conclusion made by Matthew as it shows that it is possible for both open and close order shield formation. However, despite this one example, as pointed out by Van Wees, most ancient authors often described phalanx formations as being in the tightest possible ranks possible (this is most likely to have been close order shield formation).</w:t>
      </w:r>
      <w:r w:rsidR="00B173D9">
        <w:rPr>
          <w:rStyle w:val="FootnoteReference"/>
          <w:rFonts w:ascii="Times New Roman" w:hAnsi="Times New Roman" w:cs="Times New Roman"/>
          <w:sz w:val="24"/>
          <w:szCs w:val="24"/>
        </w:rPr>
        <w:footnoteReference w:id="25"/>
      </w:r>
    </w:p>
    <w:p w:rsidR="00800E05" w:rsidRDefault="00705D8F" w:rsidP="003D225A">
      <w:pPr>
        <w:rPr>
          <w:rFonts w:ascii="Times New Roman" w:hAnsi="Times New Roman" w:cs="Times New Roman"/>
          <w:sz w:val="24"/>
          <w:szCs w:val="24"/>
        </w:rPr>
      </w:pPr>
      <w:r>
        <w:rPr>
          <w:rFonts w:ascii="Times New Roman" w:hAnsi="Times New Roman" w:cs="Times New Roman"/>
          <w:sz w:val="24"/>
          <w:szCs w:val="24"/>
        </w:rPr>
        <w:t xml:space="preserve">Finally, </w:t>
      </w:r>
      <w:r w:rsidR="0074452D">
        <w:rPr>
          <w:rFonts w:ascii="Times New Roman" w:hAnsi="Times New Roman" w:cs="Times New Roman"/>
          <w:sz w:val="24"/>
          <w:szCs w:val="24"/>
        </w:rPr>
        <w:t>the figurative model appears to also be supported by an argument put forward by Van Wees regarding the conduct of hoplite warfare. Van Wees seems to maintain the position that the figurative model is more logical than the literal model whilst almost suggesting it was possible for both the figurative and literal model to appear during a hoplite engagement; he suggests that classical hoplite warfare did consist of a physical confrontation and engagement between the opposing forces</w:t>
      </w:r>
      <w:r w:rsidR="001279DB">
        <w:rPr>
          <w:rFonts w:ascii="Times New Roman" w:hAnsi="Times New Roman" w:cs="Times New Roman"/>
          <w:sz w:val="24"/>
          <w:szCs w:val="24"/>
        </w:rPr>
        <w:t xml:space="preserve"> in a close formation.</w:t>
      </w:r>
      <w:r w:rsidR="001279DB">
        <w:rPr>
          <w:rStyle w:val="FootnoteReference"/>
          <w:rFonts w:ascii="Times New Roman" w:hAnsi="Times New Roman" w:cs="Times New Roman"/>
          <w:sz w:val="24"/>
          <w:szCs w:val="24"/>
        </w:rPr>
        <w:footnoteReference w:id="26"/>
      </w:r>
      <w:r w:rsidR="00A84C9C">
        <w:rPr>
          <w:rFonts w:ascii="Times New Roman" w:hAnsi="Times New Roman" w:cs="Times New Roman"/>
          <w:sz w:val="24"/>
          <w:szCs w:val="24"/>
        </w:rPr>
        <w:t xml:space="preserve"> However, it was </w:t>
      </w:r>
      <w:r w:rsidR="00EC156C">
        <w:rPr>
          <w:rFonts w:ascii="Times New Roman" w:hAnsi="Times New Roman" w:cs="Times New Roman"/>
          <w:sz w:val="24"/>
          <w:szCs w:val="24"/>
        </w:rPr>
        <w:t>also the case that the forces would be both figuratively and literally pushed from the battlefield</w:t>
      </w:r>
      <w:r w:rsidR="008345D7">
        <w:rPr>
          <w:rFonts w:ascii="Times New Roman" w:hAnsi="Times New Roman" w:cs="Times New Roman"/>
          <w:sz w:val="24"/>
          <w:szCs w:val="24"/>
        </w:rPr>
        <w:t>.</w:t>
      </w:r>
      <w:r w:rsidR="008345D7">
        <w:rPr>
          <w:rStyle w:val="FootnoteReference"/>
          <w:rFonts w:ascii="Times New Roman" w:hAnsi="Times New Roman" w:cs="Times New Roman"/>
          <w:sz w:val="24"/>
          <w:szCs w:val="24"/>
        </w:rPr>
        <w:footnoteReference w:id="27"/>
      </w:r>
      <w:r w:rsidR="0032468D">
        <w:rPr>
          <w:rFonts w:ascii="Times New Roman" w:hAnsi="Times New Roman" w:cs="Times New Roman"/>
          <w:sz w:val="24"/>
          <w:szCs w:val="24"/>
        </w:rPr>
        <w:t xml:space="preserve"> Van Wees </w:t>
      </w:r>
      <w:r w:rsidR="009E44C8">
        <w:rPr>
          <w:rFonts w:ascii="Times New Roman" w:hAnsi="Times New Roman" w:cs="Times New Roman"/>
          <w:sz w:val="24"/>
          <w:szCs w:val="24"/>
        </w:rPr>
        <w:t xml:space="preserve">provides a few reasons as to why the literal model </w:t>
      </w:r>
      <w:r w:rsidR="0075142B">
        <w:rPr>
          <w:rFonts w:ascii="Times New Roman" w:hAnsi="Times New Roman" w:cs="Times New Roman"/>
          <w:sz w:val="24"/>
          <w:szCs w:val="24"/>
        </w:rPr>
        <w:t xml:space="preserve">could be viewed as unlikely. The first of these </w:t>
      </w:r>
      <w:r w:rsidR="000B5DDC">
        <w:rPr>
          <w:rFonts w:ascii="Times New Roman" w:hAnsi="Times New Roman" w:cs="Times New Roman"/>
          <w:sz w:val="24"/>
          <w:szCs w:val="24"/>
        </w:rPr>
        <w:t xml:space="preserve">surrounds the practicality of a large body of </w:t>
      </w:r>
      <w:r w:rsidR="00DF115C">
        <w:rPr>
          <w:rFonts w:ascii="Times New Roman" w:hAnsi="Times New Roman" w:cs="Times New Roman"/>
          <w:sz w:val="24"/>
          <w:szCs w:val="24"/>
        </w:rPr>
        <w:t>hoplites in a shoving match would have likely resulted in the death of the first few ranks of hoplites, not just from the opposing force,</w:t>
      </w:r>
      <w:r w:rsidR="00182A9F">
        <w:rPr>
          <w:rFonts w:ascii="Times New Roman" w:hAnsi="Times New Roman" w:cs="Times New Roman"/>
          <w:sz w:val="24"/>
          <w:szCs w:val="24"/>
        </w:rPr>
        <w:t xml:space="preserve"> </w:t>
      </w:r>
      <w:r w:rsidR="004068F7">
        <w:rPr>
          <w:rFonts w:ascii="Times New Roman" w:hAnsi="Times New Roman" w:cs="Times New Roman"/>
          <w:sz w:val="24"/>
          <w:szCs w:val="24"/>
        </w:rPr>
        <w:t>but from being crushed by their comrades.</w:t>
      </w:r>
      <w:r w:rsidR="004068F7">
        <w:rPr>
          <w:rStyle w:val="FootnoteReference"/>
          <w:rFonts w:ascii="Times New Roman" w:hAnsi="Times New Roman" w:cs="Times New Roman"/>
          <w:sz w:val="24"/>
          <w:szCs w:val="24"/>
        </w:rPr>
        <w:footnoteReference w:id="28"/>
      </w:r>
      <w:r w:rsidR="00780CCE">
        <w:rPr>
          <w:rFonts w:ascii="Times New Roman" w:hAnsi="Times New Roman" w:cs="Times New Roman"/>
          <w:sz w:val="24"/>
          <w:szCs w:val="24"/>
        </w:rPr>
        <w:t xml:space="preserve"> </w:t>
      </w:r>
      <w:r w:rsidR="00800E05">
        <w:rPr>
          <w:rFonts w:ascii="Times New Roman" w:hAnsi="Times New Roman" w:cs="Times New Roman"/>
          <w:sz w:val="24"/>
          <w:szCs w:val="24"/>
        </w:rPr>
        <w:t xml:space="preserve">He suggests that it would have been more likely </w:t>
      </w:r>
      <w:r w:rsidR="00800E05">
        <w:rPr>
          <w:rFonts w:ascii="Times New Roman" w:hAnsi="Times New Roman" w:cs="Times New Roman"/>
          <w:sz w:val="24"/>
          <w:szCs w:val="24"/>
        </w:rPr>
        <w:lastRenderedPageBreak/>
        <w:t>hoplites would have slowed their charge just before they came within spear reach of the opposing force.</w:t>
      </w:r>
      <w:r w:rsidR="00800E05">
        <w:rPr>
          <w:rStyle w:val="FootnoteReference"/>
          <w:rFonts w:ascii="Times New Roman" w:hAnsi="Times New Roman" w:cs="Times New Roman"/>
          <w:sz w:val="24"/>
          <w:szCs w:val="24"/>
        </w:rPr>
        <w:footnoteReference w:id="29"/>
      </w:r>
      <w:r w:rsidR="000D4E0B">
        <w:rPr>
          <w:rFonts w:ascii="Times New Roman" w:hAnsi="Times New Roman" w:cs="Times New Roman"/>
          <w:sz w:val="24"/>
          <w:szCs w:val="24"/>
        </w:rPr>
        <w:t xml:space="preserve"> He provides two examples from Xenophon in support of this. Van Wees’ second example is the battle of Coronea; </w:t>
      </w:r>
      <w:r w:rsidR="00245501">
        <w:rPr>
          <w:rFonts w:ascii="Times New Roman" w:hAnsi="Times New Roman" w:cs="Times New Roman"/>
          <w:sz w:val="24"/>
          <w:szCs w:val="24"/>
        </w:rPr>
        <w:t>Van Wees uses this example to show that whilst there was a direct conflict between the hoplite lines of the Spartans and the Athenians, it was not the initiation of the battle (as would be suggested by the literal model) as there was a period of skirmishing on the part of the Thebans to damage the Spartan hoplite line.</w:t>
      </w:r>
      <w:r w:rsidR="00245501">
        <w:rPr>
          <w:rStyle w:val="FootnoteReference"/>
          <w:rFonts w:ascii="Times New Roman" w:hAnsi="Times New Roman" w:cs="Times New Roman"/>
          <w:sz w:val="24"/>
          <w:szCs w:val="24"/>
        </w:rPr>
        <w:footnoteReference w:id="30"/>
      </w:r>
    </w:p>
    <w:p w:rsidR="00100C11" w:rsidRPr="000B5DDC" w:rsidRDefault="00100C11" w:rsidP="003D225A">
      <w:pPr>
        <w:rPr>
          <w:rFonts w:ascii="Times New Roman" w:hAnsi="Times New Roman" w:cs="Times New Roman"/>
          <w:sz w:val="24"/>
          <w:szCs w:val="24"/>
        </w:rPr>
      </w:pPr>
      <w:r>
        <w:rPr>
          <w:rFonts w:ascii="Times New Roman" w:hAnsi="Times New Roman" w:cs="Times New Roman"/>
          <w:sz w:val="24"/>
          <w:szCs w:val="24"/>
        </w:rPr>
        <w:t xml:space="preserve">In conclusion, the stance taken by Matthew in the concluding statements of his article are simply too </w:t>
      </w:r>
      <w:r w:rsidR="003A3DC4">
        <w:rPr>
          <w:rFonts w:ascii="Times New Roman" w:hAnsi="Times New Roman" w:cs="Times New Roman"/>
          <w:sz w:val="24"/>
          <w:szCs w:val="24"/>
        </w:rPr>
        <w:t xml:space="preserve">unnecessary </w:t>
      </w:r>
      <w:r>
        <w:rPr>
          <w:rFonts w:ascii="Times New Roman" w:hAnsi="Times New Roman" w:cs="Times New Roman"/>
          <w:sz w:val="24"/>
          <w:szCs w:val="24"/>
        </w:rPr>
        <w:t>indecisive (or ‘on the fence’)</w:t>
      </w:r>
      <w:r w:rsidR="003A3DC4">
        <w:rPr>
          <w:rFonts w:ascii="Times New Roman" w:hAnsi="Times New Roman" w:cs="Times New Roman"/>
          <w:sz w:val="24"/>
          <w:szCs w:val="24"/>
        </w:rPr>
        <w:t xml:space="preserve"> as he refuses to take a side despite there being evidence to support a closer correlation between the figurative model and the ‘othismos’ of hoplite warfare than the literal model. However, this doesn’t mean that the article written by Matthew is incorrect, but rather his insistence on remaining neutral proves more detrimental to the debate surrounding the </w:t>
      </w:r>
      <w:r w:rsidR="0016250E">
        <w:rPr>
          <w:rFonts w:ascii="Times New Roman" w:hAnsi="Times New Roman" w:cs="Times New Roman"/>
          <w:sz w:val="24"/>
          <w:szCs w:val="24"/>
        </w:rPr>
        <w:t>‘</w:t>
      </w:r>
      <w:r w:rsidR="003A3DC4">
        <w:rPr>
          <w:rFonts w:ascii="Times New Roman" w:hAnsi="Times New Roman" w:cs="Times New Roman"/>
          <w:sz w:val="24"/>
          <w:szCs w:val="24"/>
        </w:rPr>
        <w:t>othismos</w:t>
      </w:r>
      <w:r w:rsidR="0016250E">
        <w:rPr>
          <w:rFonts w:ascii="Times New Roman" w:hAnsi="Times New Roman" w:cs="Times New Roman"/>
          <w:sz w:val="24"/>
          <w:szCs w:val="24"/>
        </w:rPr>
        <w:t xml:space="preserve">’ </w:t>
      </w:r>
      <w:r w:rsidR="003A3DC4">
        <w:rPr>
          <w:rFonts w:ascii="Times New Roman" w:hAnsi="Times New Roman" w:cs="Times New Roman"/>
          <w:sz w:val="24"/>
          <w:szCs w:val="24"/>
        </w:rPr>
        <w:t xml:space="preserve">rather than adding to the debate. </w:t>
      </w:r>
    </w:p>
    <w:p w:rsidR="009C5692" w:rsidRDefault="009C5692"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Default="00281CB1" w:rsidP="003D225A"/>
    <w:p w:rsidR="00281CB1" w:rsidRPr="00281CB1" w:rsidRDefault="00281CB1" w:rsidP="003D225A">
      <w:pPr>
        <w:rPr>
          <w:sz w:val="16"/>
        </w:rPr>
      </w:pPr>
    </w:p>
    <w:p w:rsidR="00281CB1" w:rsidRDefault="00281CB1" w:rsidP="00281CB1">
      <w:pPr>
        <w:pStyle w:val="Title"/>
        <w:jc w:val="center"/>
        <w:rPr>
          <w:sz w:val="52"/>
        </w:rPr>
      </w:pPr>
      <w:r w:rsidRPr="00281CB1">
        <w:rPr>
          <w:sz w:val="52"/>
        </w:rPr>
        <w:lastRenderedPageBreak/>
        <w:t xml:space="preserve">Bibliography: </w:t>
      </w:r>
    </w:p>
    <w:p w:rsidR="00281CB1" w:rsidRDefault="00281CB1" w:rsidP="00281CB1">
      <w:pPr>
        <w:pStyle w:val="Heading2"/>
      </w:pPr>
      <w:r>
        <w:t xml:space="preserve">Ancient Authors: </w:t>
      </w:r>
    </w:p>
    <w:p w:rsidR="00281CB1" w:rsidRPr="00281CB1" w:rsidRDefault="00281CB1" w:rsidP="00281CB1">
      <w:pPr>
        <w:rPr>
          <w:i/>
        </w:rPr>
      </w:pPr>
      <w:r>
        <w:t xml:space="preserve">Herodotus, </w:t>
      </w:r>
      <w:r w:rsidR="00A82B4A">
        <w:rPr>
          <w:i/>
        </w:rPr>
        <w:t>The Histories.</w:t>
      </w:r>
      <w:r>
        <w:rPr>
          <w:i/>
        </w:rPr>
        <w:t xml:space="preserve"> </w:t>
      </w:r>
      <w:r>
        <w:t xml:space="preserve">R. B. Strassler (trans.). 2009. New York: Anchor Books. </w:t>
      </w:r>
    </w:p>
    <w:p w:rsidR="00281CB1" w:rsidRDefault="00281CB1" w:rsidP="00281CB1">
      <w:r>
        <w:t>Thucydides</w:t>
      </w:r>
      <w:r w:rsidR="00A82B4A">
        <w:t xml:space="preserve">, </w:t>
      </w:r>
      <w:r w:rsidR="00A82B4A">
        <w:rPr>
          <w:i/>
        </w:rPr>
        <w:t xml:space="preserve">The Peloponnesian War. </w:t>
      </w:r>
      <w:r w:rsidR="00A82B4A">
        <w:t xml:space="preserve">R. B. Strassler (trans.). 1998. New York: Simon &amp; Schuster. </w:t>
      </w:r>
    </w:p>
    <w:p w:rsidR="00281CB1" w:rsidRPr="00281CB1" w:rsidRDefault="00A82B4A" w:rsidP="00A82B4A">
      <w:r>
        <w:t xml:space="preserve">Xenophon, </w:t>
      </w:r>
      <w:r>
        <w:rPr>
          <w:i/>
        </w:rPr>
        <w:t xml:space="preserve">Hellenika. </w:t>
      </w:r>
      <w:r>
        <w:t xml:space="preserve">R. B. Strassler (trans.). 2010. New York: Fodor’s Travel Publication Inc. </w:t>
      </w:r>
    </w:p>
    <w:p w:rsidR="00281CB1" w:rsidRDefault="00281CB1" w:rsidP="00281CB1">
      <w:pPr>
        <w:pStyle w:val="Heading2"/>
      </w:pPr>
      <w:r>
        <w:t>Modern Scholarship:</w:t>
      </w:r>
    </w:p>
    <w:p w:rsidR="0006342B" w:rsidRPr="00A82B4A" w:rsidRDefault="00A82B4A" w:rsidP="00A82B4A">
      <w:r>
        <w:t xml:space="preserve">De Jong, I. J. F. 2005. ‘Convention versus Realism in the Homeric Epics’, </w:t>
      </w:r>
      <w:r>
        <w:rPr>
          <w:i/>
        </w:rPr>
        <w:t xml:space="preserve">Mnemosyne, </w:t>
      </w:r>
      <w:r>
        <w:t>Vol 58, Issue 1. 1-22.</w:t>
      </w:r>
    </w:p>
    <w:p w:rsidR="00A82B4A" w:rsidRDefault="00A82B4A" w:rsidP="00A82B4A">
      <w:r>
        <w:t xml:space="preserve">Matthew, C. A. 2009. ‘When Push Comes to Shove: What was the “Othismos” of Hoplite Warfare?’, </w:t>
      </w:r>
      <w:r>
        <w:rPr>
          <w:i/>
        </w:rPr>
        <w:t xml:space="preserve">Historia: Zietschrift fur Alte Geschichte, </w:t>
      </w:r>
      <w:r>
        <w:t xml:space="preserve">Vol. 58, Issue 4. 395 – 415. </w:t>
      </w:r>
    </w:p>
    <w:p w:rsidR="00281CB1" w:rsidRPr="0006342B" w:rsidRDefault="0006342B" w:rsidP="00281CB1">
      <w:r>
        <w:t xml:space="preserve">Van Wees, H. 2004. </w:t>
      </w:r>
      <w:r>
        <w:rPr>
          <w:i/>
        </w:rPr>
        <w:t>Greek Warfare: Myth and Realities.</w:t>
      </w:r>
      <w:r>
        <w:t xml:space="preserve"> London: Duckworth</w:t>
      </w:r>
      <w:bookmarkStart w:id="0" w:name="_GoBack"/>
      <w:bookmarkEnd w:id="0"/>
    </w:p>
    <w:sectPr w:rsidR="00281CB1" w:rsidRPr="0006342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24AB" w:rsidRDefault="00EB24AB" w:rsidP="003D225A">
      <w:pPr>
        <w:spacing w:after="0" w:line="240" w:lineRule="auto"/>
      </w:pPr>
      <w:r>
        <w:separator/>
      </w:r>
    </w:p>
  </w:endnote>
  <w:endnote w:type="continuationSeparator" w:id="0">
    <w:p w:rsidR="00EB24AB" w:rsidRDefault="00EB24AB" w:rsidP="003D22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24AB" w:rsidRDefault="00EB24AB" w:rsidP="003D225A">
      <w:pPr>
        <w:spacing w:after="0" w:line="240" w:lineRule="auto"/>
      </w:pPr>
      <w:r>
        <w:separator/>
      </w:r>
    </w:p>
  </w:footnote>
  <w:footnote w:type="continuationSeparator" w:id="0">
    <w:p w:rsidR="00EB24AB" w:rsidRDefault="00EB24AB" w:rsidP="003D225A">
      <w:pPr>
        <w:spacing w:after="0" w:line="240" w:lineRule="auto"/>
      </w:pPr>
      <w:r>
        <w:continuationSeparator/>
      </w:r>
    </w:p>
  </w:footnote>
  <w:footnote w:id="1">
    <w:p w:rsidR="00616029" w:rsidRDefault="00616029">
      <w:pPr>
        <w:pStyle w:val="FootnoteText"/>
      </w:pPr>
      <w:r>
        <w:rPr>
          <w:rStyle w:val="FootnoteReference"/>
        </w:rPr>
        <w:footnoteRef/>
      </w:r>
      <w:r>
        <w:t xml:space="preserve"> Matthew 2009: 395</w:t>
      </w:r>
    </w:p>
  </w:footnote>
  <w:footnote w:id="2">
    <w:p w:rsidR="0094701F" w:rsidRDefault="0094701F">
      <w:pPr>
        <w:pStyle w:val="FootnoteText"/>
      </w:pPr>
      <w:r>
        <w:rPr>
          <w:rStyle w:val="FootnoteReference"/>
        </w:rPr>
        <w:footnoteRef/>
      </w:r>
      <w:r>
        <w:t xml:space="preserve"> Matthew 2009: 414</w:t>
      </w:r>
    </w:p>
  </w:footnote>
  <w:footnote w:id="3">
    <w:p w:rsidR="00DC6300" w:rsidRDefault="00DC6300">
      <w:pPr>
        <w:pStyle w:val="FootnoteText"/>
      </w:pPr>
      <w:r>
        <w:rPr>
          <w:rStyle w:val="FootnoteReference"/>
        </w:rPr>
        <w:footnoteRef/>
      </w:r>
      <w:r>
        <w:t xml:space="preserve"> </w:t>
      </w:r>
      <w:r w:rsidR="003C6FFE">
        <w:t>Matthew 2009</w:t>
      </w:r>
      <w:r w:rsidR="009B664A">
        <w:t>: 395</w:t>
      </w:r>
    </w:p>
  </w:footnote>
  <w:footnote w:id="4">
    <w:p w:rsidR="00E308B2" w:rsidRDefault="00E308B2">
      <w:pPr>
        <w:pStyle w:val="FootnoteText"/>
      </w:pPr>
      <w:r>
        <w:rPr>
          <w:rStyle w:val="FootnoteReference"/>
        </w:rPr>
        <w:footnoteRef/>
      </w:r>
      <w:r>
        <w:t xml:space="preserve"> Matthew 2009: 395</w:t>
      </w:r>
    </w:p>
  </w:footnote>
  <w:footnote w:id="5">
    <w:p w:rsidR="00A50E03" w:rsidRDefault="00A50E03">
      <w:pPr>
        <w:pStyle w:val="FootnoteText"/>
      </w:pPr>
      <w:r>
        <w:rPr>
          <w:rStyle w:val="FootnoteReference"/>
        </w:rPr>
        <w:footnoteRef/>
      </w:r>
      <w:r>
        <w:t xml:space="preserve"> </w:t>
      </w:r>
      <w:r w:rsidR="00DB1791">
        <w:t>Matthew 2009: 396</w:t>
      </w:r>
    </w:p>
  </w:footnote>
  <w:footnote w:id="6">
    <w:p w:rsidR="009D5C60" w:rsidRDefault="009D5C60">
      <w:pPr>
        <w:pStyle w:val="FootnoteText"/>
      </w:pPr>
      <w:r>
        <w:rPr>
          <w:rStyle w:val="FootnoteReference"/>
        </w:rPr>
        <w:footnoteRef/>
      </w:r>
      <w:r>
        <w:t xml:space="preserve"> Matthew 2009: 396</w:t>
      </w:r>
    </w:p>
  </w:footnote>
  <w:footnote w:id="7">
    <w:p w:rsidR="007836BD" w:rsidRDefault="007836BD">
      <w:pPr>
        <w:pStyle w:val="FootnoteText"/>
      </w:pPr>
      <w:r>
        <w:rPr>
          <w:rStyle w:val="FootnoteReference"/>
        </w:rPr>
        <w:footnoteRef/>
      </w:r>
      <w:r>
        <w:t xml:space="preserve"> </w:t>
      </w:r>
      <w:r w:rsidR="006B5481">
        <w:t>Matthew 2009: 396</w:t>
      </w:r>
    </w:p>
  </w:footnote>
  <w:footnote w:id="8">
    <w:p w:rsidR="00DD4D74" w:rsidRDefault="00DD4D74">
      <w:pPr>
        <w:pStyle w:val="FootnoteText"/>
      </w:pPr>
      <w:r>
        <w:rPr>
          <w:rStyle w:val="FootnoteReference"/>
        </w:rPr>
        <w:footnoteRef/>
      </w:r>
      <w:r>
        <w:t xml:space="preserve"> </w:t>
      </w:r>
      <w:r w:rsidR="008F75A4">
        <w:t>Matthew 2009: 396</w:t>
      </w:r>
    </w:p>
  </w:footnote>
  <w:footnote w:id="9">
    <w:p w:rsidR="00D27AFA" w:rsidRDefault="00D27AFA">
      <w:pPr>
        <w:pStyle w:val="FootnoteText"/>
      </w:pPr>
      <w:r>
        <w:rPr>
          <w:rStyle w:val="FootnoteReference"/>
        </w:rPr>
        <w:footnoteRef/>
      </w:r>
      <w:r>
        <w:t xml:space="preserve"> Matthew 2009: 396</w:t>
      </w:r>
    </w:p>
  </w:footnote>
  <w:footnote w:id="10">
    <w:p w:rsidR="00094D45" w:rsidRDefault="00094D45">
      <w:pPr>
        <w:pStyle w:val="FootnoteText"/>
      </w:pPr>
      <w:r>
        <w:rPr>
          <w:rStyle w:val="FootnoteReference"/>
        </w:rPr>
        <w:footnoteRef/>
      </w:r>
      <w:r>
        <w:t xml:space="preserve"> Matthew 20</w:t>
      </w:r>
      <w:r w:rsidR="00DE49AE">
        <w:t>09:</w:t>
      </w:r>
      <w:r>
        <w:t xml:space="preserve"> 397</w:t>
      </w:r>
    </w:p>
  </w:footnote>
  <w:footnote w:id="11">
    <w:p w:rsidR="00960C00" w:rsidRDefault="00960C00">
      <w:pPr>
        <w:pStyle w:val="FootnoteText"/>
      </w:pPr>
      <w:r>
        <w:rPr>
          <w:rStyle w:val="FootnoteReference"/>
        </w:rPr>
        <w:footnoteRef/>
      </w:r>
      <w:r>
        <w:t xml:space="preserve"> </w:t>
      </w:r>
      <w:r w:rsidR="00802D05">
        <w:t>Van Wees 2004: 152</w:t>
      </w:r>
    </w:p>
  </w:footnote>
  <w:footnote w:id="12">
    <w:p w:rsidR="00037E15" w:rsidRDefault="00037E15">
      <w:pPr>
        <w:pStyle w:val="FootnoteText"/>
      </w:pPr>
      <w:r>
        <w:rPr>
          <w:rStyle w:val="FootnoteReference"/>
        </w:rPr>
        <w:footnoteRef/>
      </w:r>
      <w:r>
        <w:t xml:space="preserve"> </w:t>
      </w:r>
      <w:r w:rsidR="00D36866">
        <w:t>Hom. Il. 13.193</w:t>
      </w:r>
    </w:p>
  </w:footnote>
  <w:footnote w:id="13">
    <w:p w:rsidR="00D36866" w:rsidRDefault="00D36866">
      <w:pPr>
        <w:pStyle w:val="FootnoteText"/>
      </w:pPr>
      <w:r>
        <w:rPr>
          <w:rStyle w:val="FootnoteReference"/>
        </w:rPr>
        <w:footnoteRef/>
      </w:r>
      <w:r>
        <w:t xml:space="preserve"> </w:t>
      </w:r>
      <w:r w:rsidR="002811A8">
        <w:t>Matthew 2009: 398-9</w:t>
      </w:r>
    </w:p>
  </w:footnote>
  <w:footnote w:id="14">
    <w:p w:rsidR="00C56ACF" w:rsidRDefault="00C56ACF">
      <w:pPr>
        <w:pStyle w:val="FootnoteText"/>
      </w:pPr>
      <w:r>
        <w:rPr>
          <w:rStyle w:val="FootnoteReference"/>
        </w:rPr>
        <w:footnoteRef/>
      </w:r>
      <w:r>
        <w:t xml:space="preserve"> Jong 2005: 1</w:t>
      </w:r>
    </w:p>
  </w:footnote>
  <w:footnote w:id="15">
    <w:p w:rsidR="00F049A1" w:rsidRDefault="00F049A1">
      <w:pPr>
        <w:pStyle w:val="FootnoteText"/>
      </w:pPr>
      <w:r>
        <w:rPr>
          <w:rStyle w:val="FootnoteReference"/>
        </w:rPr>
        <w:footnoteRef/>
      </w:r>
      <w:r>
        <w:t xml:space="preserve"> Van Wees 2004</w:t>
      </w:r>
      <w:r w:rsidR="002A078D">
        <w:t xml:space="preserve">: </w:t>
      </w:r>
      <w:r w:rsidR="00166D9A">
        <w:t>2</w:t>
      </w:r>
      <w:r w:rsidR="0043067F">
        <w:t>49</w:t>
      </w:r>
    </w:p>
  </w:footnote>
  <w:footnote w:id="16">
    <w:p w:rsidR="002E54B5" w:rsidRDefault="002E54B5">
      <w:pPr>
        <w:pStyle w:val="FootnoteText"/>
      </w:pPr>
      <w:r>
        <w:rPr>
          <w:rStyle w:val="FootnoteReference"/>
        </w:rPr>
        <w:footnoteRef/>
      </w:r>
      <w:r>
        <w:t xml:space="preserve"> Jong 2005: 1</w:t>
      </w:r>
    </w:p>
  </w:footnote>
  <w:footnote w:id="17">
    <w:p w:rsidR="00293444" w:rsidRDefault="00293444">
      <w:pPr>
        <w:pStyle w:val="FootnoteText"/>
      </w:pPr>
      <w:r>
        <w:rPr>
          <w:rStyle w:val="FootnoteReference"/>
        </w:rPr>
        <w:footnoteRef/>
      </w:r>
      <w:r>
        <w:t xml:space="preserve"> </w:t>
      </w:r>
      <w:r w:rsidR="00DA0BE0">
        <w:t>Matthew 2009: 397, 398</w:t>
      </w:r>
    </w:p>
  </w:footnote>
  <w:footnote w:id="18">
    <w:p w:rsidR="00ED33FE" w:rsidRPr="002B5DCC" w:rsidRDefault="00ED33FE">
      <w:pPr>
        <w:pStyle w:val="FootnoteText"/>
      </w:pPr>
      <w:r>
        <w:rPr>
          <w:rStyle w:val="FootnoteReference"/>
        </w:rPr>
        <w:footnoteRef/>
      </w:r>
      <w:r>
        <w:t xml:space="preserve"> </w:t>
      </w:r>
      <w:r w:rsidR="002B5DCC">
        <w:t xml:space="preserve">Hdt. 9.62-3; Thuc. 4.35; Xen. </w:t>
      </w:r>
      <w:r w:rsidR="002B5DCC">
        <w:rPr>
          <w:i/>
        </w:rPr>
        <w:t xml:space="preserve">Hell. </w:t>
      </w:r>
      <w:r w:rsidR="00E60535">
        <w:t>2.4.34</w:t>
      </w:r>
    </w:p>
  </w:footnote>
  <w:footnote w:id="19">
    <w:p w:rsidR="003B61F4" w:rsidRDefault="003B61F4">
      <w:pPr>
        <w:pStyle w:val="FootnoteText"/>
      </w:pPr>
      <w:r>
        <w:rPr>
          <w:rStyle w:val="FootnoteReference"/>
        </w:rPr>
        <w:footnoteRef/>
      </w:r>
      <w:r>
        <w:t xml:space="preserve"> </w:t>
      </w:r>
      <w:r w:rsidR="006B79B2">
        <w:t>Thuc. 2.81.4-8</w:t>
      </w:r>
    </w:p>
  </w:footnote>
  <w:footnote w:id="20">
    <w:p w:rsidR="00FA5F32" w:rsidRDefault="00FA5F32">
      <w:pPr>
        <w:pStyle w:val="FootnoteText"/>
      </w:pPr>
      <w:r>
        <w:rPr>
          <w:rStyle w:val="FootnoteReference"/>
        </w:rPr>
        <w:footnoteRef/>
      </w:r>
      <w:r>
        <w:t xml:space="preserve"> </w:t>
      </w:r>
      <w:r w:rsidR="00482F05">
        <w:t>Thuc. 4.96.4-6</w:t>
      </w:r>
    </w:p>
  </w:footnote>
  <w:footnote w:id="21">
    <w:p w:rsidR="00482F05" w:rsidRDefault="00482F05">
      <w:pPr>
        <w:pStyle w:val="FootnoteText"/>
      </w:pPr>
      <w:r>
        <w:rPr>
          <w:rStyle w:val="FootnoteReference"/>
        </w:rPr>
        <w:footnoteRef/>
      </w:r>
      <w:r>
        <w:t xml:space="preserve"> </w:t>
      </w:r>
      <w:r w:rsidR="00C83C51">
        <w:t>Van Wees: 2004: 189</w:t>
      </w:r>
    </w:p>
  </w:footnote>
  <w:footnote w:id="22">
    <w:p w:rsidR="00CD19AB" w:rsidRPr="0085172A" w:rsidRDefault="00CD19AB">
      <w:pPr>
        <w:pStyle w:val="FootnoteText"/>
      </w:pPr>
      <w:r>
        <w:rPr>
          <w:rStyle w:val="FootnoteReference"/>
        </w:rPr>
        <w:footnoteRef/>
      </w:r>
      <w:r>
        <w:t xml:space="preserve"> </w:t>
      </w:r>
      <w:r w:rsidR="0085172A">
        <w:t xml:space="preserve">Xen. </w:t>
      </w:r>
      <w:r w:rsidR="0085172A">
        <w:rPr>
          <w:i/>
        </w:rPr>
        <w:t>Hell</w:t>
      </w:r>
      <w:r w:rsidR="0085172A">
        <w:t>. 1.3</w:t>
      </w:r>
      <w:r w:rsidR="00F65709">
        <w:t>.14-5</w:t>
      </w:r>
      <w:r w:rsidR="00762742">
        <w:t>0</w:t>
      </w:r>
    </w:p>
  </w:footnote>
  <w:footnote w:id="23">
    <w:p w:rsidR="00AF6E18" w:rsidRDefault="00AF6E18">
      <w:pPr>
        <w:pStyle w:val="FootnoteText"/>
      </w:pPr>
      <w:r>
        <w:rPr>
          <w:rStyle w:val="FootnoteReference"/>
        </w:rPr>
        <w:footnoteRef/>
      </w:r>
      <w:r>
        <w:t xml:space="preserve"> Thuc. </w:t>
      </w:r>
      <w:r w:rsidR="004711AD">
        <w:t>5.70-1</w:t>
      </w:r>
    </w:p>
  </w:footnote>
  <w:footnote w:id="24">
    <w:p w:rsidR="007116E1" w:rsidRDefault="007116E1">
      <w:pPr>
        <w:pStyle w:val="FootnoteText"/>
      </w:pPr>
      <w:r>
        <w:rPr>
          <w:rStyle w:val="FootnoteReference"/>
        </w:rPr>
        <w:footnoteRef/>
      </w:r>
      <w:r>
        <w:t xml:space="preserve"> </w:t>
      </w:r>
      <w:r w:rsidR="0042694E">
        <w:t>Thuc. 5.70-1</w:t>
      </w:r>
    </w:p>
  </w:footnote>
  <w:footnote w:id="25">
    <w:p w:rsidR="00B173D9" w:rsidRDefault="00B173D9">
      <w:pPr>
        <w:pStyle w:val="FootnoteText"/>
      </w:pPr>
      <w:r>
        <w:rPr>
          <w:rStyle w:val="FootnoteReference"/>
        </w:rPr>
        <w:footnoteRef/>
      </w:r>
      <w:r>
        <w:t xml:space="preserve"> </w:t>
      </w:r>
      <w:r w:rsidR="00824E1E">
        <w:t>Van Wees 2004: 152</w:t>
      </w:r>
    </w:p>
  </w:footnote>
  <w:footnote w:id="26">
    <w:p w:rsidR="001279DB" w:rsidRDefault="001279DB">
      <w:pPr>
        <w:pStyle w:val="FootnoteText"/>
      </w:pPr>
      <w:r>
        <w:rPr>
          <w:rStyle w:val="FootnoteReference"/>
        </w:rPr>
        <w:footnoteRef/>
      </w:r>
      <w:r>
        <w:t xml:space="preserve"> </w:t>
      </w:r>
      <w:r w:rsidR="00D21931">
        <w:t>Van Wees 2004: 184-5</w:t>
      </w:r>
    </w:p>
  </w:footnote>
  <w:footnote w:id="27">
    <w:p w:rsidR="008345D7" w:rsidRDefault="008345D7" w:rsidP="00D71B48">
      <w:pPr>
        <w:pStyle w:val="FootnoteText"/>
      </w:pPr>
      <w:r>
        <w:rPr>
          <w:rStyle w:val="FootnoteReference"/>
        </w:rPr>
        <w:footnoteRef/>
      </w:r>
      <w:r>
        <w:t xml:space="preserve"> Van Wees 2004: 184-5</w:t>
      </w:r>
    </w:p>
    <w:p w:rsidR="008345D7" w:rsidRDefault="008345D7">
      <w:pPr>
        <w:pStyle w:val="FootnoteText"/>
      </w:pPr>
    </w:p>
  </w:footnote>
  <w:footnote w:id="28">
    <w:p w:rsidR="004068F7" w:rsidRDefault="004068F7">
      <w:pPr>
        <w:pStyle w:val="FootnoteText"/>
      </w:pPr>
      <w:r>
        <w:rPr>
          <w:rStyle w:val="FootnoteReference"/>
        </w:rPr>
        <w:footnoteRef/>
      </w:r>
      <w:r>
        <w:t xml:space="preserve"> </w:t>
      </w:r>
      <w:r w:rsidR="00780CCE">
        <w:t>Van Wees 2004: 184-5</w:t>
      </w:r>
    </w:p>
  </w:footnote>
  <w:footnote w:id="29">
    <w:p w:rsidR="00800E05" w:rsidRDefault="00800E05">
      <w:pPr>
        <w:pStyle w:val="FootnoteText"/>
      </w:pPr>
      <w:r>
        <w:rPr>
          <w:rStyle w:val="FootnoteReference"/>
        </w:rPr>
        <w:footnoteRef/>
      </w:r>
      <w:r>
        <w:t xml:space="preserve"> </w:t>
      </w:r>
      <w:r w:rsidR="000D4E0B">
        <w:t>Van Wees 2004: 188</w:t>
      </w:r>
    </w:p>
  </w:footnote>
  <w:footnote w:id="30">
    <w:p w:rsidR="00245501" w:rsidRDefault="00245501">
      <w:pPr>
        <w:pStyle w:val="FootnoteText"/>
      </w:pPr>
      <w:r>
        <w:rPr>
          <w:rStyle w:val="FootnoteReference"/>
        </w:rPr>
        <w:footnoteRef/>
      </w:r>
      <w:r>
        <w:t xml:space="preserve"> </w:t>
      </w:r>
      <w:r w:rsidR="006A67CC">
        <w:t>Van Wees 2004: 188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D225A" w:rsidRDefault="003D225A">
    <w:pPr>
      <w:pStyle w:val="Header"/>
    </w:pPr>
    <w:r>
      <w:t>Tomas Sharpe</w:t>
    </w:r>
    <w:r>
      <w:tab/>
    </w:r>
    <w:r>
      <w:tab/>
      <w:t>1500326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F4F1C"/>
    <w:multiLevelType w:val="hybridMultilevel"/>
    <w:tmpl w:val="1D3E5DEA"/>
    <w:lvl w:ilvl="0" w:tplc="D828206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225A"/>
    <w:rsid w:val="00037E15"/>
    <w:rsid w:val="0006342B"/>
    <w:rsid w:val="00073054"/>
    <w:rsid w:val="00094D45"/>
    <w:rsid w:val="0009606C"/>
    <w:rsid w:val="000B5DDC"/>
    <w:rsid w:val="000C2925"/>
    <w:rsid w:val="000D4E0B"/>
    <w:rsid w:val="00100C11"/>
    <w:rsid w:val="001223A5"/>
    <w:rsid w:val="00126B49"/>
    <w:rsid w:val="001279DB"/>
    <w:rsid w:val="0016250E"/>
    <w:rsid w:val="00166D9A"/>
    <w:rsid w:val="001814F8"/>
    <w:rsid w:val="00182A9F"/>
    <w:rsid w:val="001B5E6C"/>
    <w:rsid w:val="001D5E8F"/>
    <w:rsid w:val="001E7006"/>
    <w:rsid w:val="00230C14"/>
    <w:rsid w:val="0023445D"/>
    <w:rsid w:val="00245501"/>
    <w:rsid w:val="00252802"/>
    <w:rsid w:val="0026186C"/>
    <w:rsid w:val="002811A8"/>
    <w:rsid w:val="00281C22"/>
    <w:rsid w:val="00281CB1"/>
    <w:rsid w:val="00284766"/>
    <w:rsid w:val="00293444"/>
    <w:rsid w:val="002A078D"/>
    <w:rsid w:val="002A1769"/>
    <w:rsid w:val="002B5DCC"/>
    <w:rsid w:val="002B7B40"/>
    <w:rsid w:val="002D2C8E"/>
    <w:rsid w:val="002E54B5"/>
    <w:rsid w:val="0032468D"/>
    <w:rsid w:val="003376B7"/>
    <w:rsid w:val="0035608D"/>
    <w:rsid w:val="00396BB5"/>
    <w:rsid w:val="003A3DC4"/>
    <w:rsid w:val="003A4952"/>
    <w:rsid w:val="003B61F4"/>
    <w:rsid w:val="003C6FFE"/>
    <w:rsid w:val="003D225A"/>
    <w:rsid w:val="00401733"/>
    <w:rsid w:val="004068F7"/>
    <w:rsid w:val="00415FA7"/>
    <w:rsid w:val="0042694E"/>
    <w:rsid w:val="0043067F"/>
    <w:rsid w:val="0044086B"/>
    <w:rsid w:val="00456CAA"/>
    <w:rsid w:val="004625AF"/>
    <w:rsid w:val="004711AD"/>
    <w:rsid w:val="004716F7"/>
    <w:rsid w:val="00482F05"/>
    <w:rsid w:val="004B0D23"/>
    <w:rsid w:val="004B1C23"/>
    <w:rsid w:val="004B3A81"/>
    <w:rsid w:val="004B69A7"/>
    <w:rsid w:val="005F2D31"/>
    <w:rsid w:val="0061267A"/>
    <w:rsid w:val="00616029"/>
    <w:rsid w:val="006229C3"/>
    <w:rsid w:val="0065362F"/>
    <w:rsid w:val="0067158C"/>
    <w:rsid w:val="006944D5"/>
    <w:rsid w:val="006A67CC"/>
    <w:rsid w:val="006B5481"/>
    <w:rsid w:val="006B79B2"/>
    <w:rsid w:val="006C24B2"/>
    <w:rsid w:val="006C25D1"/>
    <w:rsid w:val="006C60BF"/>
    <w:rsid w:val="00705D8F"/>
    <w:rsid w:val="00706E73"/>
    <w:rsid w:val="007116E1"/>
    <w:rsid w:val="00715C19"/>
    <w:rsid w:val="007201D6"/>
    <w:rsid w:val="0074452D"/>
    <w:rsid w:val="0075142B"/>
    <w:rsid w:val="00762742"/>
    <w:rsid w:val="00774AD3"/>
    <w:rsid w:val="00776824"/>
    <w:rsid w:val="00780CCE"/>
    <w:rsid w:val="00780DE6"/>
    <w:rsid w:val="00782281"/>
    <w:rsid w:val="007836BD"/>
    <w:rsid w:val="00791AFA"/>
    <w:rsid w:val="007A2376"/>
    <w:rsid w:val="007B1BD2"/>
    <w:rsid w:val="007E7478"/>
    <w:rsid w:val="007F769C"/>
    <w:rsid w:val="00800E05"/>
    <w:rsid w:val="00802D05"/>
    <w:rsid w:val="00814A7D"/>
    <w:rsid w:val="00824E1E"/>
    <w:rsid w:val="008345D7"/>
    <w:rsid w:val="0085172A"/>
    <w:rsid w:val="00877694"/>
    <w:rsid w:val="00886635"/>
    <w:rsid w:val="00896DD0"/>
    <w:rsid w:val="008A2ACF"/>
    <w:rsid w:val="008D35DF"/>
    <w:rsid w:val="008E567A"/>
    <w:rsid w:val="008F75A4"/>
    <w:rsid w:val="00924281"/>
    <w:rsid w:val="00944459"/>
    <w:rsid w:val="00946C35"/>
    <w:rsid w:val="0094701F"/>
    <w:rsid w:val="00960C00"/>
    <w:rsid w:val="0099556A"/>
    <w:rsid w:val="009B033D"/>
    <w:rsid w:val="009B664A"/>
    <w:rsid w:val="009C5692"/>
    <w:rsid w:val="009D386B"/>
    <w:rsid w:val="009D5C60"/>
    <w:rsid w:val="009E44C8"/>
    <w:rsid w:val="00A15B65"/>
    <w:rsid w:val="00A27DC7"/>
    <w:rsid w:val="00A50E03"/>
    <w:rsid w:val="00A72140"/>
    <w:rsid w:val="00A82B4A"/>
    <w:rsid w:val="00A84113"/>
    <w:rsid w:val="00A84C9C"/>
    <w:rsid w:val="00AC5005"/>
    <w:rsid w:val="00AF0F8F"/>
    <w:rsid w:val="00AF6E18"/>
    <w:rsid w:val="00B173D9"/>
    <w:rsid w:val="00B24D8E"/>
    <w:rsid w:val="00B478E4"/>
    <w:rsid w:val="00BF4C45"/>
    <w:rsid w:val="00C04431"/>
    <w:rsid w:val="00C56ACF"/>
    <w:rsid w:val="00C7368A"/>
    <w:rsid w:val="00C83C51"/>
    <w:rsid w:val="00CD19AB"/>
    <w:rsid w:val="00CE6823"/>
    <w:rsid w:val="00CF21C4"/>
    <w:rsid w:val="00D024DF"/>
    <w:rsid w:val="00D06F29"/>
    <w:rsid w:val="00D21931"/>
    <w:rsid w:val="00D27AFA"/>
    <w:rsid w:val="00D36866"/>
    <w:rsid w:val="00D703A8"/>
    <w:rsid w:val="00D748D8"/>
    <w:rsid w:val="00D7622A"/>
    <w:rsid w:val="00D8348B"/>
    <w:rsid w:val="00DA0BE0"/>
    <w:rsid w:val="00DB1791"/>
    <w:rsid w:val="00DC6300"/>
    <w:rsid w:val="00DD4D74"/>
    <w:rsid w:val="00DE1504"/>
    <w:rsid w:val="00DE49AE"/>
    <w:rsid w:val="00DF115C"/>
    <w:rsid w:val="00E308B2"/>
    <w:rsid w:val="00E321F0"/>
    <w:rsid w:val="00E60535"/>
    <w:rsid w:val="00E72158"/>
    <w:rsid w:val="00EA54A8"/>
    <w:rsid w:val="00EB24AB"/>
    <w:rsid w:val="00EC156C"/>
    <w:rsid w:val="00ED33FE"/>
    <w:rsid w:val="00ED6CE9"/>
    <w:rsid w:val="00EE1BC8"/>
    <w:rsid w:val="00F016C3"/>
    <w:rsid w:val="00F049A1"/>
    <w:rsid w:val="00F25398"/>
    <w:rsid w:val="00F500A1"/>
    <w:rsid w:val="00F558D2"/>
    <w:rsid w:val="00F65709"/>
    <w:rsid w:val="00F97250"/>
    <w:rsid w:val="00FA12B5"/>
    <w:rsid w:val="00FA5F32"/>
    <w:rsid w:val="00FB527A"/>
    <w:rsid w:val="00FD2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8212"/>
  <w15:chartTrackingRefBased/>
  <w15:docId w15:val="{97B2A68D-C511-48BE-B919-0ABF28DE0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769C"/>
  </w:style>
  <w:style w:type="paragraph" w:styleId="Heading1">
    <w:name w:val="heading 1"/>
    <w:basedOn w:val="Normal"/>
    <w:next w:val="Normal"/>
    <w:link w:val="Heading1Char"/>
    <w:uiPriority w:val="9"/>
    <w:qFormat/>
    <w:rsid w:val="007F769C"/>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F769C"/>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semiHidden/>
    <w:unhideWhenUsed/>
    <w:qFormat/>
    <w:rsid w:val="007F769C"/>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semiHidden/>
    <w:unhideWhenUsed/>
    <w:qFormat/>
    <w:rsid w:val="007F769C"/>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7F769C"/>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F769C"/>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F769C"/>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F769C"/>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F769C"/>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69C"/>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7F769C"/>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semiHidden/>
    <w:rsid w:val="007F769C"/>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semiHidden/>
    <w:rsid w:val="007F769C"/>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7F769C"/>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F769C"/>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F769C"/>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F769C"/>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F769C"/>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semiHidden/>
    <w:unhideWhenUsed/>
    <w:qFormat/>
    <w:rsid w:val="007F769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F769C"/>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F769C"/>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F769C"/>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F769C"/>
    <w:rPr>
      <w:caps/>
      <w:color w:val="404040" w:themeColor="text1" w:themeTint="BF"/>
      <w:spacing w:val="20"/>
      <w:sz w:val="28"/>
      <w:szCs w:val="28"/>
    </w:rPr>
  </w:style>
  <w:style w:type="character" w:styleId="Strong">
    <w:name w:val="Strong"/>
    <w:basedOn w:val="DefaultParagraphFont"/>
    <w:uiPriority w:val="22"/>
    <w:qFormat/>
    <w:rsid w:val="007F769C"/>
    <w:rPr>
      <w:b/>
      <w:bCs/>
    </w:rPr>
  </w:style>
  <w:style w:type="character" w:styleId="Emphasis">
    <w:name w:val="Emphasis"/>
    <w:basedOn w:val="DefaultParagraphFont"/>
    <w:uiPriority w:val="20"/>
    <w:qFormat/>
    <w:rsid w:val="007F769C"/>
    <w:rPr>
      <w:i/>
      <w:iCs/>
      <w:color w:val="000000" w:themeColor="text1"/>
    </w:rPr>
  </w:style>
  <w:style w:type="paragraph" w:styleId="NoSpacing">
    <w:name w:val="No Spacing"/>
    <w:uiPriority w:val="1"/>
    <w:qFormat/>
    <w:rsid w:val="007F769C"/>
    <w:pPr>
      <w:spacing w:after="0" w:line="240" w:lineRule="auto"/>
    </w:pPr>
  </w:style>
  <w:style w:type="paragraph" w:styleId="Quote">
    <w:name w:val="Quote"/>
    <w:basedOn w:val="Normal"/>
    <w:next w:val="Normal"/>
    <w:link w:val="QuoteChar"/>
    <w:uiPriority w:val="29"/>
    <w:qFormat/>
    <w:rsid w:val="007F769C"/>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F769C"/>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F769C"/>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F769C"/>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F769C"/>
    <w:rPr>
      <w:i/>
      <w:iCs/>
      <w:color w:val="595959" w:themeColor="text1" w:themeTint="A6"/>
    </w:rPr>
  </w:style>
  <w:style w:type="character" w:styleId="IntenseEmphasis">
    <w:name w:val="Intense Emphasis"/>
    <w:basedOn w:val="DefaultParagraphFont"/>
    <w:uiPriority w:val="21"/>
    <w:qFormat/>
    <w:rsid w:val="007F769C"/>
    <w:rPr>
      <w:b/>
      <w:bCs/>
      <w:i/>
      <w:iCs/>
      <w:caps w:val="0"/>
      <w:smallCaps w:val="0"/>
      <w:strike w:val="0"/>
      <w:dstrike w:val="0"/>
      <w:color w:val="ED7D31" w:themeColor="accent2"/>
    </w:rPr>
  </w:style>
  <w:style w:type="character" w:styleId="SubtleReference">
    <w:name w:val="Subtle Reference"/>
    <w:basedOn w:val="DefaultParagraphFont"/>
    <w:uiPriority w:val="31"/>
    <w:qFormat/>
    <w:rsid w:val="007F769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F769C"/>
    <w:rPr>
      <w:b/>
      <w:bCs/>
      <w:caps w:val="0"/>
      <w:smallCaps/>
      <w:color w:val="auto"/>
      <w:spacing w:val="0"/>
      <w:u w:val="single"/>
    </w:rPr>
  </w:style>
  <w:style w:type="character" w:styleId="BookTitle">
    <w:name w:val="Book Title"/>
    <w:basedOn w:val="DefaultParagraphFont"/>
    <w:uiPriority w:val="33"/>
    <w:qFormat/>
    <w:rsid w:val="007F769C"/>
    <w:rPr>
      <w:b/>
      <w:bCs/>
      <w:caps w:val="0"/>
      <w:smallCaps/>
      <w:spacing w:val="0"/>
    </w:rPr>
  </w:style>
  <w:style w:type="paragraph" w:styleId="TOCHeading">
    <w:name w:val="TOC Heading"/>
    <w:basedOn w:val="Heading1"/>
    <w:next w:val="Normal"/>
    <w:uiPriority w:val="39"/>
    <w:semiHidden/>
    <w:unhideWhenUsed/>
    <w:qFormat/>
    <w:rsid w:val="007F769C"/>
    <w:pPr>
      <w:outlineLvl w:val="9"/>
    </w:pPr>
  </w:style>
  <w:style w:type="paragraph" w:styleId="Header">
    <w:name w:val="header"/>
    <w:basedOn w:val="Normal"/>
    <w:link w:val="HeaderChar"/>
    <w:uiPriority w:val="99"/>
    <w:unhideWhenUsed/>
    <w:rsid w:val="003D22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25A"/>
  </w:style>
  <w:style w:type="paragraph" w:styleId="Footer">
    <w:name w:val="footer"/>
    <w:basedOn w:val="Normal"/>
    <w:link w:val="FooterChar"/>
    <w:uiPriority w:val="99"/>
    <w:unhideWhenUsed/>
    <w:rsid w:val="003D22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25A"/>
  </w:style>
  <w:style w:type="paragraph" w:styleId="FootnoteText">
    <w:name w:val="footnote text"/>
    <w:basedOn w:val="Normal"/>
    <w:link w:val="FootnoteTextChar"/>
    <w:uiPriority w:val="99"/>
    <w:semiHidden/>
    <w:unhideWhenUsed/>
    <w:rsid w:val="0061602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6029"/>
    <w:rPr>
      <w:sz w:val="20"/>
      <w:szCs w:val="20"/>
    </w:rPr>
  </w:style>
  <w:style w:type="character" w:styleId="FootnoteReference">
    <w:name w:val="footnote reference"/>
    <w:basedOn w:val="DefaultParagraphFont"/>
    <w:uiPriority w:val="99"/>
    <w:semiHidden/>
    <w:unhideWhenUsed/>
    <w:rsid w:val="00616029"/>
    <w:rPr>
      <w:vertAlign w:val="superscript"/>
    </w:rPr>
  </w:style>
  <w:style w:type="paragraph" w:styleId="ListParagraph">
    <w:name w:val="List Paragraph"/>
    <w:basedOn w:val="Normal"/>
    <w:uiPriority w:val="34"/>
    <w:qFormat/>
    <w:rsid w:val="00281CB1"/>
    <w:pPr>
      <w:ind w:left="720"/>
      <w:contextualSpacing/>
    </w:pPr>
  </w:style>
  <w:style w:type="character" w:styleId="PlaceholderText">
    <w:name w:val="Placeholder Text"/>
    <w:basedOn w:val="DefaultParagraphFont"/>
    <w:uiPriority w:val="99"/>
    <w:semiHidden/>
    <w:rsid w:val="00A82B4A"/>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760</TotalTime>
  <Pages>6</Pages>
  <Words>2388</Words>
  <Characters>12275</Characters>
  <Application>Microsoft Office Word</Application>
  <DocSecurity>0</DocSecurity>
  <Lines>188</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Sharpe (1500326)</dc:creator>
  <cp:keywords/>
  <dc:description/>
  <cp:lastModifiedBy>Stephen Sharpe</cp:lastModifiedBy>
  <cp:revision>149</cp:revision>
  <dcterms:created xsi:type="dcterms:W3CDTF">2018-03-25T16:04:00Z</dcterms:created>
  <dcterms:modified xsi:type="dcterms:W3CDTF">2018-03-29T07:14:00Z</dcterms:modified>
</cp:coreProperties>
</file>