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879A2" w14:textId="4589F554" w:rsidR="008F2CBD" w:rsidRDefault="008F2CBD" w:rsidP="008F2CBD">
      <w:pPr>
        <w:pStyle w:val="paragraph"/>
        <w:spacing w:before="0" w:beforeAutospacing="0" w:after="0" w:afterAutospacing="0" w:line="360" w:lineRule="auto"/>
        <w:textAlignment w:val="baseline"/>
        <w:rPr>
          <w:rFonts w:asciiTheme="minorBidi" w:eastAsiaTheme="majorEastAsia" w:hAnsiTheme="minorBidi" w:cstheme="minorBidi"/>
          <w:b/>
          <w:bCs/>
        </w:rPr>
      </w:pPr>
      <w:r>
        <w:rPr>
          <w:rFonts w:asciiTheme="minorBidi" w:eastAsiaTheme="majorEastAsia" w:hAnsiTheme="minorBidi" w:cstheme="minorBidi"/>
          <w:b/>
          <w:bCs/>
        </w:rPr>
        <w:t xml:space="preserve">Policy Brief: Addressing </w:t>
      </w:r>
      <w:r w:rsidRPr="008F2CBD">
        <w:rPr>
          <w:rFonts w:asciiTheme="minorBidi" w:eastAsiaTheme="majorEastAsia" w:hAnsiTheme="minorBidi" w:cstheme="minorBidi"/>
          <w:b/>
          <w:bCs/>
        </w:rPr>
        <w:t>Male Health Inequalities in Socioeconomically D</w:t>
      </w:r>
      <w:r>
        <w:rPr>
          <w:rFonts w:asciiTheme="minorBidi" w:eastAsiaTheme="majorEastAsia" w:hAnsiTheme="minorBidi" w:cstheme="minorBidi"/>
          <w:b/>
          <w:bCs/>
        </w:rPr>
        <w:t>eprived</w:t>
      </w:r>
      <w:r w:rsidRPr="008F2CBD">
        <w:rPr>
          <w:rFonts w:asciiTheme="minorBidi" w:eastAsiaTheme="majorEastAsia" w:hAnsiTheme="minorBidi" w:cstheme="minorBidi"/>
          <w:b/>
          <w:bCs/>
        </w:rPr>
        <w:t xml:space="preserve"> Areas of Wales</w:t>
      </w:r>
    </w:p>
    <w:p w14:paraId="37380634" w14:textId="77777777" w:rsidR="008F2CBD" w:rsidRDefault="008F2CBD" w:rsidP="008F2CBD">
      <w:pPr>
        <w:pStyle w:val="paragraph"/>
        <w:spacing w:before="0" w:beforeAutospacing="0" w:after="0" w:afterAutospacing="0" w:line="360" w:lineRule="auto"/>
        <w:textAlignment w:val="baseline"/>
        <w:rPr>
          <w:rFonts w:asciiTheme="minorBidi" w:eastAsiaTheme="majorEastAsia" w:hAnsiTheme="minorBidi" w:cstheme="minorBidi"/>
          <w:b/>
          <w:bCs/>
        </w:rPr>
      </w:pPr>
    </w:p>
    <w:p w14:paraId="5076D2EF" w14:textId="7B52DB0B" w:rsidR="008F2CBD" w:rsidRPr="008F2CBD" w:rsidRDefault="008F2CBD" w:rsidP="008F2CBD">
      <w:pPr>
        <w:pStyle w:val="paragraph"/>
        <w:spacing w:before="0" w:beforeAutospacing="0" w:after="0" w:afterAutospacing="0" w:line="360" w:lineRule="auto"/>
        <w:textAlignment w:val="baseline"/>
        <w:rPr>
          <w:rFonts w:asciiTheme="minorBidi" w:eastAsiaTheme="majorEastAsia" w:hAnsiTheme="minorBidi" w:cstheme="minorBidi"/>
          <w:b/>
          <w:bCs/>
        </w:rPr>
      </w:pPr>
      <w:r w:rsidRPr="008F2CBD">
        <w:rPr>
          <w:rFonts w:asciiTheme="minorBidi" w:eastAsiaTheme="majorEastAsia" w:hAnsiTheme="minorBidi" w:cstheme="minorBidi"/>
          <w:b/>
          <w:bCs/>
        </w:rPr>
        <w:t>Introduction</w:t>
      </w:r>
    </w:p>
    <w:p w14:paraId="5B4957C8" w14:textId="1D74737D" w:rsidR="00A024C1" w:rsidRPr="008F2CBD" w:rsidRDefault="00A024C1" w:rsidP="008F2CBD">
      <w:pPr>
        <w:pStyle w:val="paragraph"/>
        <w:spacing w:before="0" w:beforeAutospacing="0" w:after="0" w:afterAutospacing="0" w:line="360" w:lineRule="auto"/>
        <w:textAlignment w:val="baseline"/>
        <w:rPr>
          <w:rFonts w:asciiTheme="minorBidi" w:eastAsiaTheme="majorEastAsia" w:hAnsiTheme="minorBidi" w:cstheme="minorBidi"/>
        </w:rPr>
      </w:pPr>
      <w:r w:rsidRPr="008F2CBD">
        <w:rPr>
          <w:rFonts w:asciiTheme="minorBidi" w:eastAsiaTheme="majorEastAsia" w:hAnsiTheme="minorBidi" w:cstheme="minorBidi"/>
        </w:rPr>
        <w:t>In Wales, substantial inequalities in life expectancy are apparent across socio-economic groups. Men living in the most deprived areas have an average life expectancy of 74.1 years, compared with 81.6 years for those in the least deprived areas, reflecting a gap of 7.5 years. Among women, the disparity is slightly smaller, with a difference of 6.3 years between the most and least deprived populations</w:t>
      </w:r>
      <w:r w:rsidR="00C754C7">
        <w:rPr>
          <w:rFonts w:asciiTheme="minorBidi" w:eastAsiaTheme="majorEastAsia" w:hAnsiTheme="minorBidi" w:cstheme="minorBidi"/>
        </w:rPr>
        <w:t xml:space="preserve"> (The Health Foundation, 2025).</w:t>
      </w:r>
    </w:p>
    <w:p w14:paraId="185BE1D8" w14:textId="77777777" w:rsidR="00A024C1" w:rsidRPr="008F2CBD" w:rsidRDefault="00A024C1" w:rsidP="008F2CBD">
      <w:pPr>
        <w:pStyle w:val="paragraph"/>
        <w:spacing w:before="0" w:beforeAutospacing="0" w:after="0" w:afterAutospacing="0" w:line="360" w:lineRule="auto"/>
        <w:textAlignment w:val="baseline"/>
        <w:rPr>
          <w:rStyle w:val="eop"/>
          <w:rFonts w:asciiTheme="minorBidi" w:eastAsiaTheme="majorEastAsia" w:hAnsiTheme="minorBidi" w:cstheme="minorBidi"/>
        </w:rPr>
      </w:pPr>
    </w:p>
    <w:p w14:paraId="40ABB8CC" w14:textId="77F20A33" w:rsidR="00A024C1" w:rsidRPr="008F2CBD" w:rsidRDefault="00A024C1" w:rsidP="40930696">
      <w:pPr>
        <w:pStyle w:val="paragraph"/>
        <w:spacing w:before="0" w:beforeAutospacing="0" w:after="0" w:afterAutospacing="0" w:line="360" w:lineRule="auto"/>
        <w:textAlignment w:val="baseline"/>
        <w:rPr>
          <w:rStyle w:val="eop"/>
          <w:rFonts w:asciiTheme="minorBidi" w:eastAsiaTheme="majorEastAsia" w:hAnsiTheme="minorBidi" w:cstheme="minorBidi"/>
        </w:rPr>
      </w:pPr>
      <w:r w:rsidRPr="40930696">
        <w:rPr>
          <w:rStyle w:val="normaltextrun"/>
          <w:rFonts w:asciiTheme="minorBidi" w:eastAsiaTheme="majorEastAsia" w:hAnsiTheme="minorBidi" w:cstheme="minorBidi"/>
        </w:rPr>
        <w:t>In 2020, avoidable mortality accounted for 37.0% of all male deaths in the most deprived areas of Wales, compared with 18.9% in the least deprived areas. Among females, the corresponding figures were 25.7% and 14.1%, respectively. Although avoidable mortality rates in 2020 were lower than those recorded in 2001, they nonetheless represented an increase relative to 2019. Furthermore, mortality rates in which coronavirus (COVID</w:t>
      </w:r>
      <w:r w:rsidR="00535847">
        <w:rPr>
          <w:rStyle w:val="normaltextrun"/>
          <w:rFonts w:asciiTheme="minorBidi" w:eastAsiaTheme="majorEastAsia" w:hAnsiTheme="minorBidi" w:cstheme="minorBidi"/>
        </w:rPr>
        <w:t>-</w:t>
      </w:r>
      <w:r w:rsidRPr="40930696">
        <w:rPr>
          <w:rStyle w:val="normaltextrun"/>
          <w:rFonts w:asciiTheme="minorBidi" w:eastAsiaTheme="majorEastAsia" w:hAnsiTheme="minorBidi" w:cstheme="minorBidi"/>
        </w:rPr>
        <w:t xml:space="preserve">19) was identified as an underlying cause were statistically significantly higher in the most deprived areas compared with the least deprived. Specifically, the male avoidable </w:t>
      </w:r>
      <w:r w:rsidR="7EB9A0C7" w:rsidRPr="40930696">
        <w:rPr>
          <w:rStyle w:val="normaltextrun"/>
          <w:rFonts w:asciiTheme="minorBidi" w:eastAsiaTheme="majorEastAsia" w:hAnsiTheme="minorBidi" w:cstheme="minorBidi"/>
        </w:rPr>
        <w:t>age standardised</w:t>
      </w:r>
      <w:r w:rsidRPr="40930696">
        <w:rPr>
          <w:rStyle w:val="normaltextrun"/>
          <w:rFonts w:asciiTheme="minorBidi" w:eastAsiaTheme="majorEastAsia" w:hAnsiTheme="minorBidi" w:cstheme="minorBidi"/>
        </w:rPr>
        <w:t xml:space="preserve"> mortality rate (ASMR) in the most deprived quintile was 581.6 deaths per 100,000 males, a figure that was statistically significantly greater than the 205.6 deaths per 100,000 observed in the least deprived quintile</w:t>
      </w:r>
      <w:r w:rsidR="00F9548E">
        <w:rPr>
          <w:rStyle w:val="normaltextrun"/>
          <w:rFonts w:asciiTheme="minorBidi" w:eastAsiaTheme="majorEastAsia" w:hAnsiTheme="minorBidi" w:cstheme="minorBidi"/>
        </w:rPr>
        <w:t xml:space="preserve"> (</w:t>
      </w:r>
      <w:r w:rsidR="00C518EE">
        <w:rPr>
          <w:rStyle w:val="normaltextrun"/>
          <w:rFonts w:asciiTheme="minorBidi" w:eastAsiaTheme="majorEastAsia" w:hAnsiTheme="minorBidi" w:cstheme="minorBidi"/>
        </w:rPr>
        <w:t>Office for National Statistics [ONS], 2022)</w:t>
      </w:r>
    </w:p>
    <w:p w14:paraId="523B16FE" w14:textId="77777777" w:rsidR="008F2CBD" w:rsidRDefault="008F2CBD" w:rsidP="008F2CBD">
      <w:pPr>
        <w:pStyle w:val="paragraph"/>
        <w:spacing w:before="0" w:beforeAutospacing="0" w:after="0" w:afterAutospacing="0" w:line="360" w:lineRule="auto"/>
        <w:textAlignment w:val="baseline"/>
        <w:rPr>
          <w:rStyle w:val="normaltextrun"/>
          <w:rFonts w:asciiTheme="minorBidi" w:eastAsiaTheme="majorEastAsia" w:hAnsiTheme="minorBidi" w:cstheme="minorBidi"/>
        </w:rPr>
      </w:pPr>
    </w:p>
    <w:p w14:paraId="7C6067A3" w14:textId="1E0C202D" w:rsidR="008F2CBD" w:rsidRDefault="00A024C1" w:rsidP="008F2CBD">
      <w:pPr>
        <w:pStyle w:val="paragraph"/>
        <w:spacing w:before="0" w:beforeAutospacing="0" w:after="0" w:afterAutospacing="0" w:line="360" w:lineRule="auto"/>
        <w:textAlignment w:val="baseline"/>
        <w:rPr>
          <w:rStyle w:val="eop"/>
          <w:rFonts w:asciiTheme="minorBidi" w:eastAsiaTheme="majorEastAsia" w:hAnsiTheme="minorBidi" w:cstheme="minorBidi"/>
        </w:rPr>
      </w:pPr>
      <w:r w:rsidRPr="008F2CBD">
        <w:rPr>
          <w:rStyle w:val="normaltextrun"/>
          <w:rFonts w:asciiTheme="minorBidi" w:eastAsiaTheme="majorEastAsia" w:hAnsiTheme="minorBidi" w:cstheme="minorBidi"/>
        </w:rPr>
        <w:t>This policy brief advocates for a focused intervention aimed at reducing health inequalities for adult males in deprived areas of Wales. It outlines the scale and nature of these disparities, examines the impact and proposes a policy change designed to improve long-term health outcomes for this vulnerable population.  </w:t>
      </w:r>
      <w:r w:rsidRPr="008F2CBD">
        <w:rPr>
          <w:rStyle w:val="eop"/>
          <w:rFonts w:asciiTheme="minorBidi" w:eastAsiaTheme="majorEastAsia" w:hAnsiTheme="minorBidi" w:cstheme="minorBidi"/>
        </w:rPr>
        <w:t> </w:t>
      </w:r>
    </w:p>
    <w:p w14:paraId="3E57EC4B" w14:textId="77777777" w:rsidR="008F2CBD" w:rsidRDefault="008F2CBD" w:rsidP="008F2CBD">
      <w:pPr>
        <w:pStyle w:val="paragraph"/>
        <w:spacing w:before="0" w:beforeAutospacing="0" w:after="0" w:afterAutospacing="0" w:line="360" w:lineRule="auto"/>
        <w:textAlignment w:val="baseline"/>
        <w:rPr>
          <w:rStyle w:val="eop"/>
          <w:rFonts w:asciiTheme="minorBidi" w:eastAsiaTheme="majorEastAsia" w:hAnsiTheme="minorBidi" w:cstheme="minorBidi"/>
        </w:rPr>
      </w:pPr>
    </w:p>
    <w:p w14:paraId="11A80ABE" w14:textId="71B38E53" w:rsidR="008F2CBD" w:rsidRDefault="008F2CBD" w:rsidP="00FD7E4E">
      <w:pPr>
        <w:pStyle w:val="paragraph"/>
        <w:spacing w:before="0" w:beforeAutospacing="0" w:after="0" w:afterAutospacing="0" w:line="360" w:lineRule="auto"/>
        <w:textAlignment w:val="baseline"/>
        <w:rPr>
          <w:rStyle w:val="normaltextrun"/>
          <w:rFonts w:asciiTheme="minorBidi" w:eastAsiaTheme="majorEastAsia" w:hAnsiTheme="minorBidi" w:cstheme="minorBidi"/>
          <w:b/>
          <w:bCs/>
        </w:rPr>
      </w:pPr>
      <w:r w:rsidRPr="008F2CBD">
        <w:rPr>
          <w:rStyle w:val="normaltextrun"/>
          <w:rFonts w:asciiTheme="minorBidi" w:eastAsiaTheme="majorEastAsia" w:hAnsiTheme="minorBidi" w:cstheme="minorBidi"/>
          <w:b/>
          <w:bCs/>
        </w:rPr>
        <w:t>Defining Deprivation</w:t>
      </w:r>
    </w:p>
    <w:p w14:paraId="7DDD7003" w14:textId="77777777" w:rsidR="00FD7E4E" w:rsidRPr="00FD7E4E" w:rsidRDefault="00FD7E4E" w:rsidP="00FD7E4E">
      <w:pPr>
        <w:pStyle w:val="paragraph"/>
        <w:spacing w:before="0" w:beforeAutospacing="0" w:after="0" w:afterAutospacing="0" w:line="360" w:lineRule="auto"/>
        <w:textAlignment w:val="baseline"/>
        <w:rPr>
          <w:rStyle w:val="eop"/>
          <w:rFonts w:asciiTheme="minorBidi" w:eastAsiaTheme="majorEastAsia" w:hAnsiTheme="minorBidi" w:cstheme="minorBidi"/>
          <w:b/>
          <w:bCs/>
        </w:rPr>
      </w:pPr>
    </w:p>
    <w:p w14:paraId="43025C69" w14:textId="07BFE166" w:rsidR="008F2CBD" w:rsidRPr="008F2CBD" w:rsidRDefault="008F2CBD" w:rsidP="008F2CBD">
      <w:pPr>
        <w:pStyle w:val="paragraph"/>
        <w:spacing w:before="0" w:beforeAutospacing="0" w:after="0" w:afterAutospacing="0" w:line="360" w:lineRule="auto"/>
        <w:textAlignment w:val="baseline"/>
        <w:rPr>
          <w:rFonts w:asciiTheme="minorBidi" w:hAnsiTheme="minorBidi" w:cstheme="minorBidi"/>
        </w:rPr>
      </w:pPr>
      <w:r w:rsidRPr="008F2CBD">
        <w:rPr>
          <w:rFonts w:asciiTheme="minorBidi" w:hAnsiTheme="minorBidi" w:cstheme="minorBidi"/>
        </w:rPr>
        <w:t xml:space="preserve">The term “deprivation” is frequently used as a synonym for poverty, which specifically refers to insufficient income to cover basic needs. However, deprivation </w:t>
      </w:r>
      <w:proofErr w:type="gramStart"/>
      <w:r w:rsidRPr="008F2CBD">
        <w:rPr>
          <w:rFonts w:asciiTheme="minorBidi" w:hAnsiTheme="minorBidi" w:cstheme="minorBidi"/>
        </w:rPr>
        <w:t>actually describes</w:t>
      </w:r>
      <w:proofErr w:type="gramEnd"/>
      <w:r w:rsidRPr="008F2CBD">
        <w:rPr>
          <w:rFonts w:asciiTheme="minorBidi" w:hAnsiTheme="minorBidi" w:cstheme="minorBidi"/>
        </w:rPr>
        <w:t xml:space="preserve"> a severe shortage of something regarded as essential in society. Factors such as access to healthcare, housing, and other fundamental services all </w:t>
      </w:r>
      <w:r w:rsidRPr="008F2CBD">
        <w:rPr>
          <w:rFonts w:asciiTheme="minorBidi" w:hAnsiTheme="minorBidi" w:cstheme="minorBidi"/>
        </w:rPr>
        <w:lastRenderedPageBreak/>
        <w:t xml:space="preserve">contribute to the level of deprivation </w:t>
      </w:r>
      <w:proofErr w:type="gramStart"/>
      <w:r w:rsidRPr="008F2CBD">
        <w:rPr>
          <w:rFonts w:asciiTheme="minorBidi" w:hAnsiTheme="minorBidi" w:cstheme="minorBidi"/>
        </w:rPr>
        <w:t>in a given</w:t>
      </w:r>
      <w:proofErr w:type="gramEnd"/>
      <w:r w:rsidRPr="008F2CBD">
        <w:rPr>
          <w:rFonts w:asciiTheme="minorBidi" w:hAnsiTheme="minorBidi" w:cstheme="minorBidi"/>
        </w:rPr>
        <w:t xml:space="preserve"> area</w:t>
      </w:r>
      <w:r w:rsidR="00B31E74">
        <w:rPr>
          <w:rFonts w:asciiTheme="minorBidi" w:hAnsiTheme="minorBidi" w:cstheme="minorBidi"/>
        </w:rPr>
        <w:t xml:space="preserve"> (Office for Statistics Regulation, 2025).</w:t>
      </w:r>
    </w:p>
    <w:p w14:paraId="7764BA51" w14:textId="77777777" w:rsidR="008F2CBD" w:rsidRPr="00AB2691" w:rsidRDefault="008F2CBD" w:rsidP="00AB2691">
      <w:pPr>
        <w:pStyle w:val="paragraph"/>
        <w:spacing w:before="0" w:beforeAutospacing="0" w:after="0" w:afterAutospacing="0" w:line="360" w:lineRule="auto"/>
        <w:textAlignment w:val="baseline"/>
        <w:rPr>
          <w:rStyle w:val="eop"/>
          <w:rFonts w:asciiTheme="minorBidi" w:eastAsiaTheme="majorEastAsia" w:hAnsiTheme="minorBidi" w:cstheme="minorBidi"/>
          <w:b/>
          <w:bCs/>
        </w:rPr>
      </w:pPr>
    </w:p>
    <w:p w14:paraId="3BF3CD6C" w14:textId="2F28A573" w:rsidR="008F2CBD" w:rsidRPr="00AB2691" w:rsidRDefault="008F2CBD" w:rsidP="00AB2691">
      <w:pPr>
        <w:pStyle w:val="paragraph"/>
        <w:spacing w:before="0" w:beforeAutospacing="0" w:after="0" w:afterAutospacing="0" w:line="360" w:lineRule="auto"/>
        <w:textAlignment w:val="baseline"/>
        <w:rPr>
          <w:rFonts w:asciiTheme="minorBidi" w:eastAsiaTheme="majorEastAsia" w:hAnsiTheme="minorBidi" w:cstheme="minorBidi"/>
          <w:b/>
          <w:bCs/>
        </w:rPr>
      </w:pPr>
      <w:r w:rsidRPr="00AB2691">
        <w:rPr>
          <w:rFonts w:asciiTheme="minorBidi" w:eastAsiaTheme="majorEastAsia" w:hAnsiTheme="minorBidi" w:cstheme="minorBidi"/>
          <w:b/>
          <w:bCs/>
        </w:rPr>
        <w:t xml:space="preserve">The </w:t>
      </w:r>
      <w:r w:rsidR="00AB2691" w:rsidRPr="00AB2691">
        <w:rPr>
          <w:rFonts w:asciiTheme="minorBidi" w:eastAsiaTheme="majorEastAsia" w:hAnsiTheme="minorBidi" w:cstheme="minorBidi"/>
          <w:b/>
          <w:bCs/>
        </w:rPr>
        <w:t>Impact</w:t>
      </w:r>
      <w:r w:rsidRPr="00AB2691">
        <w:rPr>
          <w:rFonts w:asciiTheme="minorBidi" w:eastAsiaTheme="majorEastAsia" w:hAnsiTheme="minorBidi" w:cstheme="minorBidi"/>
          <w:b/>
          <w:bCs/>
        </w:rPr>
        <w:t xml:space="preserve"> of Socioeconomic Deprivation on Men’s Health in Wales</w:t>
      </w:r>
    </w:p>
    <w:p w14:paraId="0B78F1B9" w14:textId="77777777" w:rsidR="00AB2691" w:rsidRDefault="00AB2691" w:rsidP="00AB2691">
      <w:pPr>
        <w:pStyle w:val="paragraph"/>
        <w:spacing w:before="0" w:beforeAutospacing="0" w:after="0" w:afterAutospacing="0" w:line="360" w:lineRule="auto"/>
        <w:textAlignment w:val="baseline"/>
        <w:rPr>
          <w:rFonts w:asciiTheme="minorBidi" w:eastAsiaTheme="majorEastAsia" w:hAnsiTheme="minorBidi" w:cstheme="minorBidi"/>
        </w:rPr>
      </w:pPr>
    </w:p>
    <w:p w14:paraId="4D50ACB3" w14:textId="4AAE4917" w:rsidR="00F94B64" w:rsidRDefault="00A024C1" w:rsidP="00F94B64">
      <w:pPr>
        <w:pStyle w:val="paragraph"/>
        <w:spacing w:before="0" w:beforeAutospacing="0" w:after="0" w:afterAutospacing="0" w:line="360" w:lineRule="auto"/>
        <w:textAlignment w:val="baseline"/>
        <w:rPr>
          <w:rFonts w:asciiTheme="minorBidi" w:eastAsiaTheme="majorEastAsia" w:hAnsiTheme="minorBidi" w:cstheme="minorBidi"/>
        </w:rPr>
      </w:pPr>
      <w:r w:rsidRPr="00AB2691">
        <w:rPr>
          <w:rFonts w:asciiTheme="minorBidi" w:eastAsiaTheme="majorEastAsia" w:hAnsiTheme="minorBidi" w:cstheme="minorBidi"/>
        </w:rPr>
        <w:t>The negative effects of deprivation on life expectancy and lifespan have been studied for over a century (</w:t>
      </w:r>
      <w:r w:rsidRPr="00056F46">
        <w:rPr>
          <w:rFonts w:asciiTheme="minorBidi" w:eastAsiaTheme="majorEastAsia" w:hAnsiTheme="minorBidi" w:cstheme="minorBidi"/>
        </w:rPr>
        <w:t>Charlton and Murphy, 1997).</w:t>
      </w:r>
      <w:r w:rsidRPr="00AB2691">
        <w:rPr>
          <w:rFonts w:asciiTheme="minorBidi" w:eastAsiaTheme="majorEastAsia" w:hAnsiTheme="minorBidi" w:cstheme="minorBidi"/>
        </w:rPr>
        <w:t xml:space="preserve"> These effects arise from a complex interplay of factors, including low educational attainment, hazardous working conditions, limited social mobility, and unhealthy lifestyle choices such as poor diet, smoking, and substance misuse. While individual </w:t>
      </w:r>
      <w:r w:rsidR="008F2CBD" w:rsidRPr="00AB2691">
        <w:rPr>
          <w:rFonts w:asciiTheme="minorBidi" w:eastAsiaTheme="majorEastAsia" w:hAnsiTheme="minorBidi" w:cstheme="minorBidi"/>
        </w:rPr>
        <w:t>behaviours</w:t>
      </w:r>
      <w:r w:rsidRPr="00AB2691">
        <w:rPr>
          <w:rFonts w:asciiTheme="minorBidi" w:eastAsiaTheme="majorEastAsia" w:hAnsiTheme="minorBidi" w:cstheme="minorBidi"/>
        </w:rPr>
        <w:t xml:space="preserve"> play a significant role, environmental exposures, such as crime, air pollution, and accidents also contribute to poorer health outcomes (Mayhew and Smith, 20</w:t>
      </w:r>
      <w:r w:rsidR="00B2779A">
        <w:rPr>
          <w:rFonts w:asciiTheme="minorBidi" w:eastAsiaTheme="majorEastAsia" w:hAnsiTheme="minorBidi" w:cstheme="minorBidi"/>
        </w:rPr>
        <w:t>21</w:t>
      </w:r>
      <w:r w:rsidRPr="00AB2691">
        <w:rPr>
          <w:rFonts w:asciiTheme="minorBidi" w:eastAsiaTheme="majorEastAsia" w:hAnsiTheme="minorBidi" w:cstheme="minorBidi"/>
        </w:rPr>
        <w:t>).</w:t>
      </w:r>
    </w:p>
    <w:p w14:paraId="1030F174" w14:textId="30627C8B" w:rsidR="00A024C1" w:rsidRPr="00AB2691" w:rsidRDefault="00A024C1" w:rsidP="00F94B64">
      <w:pPr>
        <w:pStyle w:val="paragraph"/>
        <w:spacing w:before="0" w:beforeAutospacing="0" w:after="0" w:afterAutospacing="0" w:line="360" w:lineRule="auto"/>
        <w:textAlignment w:val="baseline"/>
        <w:rPr>
          <w:rStyle w:val="normaltextrun"/>
          <w:rFonts w:asciiTheme="minorBidi" w:eastAsiaTheme="majorEastAsia" w:hAnsiTheme="minorBidi" w:cstheme="minorBidi"/>
        </w:rPr>
      </w:pPr>
      <w:r w:rsidRPr="7E203EF8">
        <w:rPr>
          <w:rFonts w:asciiTheme="minorBidi" w:eastAsiaTheme="majorEastAsia" w:hAnsiTheme="minorBidi" w:cstheme="minorBidi"/>
        </w:rPr>
        <w:t> </w:t>
      </w:r>
    </w:p>
    <w:p w14:paraId="05693748" w14:textId="04806E07" w:rsidR="00A024C1" w:rsidRPr="00AB2691" w:rsidRDefault="008F2CBD" w:rsidP="00AB2691">
      <w:pPr>
        <w:pStyle w:val="paragraph"/>
        <w:spacing w:before="0" w:beforeAutospacing="0" w:after="0" w:afterAutospacing="0" w:line="360" w:lineRule="auto"/>
        <w:textAlignment w:val="baseline"/>
        <w:rPr>
          <w:rFonts w:asciiTheme="minorBidi" w:hAnsiTheme="minorBidi" w:cstheme="minorBidi"/>
        </w:rPr>
      </w:pPr>
      <w:r w:rsidRPr="00AB2691">
        <w:rPr>
          <w:rStyle w:val="normaltextrun"/>
          <w:rFonts w:asciiTheme="minorBidi" w:eastAsiaTheme="majorEastAsia" w:hAnsiTheme="minorBidi" w:cstheme="minorBidi"/>
        </w:rPr>
        <w:t xml:space="preserve">According </w:t>
      </w:r>
      <w:r w:rsidRPr="00FD7E4E">
        <w:rPr>
          <w:rStyle w:val="normaltextrun"/>
          <w:rFonts w:asciiTheme="minorBidi" w:eastAsiaTheme="majorEastAsia" w:hAnsiTheme="minorBidi" w:cstheme="minorBidi"/>
        </w:rPr>
        <w:t>to</w:t>
      </w:r>
      <w:r w:rsidR="007051BC">
        <w:rPr>
          <w:rStyle w:val="normaltextrun"/>
          <w:rFonts w:asciiTheme="minorBidi" w:eastAsiaTheme="majorEastAsia" w:hAnsiTheme="minorBidi" w:cstheme="minorBidi"/>
        </w:rPr>
        <w:t xml:space="preserve"> Natural Resou</w:t>
      </w:r>
      <w:r w:rsidR="00FD7E4E">
        <w:rPr>
          <w:rStyle w:val="normaltextrun"/>
          <w:rFonts w:asciiTheme="minorBidi" w:eastAsiaTheme="majorEastAsia" w:hAnsiTheme="minorBidi" w:cstheme="minorBidi"/>
        </w:rPr>
        <w:t xml:space="preserve">rces Wales (2024), </w:t>
      </w:r>
      <w:r w:rsidRPr="00AB2691">
        <w:rPr>
          <w:rStyle w:val="normaltextrun"/>
          <w:rFonts w:asciiTheme="minorBidi" w:eastAsiaTheme="majorEastAsia" w:hAnsiTheme="minorBidi" w:cstheme="minorBidi"/>
        </w:rPr>
        <w:t>m</w:t>
      </w:r>
      <w:r w:rsidR="00A024C1" w:rsidRPr="00AB2691">
        <w:rPr>
          <w:rStyle w:val="normaltextrun"/>
          <w:rFonts w:asciiTheme="minorBidi" w:eastAsiaTheme="majorEastAsia" w:hAnsiTheme="minorBidi" w:cstheme="minorBidi"/>
        </w:rPr>
        <w:t>en residing in the most socio-economically deprived quintile of Wales not only experience reduced life expectancy but also spend a smaller proportion of their lives in good health, with healthy life expectancy accounting for 77% of their lifespan compared to 89% among men in the least deprived quintile. Moreover, a clear association between elevated levels of deprivation and lower physical health scores is evident in urban centres and the Welsh valleys, particularly within Swansea and Neath Port Talbot, where </w:t>
      </w:r>
      <w:proofErr w:type="gramStart"/>
      <w:r w:rsidR="00A024C1" w:rsidRPr="00AB2691">
        <w:rPr>
          <w:rStyle w:val="normaltextrun"/>
          <w:rFonts w:asciiTheme="minorBidi" w:eastAsiaTheme="majorEastAsia" w:hAnsiTheme="minorBidi" w:cstheme="minorBidi"/>
        </w:rPr>
        <w:t>the majority of</w:t>
      </w:r>
      <w:proofErr w:type="gramEnd"/>
      <w:r w:rsidR="00A024C1" w:rsidRPr="00AB2691">
        <w:rPr>
          <w:rStyle w:val="normaltextrun"/>
          <w:rFonts w:asciiTheme="minorBidi" w:eastAsiaTheme="majorEastAsia" w:hAnsiTheme="minorBidi" w:cstheme="minorBidi"/>
        </w:rPr>
        <w:t> areas record comparatively poor health outcomes.</w:t>
      </w:r>
      <w:r w:rsidR="00A024C1" w:rsidRPr="00AB2691">
        <w:rPr>
          <w:rStyle w:val="eop"/>
          <w:rFonts w:asciiTheme="minorBidi" w:eastAsiaTheme="majorEastAsia" w:hAnsiTheme="minorBidi" w:cstheme="minorBidi"/>
        </w:rPr>
        <w:t> </w:t>
      </w:r>
    </w:p>
    <w:p w14:paraId="5E978CBC" w14:textId="77777777" w:rsidR="006B6495" w:rsidRPr="00AB2691" w:rsidRDefault="006B6495" w:rsidP="00AB2691">
      <w:pPr>
        <w:pStyle w:val="paragraph"/>
        <w:spacing w:before="0" w:beforeAutospacing="0" w:after="0" w:afterAutospacing="0" w:line="360" w:lineRule="auto"/>
        <w:textAlignment w:val="baseline"/>
        <w:rPr>
          <w:rStyle w:val="normaltextrun"/>
          <w:rFonts w:asciiTheme="minorBidi" w:eastAsiaTheme="majorEastAsia" w:hAnsiTheme="minorBidi" w:cstheme="minorBidi"/>
          <w:color w:val="FF0000"/>
          <w:shd w:val="clear" w:color="auto" w:fill="FFFF00"/>
        </w:rPr>
      </w:pPr>
    </w:p>
    <w:p w14:paraId="565D97EE" w14:textId="23C18679" w:rsidR="006B6495" w:rsidRPr="0095048E" w:rsidRDefault="00AB2691" w:rsidP="00AB2691">
      <w:pPr>
        <w:pStyle w:val="paragraph"/>
        <w:spacing w:before="0" w:beforeAutospacing="0" w:after="0" w:afterAutospacing="0" w:line="360" w:lineRule="auto"/>
        <w:textAlignment w:val="baseline"/>
        <w:rPr>
          <w:rFonts w:asciiTheme="minorBidi" w:hAnsiTheme="minorBidi" w:cstheme="minorBidi"/>
        </w:rPr>
      </w:pPr>
      <w:r w:rsidRPr="0095048E">
        <w:rPr>
          <w:rStyle w:val="normaltextrun"/>
          <w:rFonts w:asciiTheme="minorBidi" w:eastAsiaTheme="majorEastAsia" w:hAnsiTheme="minorBidi" w:cstheme="minorBidi"/>
        </w:rPr>
        <w:t>Moreover,</w:t>
      </w:r>
      <w:r w:rsidR="006B6495" w:rsidRPr="0095048E">
        <w:rPr>
          <w:rStyle w:val="normaltextrun"/>
          <w:rFonts w:asciiTheme="minorBidi" w:eastAsiaTheme="majorEastAsia" w:hAnsiTheme="minorBidi" w:cstheme="minorBidi"/>
        </w:rPr>
        <w:t xml:space="preserve"> the Marmot Review (2020) reported that health inequalities have continued to widen over the past decade, with health inequity persisting in Wales. Adults residing in the most deprived regions, including the South Wales valleys and certain North Wales coastal and border towns, experience lower life expectancies (ONS, 2021a; Welsh Index of Multiple Deprivation, 2019). Furthermore, both adults and children in economically disadvantaged areas exhibit poorer health outcomes than those in the least deprived regions (EHRC, 2018). Notably, adults in deprived areas are nearly four times more likely to die from avoidable causes compared to their counterparts in the least deprived areas (Welsh Government, 2019f).</w:t>
      </w:r>
      <w:r w:rsidR="006B6495" w:rsidRPr="0095048E">
        <w:rPr>
          <w:rStyle w:val="eop"/>
          <w:rFonts w:asciiTheme="minorBidi" w:eastAsiaTheme="majorEastAsia" w:hAnsiTheme="minorBidi" w:cstheme="minorBidi"/>
        </w:rPr>
        <w:t> </w:t>
      </w:r>
    </w:p>
    <w:p w14:paraId="5F9A5D5A" w14:textId="77777777" w:rsidR="006B6495" w:rsidRPr="00AB2691" w:rsidRDefault="006B6495" w:rsidP="00AB2691">
      <w:pPr>
        <w:pStyle w:val="paragraph"/>
        <w:spacing w:before="0" w:beforeAutospacing="0" w:after="0" w:afterAutospacing="0" w:line="360" w:lineRule="auto"/>
        <w:textAlignment w:val="baseline"/>
        <w:rPr>
          <w:rStyle w:val="eop"/>
          <w:rFonts w:asciiTheme="minorBidi" w:eastAsiaTheme="majorEastAsia" w:hAnsiTheme="minorBidi" w:cstheme="minorBidi"/>
        </w:rPr>
      </w:pPr>
      <w:r w:rsidRPr="00AB2691">
        <w:rPr>
          <w:rStyle w:val="eop"/>
          <w:rFonts w:asciiTheme="minorBidi" w:eastAsiaTheme="majorEastAsia" w:hAnsiTheme="minorBidi" w:cstheme="minorBidi"/>
        </w:rPr>
        <w:t> </w:t>
      </w:r>
    </w:p>
    <w:p w14:paraId="46B1782C" w14:textId="1DFDA68D" w:rsidR="006B6495" w:rsidRPr="00AB2691" w:rsidRDefault="006B6495" w:rsidP="00AB2691">
      <w:pPr>
        <w:pStyle w:val="paragraph"/>
        <w:spacing w:before="0" w:beforeAutospacing="0" w:after="0" w:afterAutospacing="0" w:line="360" w:lineRule="auto"/>
        <w:textAlignment w:val="baseline"/>
        <w:rPr>
          <w:rFonts w:asciiTheme="minorBidi" w:hAnsiTheme="minorBidi" w:cstheme="minorBidi"/>
        </w:rPr>
      </w:pPr>
      <w:r w:rsidRPr="00AB2691">
        <w:rPr>
          <w:rStyle w:val="normaltextrun"/>
          <w:rFonts w:asciiTheme="minorBidi" w:eastAsiaTheme="majorEastAsia" w:hAnsiTheme="minorBidi" w:cstheme="minorBidi"/>
        </w:rPr>
        <w:t xml:space="preserve">National Survey data indicate that adults residing in the more socio-economically deprived regions of Wales exhibit lower consumption of fruits and vegetables, higher </w:t>
      </w:r>
      <w:r w:rsidRPr="00AB2691">
        <w:rPr>
          <w:rStyle w:val="normaltextrun"/>
          <w:rFonts w:asciiTheme="minorBidi" w:eastAsiaTheme="majorEastAsia" w:hAnsiTheme="minorBidi" w:cstheme="minorBidi"/>
        </w:rPr>
        <w:lastRenderedPageBreak/>
        <w:t>body mass indices, reduced levels of physical activity, and elevated smoking prevalence (Welsh Government, 2021). Evidence further suggests that fruit intake is positively associated with family affluence, with approximately one in ten young people from less affluent households achieving the recommended daily physical activity guidelines, compared to one in five from more affluent households (Page et al., 2021). In addition, both adults and children experiencing socio-economic disadvantage demonstrate lower participation rates in sporting activities (Sport Wales, 2019</w:t>
      </w:r>
      <w:r w:rsidR="00526200">
        <w:rPr>
          <w:rStyle w:val="normaltextrun"/>
          <w:rFonts w:asciiTheme="minorBidi" w:eastAsiaTheme="majorEastAsia" w:hAnsiTheme="minorBidi" w:cstheme="minorBidi"/>
        </w:rPr>
        <w:t xml:space="preserve"> cited in </w:t>
      </w:r>
      <w:r w:rsidR="00526200" w:rsidRPr="00056F46">
        <w:rPr>
          <w:rStyle w:val="normaltextrun"/>
          <w:rFonts w:asciiTheme="minorBidi" w:eastAsiaTheme="majorEastAsia" w:hAnsiTheme="minorBidi" w:cstheme="minorBidi"/>
          <w:color w:val="000000" w:themeColor="text1"/>
        </w:rPr>
        <w:t>Welsh Government, 2021</w:t>
      </w:r>
      <w:r w:rsidRPr="00056F46">
        <w:rPr>
          <w:rStyle w:val="normaltextrun"/>
          <w:rFonts w:asciiTheme="minorBidi" w:eastAsiaTheme="majorEastAsia" w:hAnsiTheme="minorBidi" w:cstheme="minorBidi"/>
          <w:color w:val="000000" w:themeColor="text1"/>
        </w:rPr>
        <w:t xml:space="preserve">). </w:t>
      </w:r>
      <w:r w:rsidRPr="00AB2691">
        <w:rPr>
          <w:rStyle w:val="normaltextrun"/>
          <w:rFonts w:asciiTheme="minorBidi" w:eastAsiaTheme="majorEastAsia" w:hAnsiTheme="minorBidi" w:cstheme="minorBidi"/>
        </w:rPr>
        <w:t>Collectively, these behavioural patterns contribute to adverse health outcomes, as such lifestyle factors are established risk determinants for non-communicable diseases, increased morbidity, and premature mortality (Foster et al., 2018; </w:t>
      </w:r>
      <w:proofErr w:type="spellStart"/>
      <w:r w:rsidRPr="00AB2691">
        <w:rPr>
          <w:rStyle w:val="normaltextrun"/>
          <w:rFonts w:asciiTheme="minorBidi" w:eastAsiaTheme="majorEastAsia" w:hAnsiTheme="minorBidi" w:cstheme="minorBidi"/>
        </w:rPr>
        <w:t>Stringhini</w:t>
      </w:r>
      <w:proofErr w:type="spellEnd"/>
      <w:r w:rsidRPr="00AB2691">
        <w:rPr>
          <w:rStyle w:val="normaltextrun"/>
          <w:rFonts w:asciiTheme="minorBidi" w:eastAsiaTheme="majorEastAsia" w:hAnsiTheme="minorBidi" w:cstheme="minorBidi"/>
        </w:rPr>
        <w:t> et al., 2011).</w:t>
      </w:r>
      <w:r w:rsidRPr="00AB2691">
        <w:rPr>
          <w:rStyle w:val="eop"/>
          <w:rFonts w:asciiTheme="minorBidi" w:eastAsiaTheme="majorEastAsia" w:hAnsiTheme="minorBidi" w:cstheme="minorBidi"/>
        </w:rPr>
        <w:t> </w:t>
      </w:r>
    </w:p>
    <w:p w14:paraId="6E180FFB" w14:textId="2064D7A2" w:rsidR="00A024C1" w:rsidRPr="00A024C1" w:rsidRDefault="00AB2691" w:rsidP="00AB2691">
      <w:pPr>
        <w:pStyle w:val="paragraph"/>
        <w:spacing w:line="360" w:lineRule="auto"/>
        <w:rPr>
          <w:rFonts w:asciiTheme="minorBidi" w:eastAsiaTheme="majorEastAsia" w:hAnsiTheme="minorBidi" w:cstheme="minorBidi"/>
        </w:rPr>
      </w:pPr>
      <w:r>
        <w:rPr>
          <w:rFonts w:asciiTheme="minorBidi" w:eastAsiaTheme="majorEastAsia" w:hAnsiTheme="minorBidi" w:cstheme="minorBidi"/>
        </w:rPr>
        <w:t>For example, m</w:t>
      </w:r>
      <w:r w:rsidR="00A024C1" w:rsidRPr="00A024C1">
        <w:rPr>
          <w:rFonts w:asciiTheme="minorBidi" w:eastAsiaTheme="majorEastAsia" w:hAnsiTheme="minorBidi" w:cstheme="minorBidi"/>
        </w:rPr>
        <w:t>en from disadvantaged socioeconomic backgrounds face substantially higher risks of premature death, particularly from suicide, cardiovascular disease (CVD), and cancer.</w:t>
      </w:r>
    </w:p>
    <w:p w14:paraId="504417E6" w14:textId="01B46039" w:rsidR="005C305B" w:rsidRPr="009A672A" w:rsidRDefault="00A024C1" w:rsidP="00AB2691">
      <w:pPr>
        <w:pStyle w:val="paragraph"/>
        <w:spacing w:line="360" w:lineRule="auto"/>
        <w:rPr>
          <w:rFonts w:asciiTheme="minorBidi" w:eastAsiaTheme="majorEastAsia" w:hAnsiTheme="minorBidi"/>
          <w:lang w:val="en-US"/>
        </w:rPr>
      </w:pPr>
      <w:r w:rsidRPr="00A024C1">
        <w:rPr>
          <w:rFonts w:asciiTheme="minorBidi" w:eastAsiaTheme="majorEastAsia" w:hAnsiTheme="minorBidi" w:cstheme="minorBidi"/>
          <w:b/>
          <w:bCs/>
        </w:rPr>
        <w:t>Suicide and Injury</w:t>
      </w:r>
      <w:r w:rsidRPr="00A024C1">
        <w:rPr>
          <w:rFonts w:asciiTheme="minorBidi" w:eastAsiaTheme="majorEastAsia" w:hAnsiTheme="minorBidi" w:cstheme="minorBidi"/>
        </w:rPr>
        <w:br/>
        <w:t>Among men aged 20–34, injuries and poisoning account for over half of deaths, with suicide being the leading cause. Socioeconomic deprivation is a key driver: men in Scotland’s lowest social class have up to ten times the suicide risk of their most affluent peers</w:t>
      </w:r>
      <w:r w:rsidR="00A24699">
        <w:rPr>
          <w:rFonts w:asciiTheme="minorBidi" w:eastAsiaTheme="majorEastAsia" w:hAnsiTheme="minorBidi" w:cstheme="minorBidi"/>
        </w:rPr>
        <w:t xml:space="preserve"> </w:t>
      </w:r>
      <w:r w:rsidR="005F1B28" w:rsidRPr="005F1B28">
        <w:rPr>
          <w:rFonts w:asciiTheme="minorBidi" w:eastAsiaTheme="majorEastAsia" w:hAnsiTheme="minorBidi"/>
          <w:lang w:val="en-US"/>
        </w:rPr>
        <w:t>(O’Connor, Platt and Gordon, 2011)</w:t>
      </w:r>
      <w:r w:rsidR="005F1B28">
        <w:rPr>
          <w:rFonts w:asciiTheme="minorBidi" w:eastAsiaTheme="majorEastAsia" w:hAnsiTheme="minorBidi"/>
          <w:lang w:val="en-US"/>
        </w:rPr>
        <w:t>.</w:t>
      </w:r>
      <w:r w:rsidR="00C11945">
        <w:rPr>
          <w:rFonts w:asciiTheme="minorBidi" w:eastAsiaTheme="majorEastAsia" w:hAnsiTheme="minorBidi"/>
          <w:lang w:val="en-US"/>
        </w:rPr>
        <w:t xml:space="preserve"> </w:t>
      </w:r>
      <w:r w:rsidRPr="00A024C1">
        <w:rPr>
          <w:rFonts w:asciiTheme="minorBidi" w:eastAsiaTheme="majorEastAsia" w:hAnsiTheme="minorBidi" w:cstheme="minorBidi"/>
        </w:rPr>
        <w:t>Stressful life events, financial insecurity, and unemployment, which are more common among disadvantaged men, significantly elevate suicidal behaviour. Long-term unemployment alone nearly doubles the risk of suicid</w:t>
      </w:r>
      <w:r w:rsidR="005F46B9">
        <w:rPr>
          <w:rFonts w:asciiTheme="minorBidi" w:eastAsiaTheme="majorEastAsia" w:hAnsiTheme="minorBidi" w:cstheme="minorBidi"/>
        </w:rPr>
        <w:t xml:space="preserve">e </w:t>
      </w:r>
      <w:r w:rsidR="005F46B9" w:rsidRPr="005F46B9">
        <w:rPr>
          <w:rFonts w:asciiTheme="minorBidi" w:eastAsiaTheme="majorEastAsia" w:hAnsiTheme="minorBidi"/>
          <w:lang w:val="en-US"/>
        </w:rPr>
        <w:t>(Evans and Kim, 2010)</w:t>
      </w:r>
      <w:r w:rsidR="009A672A">
        <w:rPr>
          <w:rFonts w:asciiTheme="minorBidi" w:eastAsiaTheme="majorEastAsia" w:hAnsiTheme="minorBidi"/>
          <w:lang w:val="en-US"/>
        </w:rPr>
        <w:t xml:space="preserve">. </w:t>
      </w:r>
    </w:p>
    <w:p w14:paraId="63CF22C7" w14:textId="4707D8E7" w:rsidR="00A024C1" w:rsidRDefault="00A024C1" w:rsidP="00AB2691">
      <w:pPr>
        <w:pStyle w:val="paragraph"/>
        <w:spacing w:line="360" w:lineRule="auto"/>
        <w:rPr>
          <w:rFonts w:asciiTheme="minorBidi" w:eastAsiaTheme="majorEastAsia" w:hAnsiTheme="minorBidi" w:cstheme="minorBidi"/>
        </w:rPr>
      </w:pPr>
      <w:r w:rsidRPr="00A024C1">
        <w:rPr>
          <w:rFonts w:asciiTheme="minorBidi" w:eastAsiaTheme="majorEastAsia" w:hAnsiTheme="minorBidi" w:cstheme="minorBidi"/>
          <w:b/>
          <w:bCs/>
        </w:rPr>
        <w:t>Cardiovascular Disease (CVD)</w:t>
      </w:r>
      <w:r w:rsidRPr="00A024C1">
        <w:rPr>
          <w:rFonts w:asciiTheme="minorBidi" w:eastAsiaTheme="majorEastAsia" w:hAnsiTheme="minorBidi" w:cstheme="minorBidi"/>
        </w:rPr>
        <w:br/>
        <w:t>CVD is a major cause of death among men aged 35</w:t>
      </w:r>
      <w:r w:rsidR="00F66121">
        <w:rPr>
          <w:rFonts w:asciiTheme="minorBidi" w:eastAsiaTheme="majorEastAsia" w:hAnsiTheme="minorBidi" w:cstheme="minorBidi"/>
        </w:rPr>
        <w:t>-</w:t>
      </w:r>
      <w:r w:rsidRPr="00A024C1">
        <w:rPr>
          <w:rFonts w:asciiTheme="minorBidi" w:eastAsiaTheme="majorEastAsia" w:hAnsiTheme="minorBidi" w:cstheme="minorBidi"/>
        </w:rPr>
        <w:t>64, with mortality strongly linked to socioeconomic status. Disadvantaged men face higher CVD rates due to chronic stress from poverty, insecure employment, inadequate housing, and limited social support</w:t>
      </w:r>
      <w:r w:rsidR="00A5770E">
        <w:rPr>
          <w:rFonts w:asciiTheme="minorBidi" w:eastAsiaTheme="majorEastAsia" w:hAnsiTheme="minorBidi" w:cstheme="minorBidi"/>
        </w:rPr>
        <w:t xml:space="preserve"> (</w:t>
      </w:r>
      <w:r w:rsidR="00A5770E" w:rsidRPr="00E93F07">
        <w:rPr>
          <w:rFonts w:asciiTheme="minorBidi" w:eastAsiaTheme="majorEastAsia" w:hAnsiTheme="minorBidi" w:cstheme="minorBidi"/>
        </w:rPr>
        <w:t>Bell, R., et al</w:t>
      </w:r>
      <w:r w:rsidR="00A5770E">
        <w:rPr>
          <w:rFonts w:asciiTheme="minorBidi" w:eastAsiaTheme="majorEastAsia" w:hAnsiTheme="minorBidi" w:cstheme="minorBidi"/>
        </w:rPr>
        <w:t xml:space="preserve">, 2012). </w:t>
      </w:r>
      <w:r w:rsidRPr="00A024C1">
        <w:rPr>
          <w:rFonts w:asciiTheme="minorBidi" w:eastAsiaTheme="majorEastAsia" w:hAnsiTheme="minorBidi" w:cstheme="minorBidi"/>
        </w:rPr>
        <w:t xml:space="preserve">These conditions increase the prevalence of </w:t>
      </w:r>
      <w:r w:rsidR="00AB2691">
        <w:rPr>
          <w:rFonts w:asciiTheme="minorBidi" w:eastAsiaTheme="majorEastAsia" w:hAnsiTheme="minorBidi" w:cstheme="minorBidi"/>
        </w:rPr>
        <w:t>behavioural</w:t>
      </w:r>
      <w:r w:rsidRPr="00A024C1">
        <w:rPr>
          <w:rFonts w:asciiTheme="minorBidi" w:eastAsiaTheme="majorEastAsia" w:hAnsiTheme="minorBidi" w:cstheme="minorBidi"/>
        </w:rPr>
        <w:t xml:space="preserve"> risk factors</w:t>
      </w:r>
      <w:r w:rsidR="00AB2691">
        <w:rPr>
          <w:rFonts w:asciiTheme="minorBidi" w:eastAsiaTheme="majorEastAsia" w:hAnsiTheme="minorBidi" w:cstheme="minorBidi"/>
        </w:rPr>
        <w:t xml:space="preserve">, </w:t>
      </w:r>
      <w:r w:rsidRPr="00A024C1">
        <w:rPr>
          <w:rFonts w:asciiTheme="minorBidi" w:eastAsiaTheme="majorEastAsia" w:hAnsiTheme="minorBidi" w:cstheme="minorBidi"/>
        </w:rPr>
        <w:t>including smoking, poor diet, physical inactivity, harmful alcohol consumption, and obesity</w:t>
      </w:r>
      <w:r w:rsidR="00AB2691">
        <w:rPr>
          <w:rFonts w:asciiTheme="minorBidi" w:eastAsiaTheme="majorEastAsia" w:hAnsiTheme="minorBidi" w:cstheme="minorBidi"/>
        </w:rPr>
        <w:t xml:space="preserve">, </w:t>
      </w:r>
      <w:r w:rsidRPr="00A024C1">
        <w:rPr>
          <w:rFonts w:asciiTheme="minorBidi" w:eastAsiaTheme="majorEastAsia" w:hAnsiTheme="minorBidi" w:cstheme="minorBidi"/>
        </w:rPr>
        <w:t>particularly among men with lower education or income levels. Work-related stress and job strain further elevate CVD ris</w:t>
      </w:r>
      <w:r w:rsidR="002D2431">
        <w:rPr>
          <w:rFonts w:asciiTheme="minorBidi" w:eastAsiaTheme="majorEastAsia" w:hAnsiTheme="minorBidi" w:cstheme="minorBidi"/>
        </w:rPr>
        <w:t>k (</w:t>
      </w:r>
      <w:r w:rsidR="002D2431" w:rsidRPr="003A444C">
        <w:rPr>
          <w:rFonts w:asciiTheme="minorBidi" w:eastAsiaTheme="majorEastAsia" w:hAnsiTheme="minorBidi" w:cstheme="minorBidi"/>
        </w:rPr>
        <w:t>Nyberg, S.T., et al</w:t>
      </w:r>
      <w:r w:rsidR="002D2431">
        <w:rPr>
          <w:rFonts w:asciiTheme="minorBidi" w:eastAsiaTheme="majorEastAsia" w:hAnsiTheme="minorBidi" w:cstheme="minorBidi"/>
        </w:rPr>
        <w:t xml:space="preserve">, </w:t>
      </w:r>
      <w:r w:rsidR="007055B0">
        <w:rPr>
          <w:rFonts w:asciiTheme="minorBidi" w:eastAsiaTheme="majorEastAsia" w:hAnsiTheme="minorBidi" w:cstheme="minorBidi"/>
        </w:rPr>
        <w:t>2013).</w:t>
      </w:r>
    </w:p>
    <w:p w14:paraId="2726447C" w14:textId="2DAA1586" w:rsidR="00C80C9B" w:rsidRPr="00A024C1" w:rsidRDefault="00C80C9B" w:rsidP="00AB2691">
      <w:pPr>
        <w:pStyle w:val="paragraph"/>
        <w:spacing w:line="360" w:lineRule="auto"/>
        <w:rPr>
          <w:rFonts w:asciiTheme="minorBidi" w:eastAsiaTheme="majorEastAsia" w:hAnsiTheme="minorBidi" w:cstheme="minorBidi"/>
        </w:rPr>
      </w:pPr>
    </w:p>
    <w:p w14:paraId="1C7618A4" w14:textId="055E3B20" w:rsidR="00A024C1" w:rsidRDefault="00A024C1" w:rsidP="00AB2691">
      <w:pPr>
        <w:pStyle w:val="paragraph"/>
        <w:spacing w:line="360" w:lineRule="auto"/>
        <w:rPr>
          <w:rFonts w:asciiTheme="minorBidi" w:eastAsiaTheme="majorEastAsia" w:hAnsiTheme="minorBidi" w:cstheme="minorBidi"/>
        </w:rPr>
      </w:pPr>
      <w:r w:rsidRPr="00A024C1">
        <w:rPr>
          <w:rFonts w:asciiTheme="minorBidi" w:eastAsiaTheme="majorEastAsia" w:hAnsiTheme="minorBidi" w:cstheme="minorBidi"/>
          <w:b/>
          <w:bCs/>
        </w:rPr>
        <w:t>Cancer and Other Diseases</w:t>
      </w:r>
      <w:r w:rsidRPr="00A024C1">
        <w:rPr>
          <w:rFonts w:asciiTheme="minorBidi" w:eastAsiaTheme="majorEastAsia" w:hAnsiTheme="minorBidi" w:cstheme="minorBidi"/>
        </w:rPr>
        <w:br/>
        <w:t>Cancer is the leading cause of death for men aged 35</w:t>
      </w:r>
      <w:r w:rsidR="00F66121">
        <w:rPr>
          <w:rFonts w:asciiTheme="minorBidi" w:eastAsiaTheme="majorEastAsia" w:hAnsiTheme="minorBidi" w:cstheme="minorBidi"/>
        </w:rPr>
        <w:t>-</w:t>
      </w:r>
      <w:r w:rsidRPr="00A024C1">
        <w:rPr>
          <w:rFonts w:asciiTheme="minorBidi" w:eastAsiaTheme="majorEastAsia" w:hAnsiTheme="minorBidi" w:cstheme="minorBidi"/>
        </w:rPr>
        <w:t>64. Socioeconomic disadvantage influences both exposure to risk factors (such as smoking and alcohol use) and access to early diagnosis and treatment, resulting in higher mortality</w:t>
      </w:r>
      <w:r w:rsidR="00070F24">
        <w:rPr>
          <w:rFonts w:asciiTheme="minorBidi" w:eastAsiaTheme="majorEastAsia" w:hAnsiTheme="minorBidi" w:cstheme="minorBidi"/>
        </w:rPr>
        <w:t xml:space="preserve"> (Forest, L.</w:t>
      </w:r>
      <w:r w:rsidR="00056F46">
        <w:rPr>
          <w:rFonts w:asciiTheme="minorBidi" w:eastAsiaTheme="majorEastAsia" w:hAnsiTheme="minorBidi" w:cstheme="minorBidi"/>
        </w:rPr>
        <w:t>F</w:t>
      </w:r>
      <w:r w:rsidR="00070F24">
        <w:rPr>
          <w:rFonts w:asciiTheme="minorBidi" w:eastAsiaTheme="majorEastAsia" w:hAnsiTheme="minorBidi" w:cstheme="minorBidi"/>
        </w:rPr>
        <w:t xml:space="preserve">., et al, </w:t>
      </w:r>
      <w:r w:rsidR="00BC6179">
        <w:rPr>
          <w:rFonts w:asciiTheme="minorBidi" w:eastAsiaTheme="majorEastAsia" w:hAnsiTheme="minorBidi" w:cstheme="minorBidi"/>
        </w:rPr>
        <w:t xml:space="preserve">2013). </w:t>
      </w:r>
    </w:p>
    <w:p w14:paraId="3D40984E" w14:textId="3E7C9F59" w:rsidR="00A024C1" w:rsidRPr="00AB2691" w:rsidRDefault="00A024C1" w:rsidP="00AB2691">
      <w:pPr>
        <w:pStyle w:val="paragraph"/>
        <w:spacing w:line="360" w:lineRule="auto"/>
        <w:rPr>
          <w:rStyle w:val="normaltextrun"/>
          <w:rFonts w:asciiTheme="minorBidi" w:eastAsiaTheme="majorEastAsia" w:hAnsiTheme="minorBidi" w:cstheme="minorBidi"/>
        </w:rPr>
      </w:pPr>
      <w:r w:rsidRPr="00A024C1">
        <w:rPr>
          <w:rFonts w:asciiTheme="minorBidi" w:eastAsiaTheme="majorEastAsia" w:hAnsiTheme="minorBidi" w:cstheme="minorBidi"/>
        </w:rPr>
        <w:t xml:space="preserve">Overall, </w:t>
      </w:r>
      <w:r w:rsidR="00AB2691">
        <w:rPr>
          <w:rFonts w:asciiTheme="minorBidi" w:eastAsiaTheme="majorEastAsia" w:hAnsiTheme="minorBidi" w:cstheme="minorBidi"/>
        </w:rPr>
        <w:t xml:space="preserve">evidence shows that </w:t>
      </w:r>
      <w:r w:rsidRPr="00A024C1">
        <w:rPr>
          <w:rFonts w:asciiTheme="minorBidi" w:eastAsiaTheme="majorEastAsia" w:hAnsiTheme="minorBidi" w:cstheme="minorBidi"/>
        </w:rPr>
        <w:t>socioeconomic deprivation shapes male health across the life course, increasing exposure to stress, unhealthy behaviours, and barriers to healthcare, which collectively contribute to higher rates of suicide, CVD, and cancer</w:t>
      </w:r>
    </w:p>
    <w:p w14:paraId="5F5AE7F4" w14:textId="77777777" w:rsidR="00A024C1" w:rsidRPr="00A024C1" w:rsidRDefault="00A024C1" w:rsidP="00AB2691">
      <w:pPr>
        <w:pStyle w:val="paragraph"/>
        <w:spacing w:line="360" w:lineRule="auto"/>
        <w:rPr>
          <w:rFonts w:asciiTheme="minorBidi" w:eastAsiaTheme="majorEastAsia" w:hAnsiTheme="minorBidi" w:cstheme="minorBidi"/>
        </w:rPr>
      </w:pPr>
      <w:r w:rsidRPr="00A024C1">
        <w:rPr>
          <w:rFonts w:asciiTheme="minorBidi" w:eastAsiaTheme="majorEastAsia" w:hAnsiTheme="minorBidi" w:cstheme="minorBidi"/>
          <w:b/>
          <w:bCs/>
        </w:rPr>
        <w:t>Underlying Causes of Health Inequalities</w:t>
      </w:r>
    </w:p>
    <w:p w14:paraId="3D816E0E" w14:textId="775475E6" w:rsidR="00A024C1" w:rsidRPr="006E5451" w:rsidRDefault="00AB2691" w:rsidP="00AB2691">
      <w:pPr>
        <w:pStyle w:val="paragraph"/>
        <w:spacing w:line="360" w:lineRule="auto"/>
        <w:rPr>
          <w:rFonts w:asciiTheme="minorBidi" w:eastAsiaTheme="majorEastAsia" w:hAnsiTheme="minorBidi"/>
          <w:lang w:val="en-US"/>
        </w:rPr>
      </w:pPr>
      <w:proofErr w:type="gramStart"/>
      <w:r w:rsidRPr="00AB2691">
        <w:rPr>
          <w:rFonts w:asciiTheme="minorBidi" w:eastAsiaTheme="majorEastAsia" w:hAnsiTheme="minorBidi" w:cstheme="minorBidi"/>
        </w:rPr>
        <w:t>According</w:t>
      </w:r>
      <w:proofErr w:type="gramEnd"/>
      <w:r w:rsidRPr="00AB2691">
        <w:rPr>
          <w:rFonts w:asciiTheme="minorBidi" w:eastAsiaTheme="majorEastAsia" w:hAnsiTheme="minorBidi" w:cstheme="minorBidi"/>
        </w:rPr>
        <w:t xml:space="preserve"> </w:t>
      </w:r>
      <w:r w:rsidR="006E5451" w:rsidRPr="006E5451">
        <w:rPr>
          <w:rFonts w:asciiTheme="minorBidi" w:eastAsiaTheme="majorEastAsia" w:hAnsiTheme="minorBidi"/>
          <w:lang w:val="en-US"/>
        </w:rPr>
        <w:t>Stack (2020)</w:t>
      </w:r>
      <w:r w:rsidR="006E5451">
        <w:rPr>
          <w:rFonts w:asciiTheme="minorBidi" w:eastAsiaTheme="majorEastAsia" w:hAnsiTheme="minorBidi"/>
          <w:lang w:val="en-US"/>
        </w:rPr>
        <w:t xml:space="preserve"> </w:t>
      </w:r>
      <w:r w:rsidRPr="00AB2691">
        <w:rPr>
          <w:rFonts w:asciiTheme="minorBidi" w:eastAsiaTheme="majorEastAsia" w:hAnsiTheme="minorBidi" w:cstheme="minorBidi"/>
        </w:rPr>
        <w:t>m</w:t>
      </w:r>
      <w:r w:rsidR="00A024C1" w:rsidRPr="00A024C1">
        <w:rPr>
          <w:rFonts w:asciiTheme="minorBidi" w:eastAsiaTheme="majorEastAsia" w:hAnsiTheme="minorBidi" w:cstheme="minorBidi"/>
        </w:rPr>
        <w:t>ultiple interrelated factors drive health inequalities among men:</w:t>
      </w:r>
    </w:p>
    <w:p w14:paraId="6A033190" w14:textId="067355DC" w:rsidR="009C5F78" w:rsidRDefault="00A024C1" w:rsidP="00AB2691">
      <w:pPr>
        <w:pStyle w:val="paragraph"/>
        <w:spacing w:line="360" w:lineRule="auto"/>
        <w:rPr>
          <w:rFonts w:asciiTheme="minorBidi" w:eastAsiaTheme="majorEastAsia" w:hAnsiTheme="minorBidi" w:cstheme="minorBidi"/>
        </w:rPr>
      </w:pPr>
      <w:r w:rsidRPr="00A024C1">
        <w:rPr>
          <w:rFonts w:asciiTheme="minorBidi" w:eastAsiaTheme="majorEastAsia" w:hAnsiTheme="minorBidi" w:cstheme="minorBidi"/>
          <w:b/>
          <w:bCs/>
        </w:rPr>
        <w:t>Socioeconomic factors:</w:t>
      </w:r>
      <w:r w:rsidRPr="00A024C1">
        <w:rPr>
          <w:rFonts w:asciiTheme="minorBidi" w:eastAsiaTheme="majorEastAsia" w:hAnsiTheme="minorBidi" w:cstheme="minorBidi"/>
        </w:rPr>
        <w:t xml:space="preserve"> Poverty, unemployment, and low educational attainment are linked to poorer health outcomes</w:t>
      </w:r>
      <w:r w:rsidR="001E0D58">
        <w:rPr>
          <w:rFonts w:asciiTheme="minorBidi" w:eastAsiaTheme="majorEastAsia" w:hAnsiTheme="minorBidi" w:cstheme="minorBidi"/>
        </w:rPr>
        <w:t xml:space="preserve"> (</w:t>
      </w:r>
      <w:r w:rsidR="001E0D58" w:rsidRPr="00B76CA9">
        <w:rPr>
          <w:rFonts w:asciiTheme="minorBidi" w:eastAsiaTheme="majorEastAsia" w:hAnsiTheme="minorBidi" w:cstheme="minorBidi"/>
        </w:rPr>
        <w:t>The Centre for Social Justice</w:t>
      </w:r>
      <w:r w:rsidR="001E0D58">
        <w:rPr>
          <w:rFonts w:asciiTheme="minorBidi" w:eastAsiaTheme="majorEastAsia" w:hAnsiTheme="minorBidi" w:cstheme="minorBidi"/>
        </w:rPr>
        <w:t xml:space="preserve">, </w:t>
      </w:r>
      <w:r w:rsidR="001E0D58" w:rsidRPr="00B76CA9">
        <w:rPr>
          <w:rFonts w:asciiTheme="minorBidi" w:eastAsiaTheme="majorEastAsia" w:hAnsiTheme="minorBidi" w:cstheme="minorBidi"/>
        </w:rPr>
        <w:t>2025)</w:t>
      </w:r>
      <w:r w:rsidRPr="00A024C1">
        <w:rPr>
          <w:rFonts w:asciiTheme="minorBidi" w:eastAsiaTheme="majorEastAsia" w:hAnsiTheme="minorBidi" w:cstheme="minorBidi"/>
        </w:rPr>
        <w:t>. Men living in deprived areas engage in more risk-taking behaviours and are less likely to use healthcare services</w:t>
      </w:r>
      <w:r w:rsidR="001E0D58">
        <w:rPr>
          <w:rFonts w:asciiTheme="minorBidi" w:eastAsiaTheme="majorEastAsia" w:hAnsiTheme="minorBidi" w:cstheme="minorBidi"/>
        </w:rPr>
        <w:t xml:space="preserve"> (</w:t>
      </w:r>
      <w:r w:rsidR="001E0D58" w:rsidRPr="00B233AE">
        <w:rPr>
          <w:rFonts w:asciiTheme="minorBidi" w:eastAsiaTheme="majorEastAsia" w:hAnsiTheme="minorBidi" w:cstheme="minorBidi"/>
        </w:rPr>
        <w:t>Marmot, M. et al</w:t>
      </w:r>
      <w:r w:rsidR="001E0D58">
        <w:rPr>
          <w:rFonts w:asciiTheme="minorBidi" w:eastAsiaTheme="majorEastAsia" w:hAnsiTheme="minorBidi" w:cstheme="minorBidi"/>
        </w:rPr>
        <w:t xml:space="preserve">, </w:t>
      </w:r>
      <w:r w:rsidR="001E0D58" w:rsidRPr="00B233AE">
        <w:rPr>
          <w:rFonts w:asciiTheme="minorBidi" w:eastAsiaTheme="majorEastAsia" w:hAnsiTheme="minorBidi" w:cstheme="minorBidi"/>
        </w:rPr>
        <w:t>2020)</w:t>
      </w:r>
      <w:r w:rsidRPr="00A024C1">
        <w:rPr>
          <w:rFonts w:asciiTheme="minorBidi" w:eastAsiaTheme="majorEastAsia" w:hAnsiTheme="minorBidi" w:cstheme="minorBidi"/>
        </w:rPr>
        <w:t>. A 2020 review across 26 OECD countries found that adults with higher educational attainment enjoy better health and longer lifespans than their less-educated peers</w:t>
      </w:r>
      <w:r w:rsidR="00442C76">
        <w:rPr>
          <w:rFonts w:asciiTheme="minorBidi" w:eastAsiaTheme="majorEastAsia" w:hAnsiTheme="minorBidi" w:cstheme="minorBidi"/>
        </w:rPr>
        <w:t xml:space="preserve"> (</w:t>
      </w:r>
      <w:r w:rsidR="00442C76" w:rsidRPr="00B233AE">
        <w:rPr>
          <w:rFonts w:asciiTheme="minorBidi" w:eastAsiaTheme="majorEastAsia" w:hAnsiTheme="minorBidi" w:cstheme="minorBidi"/>
        </w:rPr>
        <w:t>Raghupathi, V. and Raghupathi, W</w:t>
      </w:r>
      <w:r w:rsidR="00442C76">
        <w:rPr>
          <w:rFonts w:asciiTheme="minorBidi" w:eastAsiaTheme="majorEastAsia" w:hAnsiTheme="minorBidi" w:cstheme="minorBidi"/>
        </w:rPr>
        <w:t xml:space="preserve">, </w:t>
      </w:r>
      <w:r w:rsidR="00442C76" w:rsidRPr="00B233AE">
        <w:rPr>
          <w:rFonts w:asciiTheme="minorBidi" w:eastAsiaTheme="majorEastAsia" w:hAnsiTheme="minorBidi" w:cstheme="minorBidi"/>
        </w:rPr>
        <w:t>2020). </w:t>
      </w:r>
      <w:r w:rsidRPr="00A024C1">
        <w:rPr>
          <w:rFonts w:asciiTheme="minorBidi" w:eastAsiaTheme="majorEastAsia" w:hAnsiTheme="minorBidi" w:cstheme="minorBidi"/>
        </w:rPr>
        <w:t xml:space="preserve"> In the UK, fewer young men progress to university compared with young women (40% vs. 53% in 2023/24)</w:t>
      </w:r>
      <w:bookmarkStart w:id="0" w:name="_edn13"/>
      <w:r w:rsidR="009C5F78">
        <w:rPr>
          <w:rFonts w:asciiTheme="minorBidi" w:eastAsiaTheme="majorEastAsia" w:hAnsiTheme="minorBidi" w:cstheme="minorBidi"/>
        </w:rPr>
        <w:t xml:space="preserve"> (</w:t>
      </w:r>
      <w:r w:rsidR="009C5F78" w:rsidRPr="009C5F78">
        <w:rPr>
          <w:rFonts w:asciiTheme="minorBidi" w:eastAsiaTheme="majorEastAsia" w:hAnsiTheme="minorBidi" w:cstheme="minorBidi"/>
        </w:rPr>
        <w:t>Department for Education</w:t>
      </w:r>
      <w:r w:rsidR="009C5F78">
        <w:rPr>
          <w:rFonts w:asciiTheme="minorBidi" w:eastAsiaTheme="majorEastAsia" w:hAnsiTheme="minorBidi" w:cstheme="minorBidi"/>
        </w:rPr>
        <w:t xml:space="preserve">, </w:t>
      </w:r>
      <w:r w:rsidR="009C5F78" w:rsidRPr="009C5F78">
        <w:rPr>
          <w:rFonts w:asciiTheme="minorBidi" w:eastAsiaTheme="majorEastAsia" w:hAnsiTheme="minorBidi" w:cstheme="minorBidi"/>
        </w:rPr>
        <w:t>2023)</w:t>
      </w:r>
      <w:r w:rsidR="009C5F78">
        <w:rPr>
          <w:rFonts w:asciiTheme="minorBidi" w:eastAsiaTheme="majorEastAsia" w:hAnsiTheme="minorBidi" w:cstheme="minorBidi"/>
        </w:rPr>
        <w:t>.</w:t>
      </w:r>
    </w:p>
    <w:bookmarkEnd w:id="0"/>
    <w:p w14:paraId="1366975F" w14:textId="70C1D400" w:rsidR="00525ADF" w:rsidRDefault="00A024C1" w:rsidP="00AB2691">
      <w:pPr>
        <w:pStyle w:val="paragraph"/>
        <w:spacing w:line="360" w:lineRule="auto"/>
        <w:rPr>
          <w:rFonts w:asciiTheme="minorBidi" w:eastAsiaTheme="majorEastAsia" w:hAnsiTheme="minorBidi" w:cstheme="minorBidi"/>
        </w:rPr>
      </w:pPr>
      <w:r w:rsidRPr="00A024C1">
        <w:rPr>
          <w:rFonts w:asciiTheme="minorBidi" w:eastAsiaTheme="majorEastAsia" w:hAnsiTheme="minorBidi" w:cstheme="minorBidi"/>
          <w:b/>
          <w:bCs/>
        </w:rPr>
        <w:t>Social norms and masculinity:</w:t>
      </w:r>
      <w:r w:rsidRPr="00A024C1">
        <w:rPr>
          <w:rFonts w:asciiTheme="minorBidi" w:eastAsiaTheme="majorEastAsia" w:hAnsiTheme="minorBidi" w:cstheme="minorBidi"/>
        </w:rPr>
        <w:t xml:space="preserve"> Cultural expectations around masculinity often discourage men from seeking help, associating it with weakness. This reduces engagement with mental health support and delays medical attention for physical conditions, which is critical for early detection of diseases such as cancer and CVD. One US survey reported that men frequently delayed seeking medical care because they viewed it as a sign of weakness</w:t>
      </w:r>
      <w:r w:rsidR="00525ADF">
        <w:rPr>
          <w:rFonts w:asciiTheme="minorBidi" w:eastAsiaTheme="majorEastAsia" w:hAnsiTheme="minorBidi" w:cstheme="minorBidi"/>
        </w:rPr>
        <w:t xml:space="preserve"> (</w:t>
      </w:r>
      <w:r w:rsidR="00525ADF" w:rsidRPr="00525ADF">
        <w:rPr>
          <w:rFonts w:asciiTheme="minorBidi" w:eastAsiaTheme="majorEastAsia" w:hAnsiTheme="minorBidi" w:cstheme="minorBidi"/>
        </w:rPr>
        <w:t>Cleveland Clinic</w:t>
      </w:r>
      <w:r w:rsidR="00525ADF">
        <w:rPr>
          <w:rFonts w:asciiTheme="minorBidi" w:eastAsiaTheme="majorEastAsia" w:hAnsiTheme="minorBidi" w:cstheme="minorBidi"/>
        </w:rPr>
        <w:t xml:space="preserve">, </w:t>
      </w:r>
      <w:r w:rsidR="00525ADF" w:rsidRPr="00525ADF">
        <w:rPr>
          <w:rFonts w:asciiTheme="minorBidi" w:eastAsiaTheme="majorEastAsia" w:hAnsiTheme="minorBidi" w:cstheme="minorBidi"/>
        </w:rPr>
        <w:t>2019)</w:t>
      </w:r>
      <w:r w:rsidR="00525ADF">
        <w:rPr>
          <w:rFonts w:asciiTheme="minorBidi" w:eastAsiaTheme="majorEastAsia" w:hAnsiTheme="minorBidi" w:cstheme="minorBidi"/>
        </w:rPr>
        <w:t>.</w:t>
      </w:r>
    </w:p>
    <w:p w14:paraId="4AAD6C0D" w14:textId="780B52D3" w:rsidR="009C5F78" w:rsidRPr="00A024C1" w:rsidRDefault="00A024C1" w:rsidP="00AB2691">
      <w:pPr>
        <w:pStyle w:val="paragraph"/>
        <w:spacing w:line="360" w:lineRule="auto"/>
        <w:rPr>
          <w:rFonts w:asciiTheme="minorBidi" w:eastAsiaTheme="majorEastAsia" w:hAnsiTheme="minorBidi" w:cstheme="minorBidi"/>
        </w:rPr>
      </w:pPr>
      <w:r w:rsidRPr="00A024C1">
        <w:rPr>
          <w:rFonts w:asciiTheme="minorBidi" w:eastAsiaTheme="majorEastAsia" w:hAnsiTheme="minorBidi" w:cstheme="minorBidi"/>
          <w:b/>
          <w:bCs/>
        </w:rPr>
        <w:t>Trust in healthcare:</w:t>
      </w:r>
      <w:r w:rsidRPr="00A024C1">
        <w:rPr>
          <w:rFonts w:asciiTheme="minorBidi" w:eastAsiaTheme="majorEastAsia" w:hAnsiTheme="minorBidi" w:cstheme="minorBidi"/>
        </w:rPr>
        <w:t xml:space="preserve"> Historical disparities and perceived cultural disconnects can lead to mistrust in medical institutions. For example, some African Caribbean men </w:t>
      </w:r>
      <w:r w:rsidRPr="00A024C1">
        <w:rPr>
          <w:rFonts w:asciiTheme="minorBidi" w:eastAsiaTheme="majorEastAsia" w:hAnsiTheme="minorBidi" w:cstheme="minorBidi"/>
        </w:rPr>
        <w:lastRenderedPageBreak/>
        <w:t>avoid NHS hospitals due to concerns about cultural insensitivity among healthcare professionals</w:t>
      </w:r>
      <w:r w:rsidR="00256ED5">
        <w:rPr>
          <w:rFonts w:asciiTheme="minorBidi" w:eastAsiaTheme="majorEastAsia" w:hAnsiTheme="minorBidi" w:cstheme="minorBidi"/>
        </w:rPr>
        <w:t xml:space="preserve"> (</w:t>
      </w:r>
      <w:r w:rsidR="00256ED5" w:rsidRPr="00256ED5">
        <w:rPr>
          <w:rFonts w:asciiTheme="minorBidi" w:eastAsiaTheme="majorEastAsia" w:hAnsiTheme="minorBidi" w:cstheme="minorBidi"/>
        </w:rPr>
        <w:t>Mulugeta, B. et al., 2017)</w:t>
      </w:r>
      <w:r w:rsidR="00256ED5">
        <w:rPr>
          <w:rFonts w:asciiTheme="minorBidi" w:eastAsiaTheme="majorEastAsia" w:hAnsiTheme="minorBidi" w:cstheme="minorBidi"/>
        </w:rPr>
        <w:t>.</w:t>
      </w:r>
    </w:p>
    <w:p w14:paraId="471D7C9A" w14:textId="0993D8ED" w:rsidR="00AC6AC3" w:rsidRPr="00C61F68" w:rsidRDefault="00A024C1" w:rsidP="00A33AFE">
      <w:pPr>
        <w:pStyle w:val="paragraph"/>
        <w:spacing w:line="360" w:lineRule="auto"/>
        <w:rPr>
          <w:rStyle w:val="normaltextrun"/>
          <w:rFonts w:asciiTheme="minorBidi" w:eastAsiaTheme="majorEastAsia" w:hAnsiTheme="minorBidi"/>
          <w:lang w:val="en-US"/>
        </w:rPr>
      </w:pPr>
      <w:r w:rsidRPr="00A024C1">
        <w:rPr>
          <w:rFonts w:asciiTheme="minorBidi" w:eastAsiaTheme="majorEastAsia" w:hAnsiTheme="minorBidi" w:cstheme="minorBidi"/>
          <w:b/>
          <w:bCs/>
        </w:rPr>
        <w:t>Isolation and social support:</w:t>
      </w:r>
      <w:r w:rsidRPr="00A024C1">
        <w:rPr>
          <w:rFonts w:asciiTheme="minorBidi" w:eastAsiaTheme="majorEastAsia" w:hAnsiTheme="minorBidi" w:cstheme="minorBidi"/>
        </w:rPr>
        <w:t xml:space="preserve"> Men experiencing social isolation, particularly after family breakdown, face increased risks of distress and suicide</w:t>
      </w:r>
      <w:r w:rsidR="009C5F78">
        <w:rPr>
          <w:rFonts w:asciiTheme="minorBidi" w:eastAsiaTheme="majorEastAsia" w:hAnsiTheme="minorBidi" w:cstheme="minorBidi"/>
        </w:rPr>
        <w:t xml:space="preserve"> </w:t>
      </w:r>
      <w:r w:rsidR="00C61F68" w:rsidRPr="00C61F68">
        <w:rPr>
          <w:rFonts w:asciiTheme="minorBidi" w:eastAsiaTheme="majorEastAsia" w:hAnsiTheme="minorBidi"/>
          <w:lang w:val="en-US"/>
        </w:rPr>
        <w:t>(Stack, 2020)</w:t>
      </w:r>
      <w:r w:rsidR="00C61F68">
        <w:rPr>
          <w:rFonts w:asciiTheme="minorBidi" w:eastAsiaTheme="majorEastAsia" w:hAnsiTheme="minorBidi"/>
          <w:lang w:val="en-US"/>
        </w:rPr>
        <w:t xml:space="preserve">. </w:t>
      </w:r>
    </w:p>
    <w:p w14:paraId="29864275" w14:textId="04633794" w:rsidR="00C84982" w:rsidRPr="00C84982" w:rsidRDefault="00A33AFE" w:rsidP="00C84982">
      <w:pPr>
        <w:pStyle w:val="paragraph"/>
        <w:shd w:val="clear" w:color="auto" w:fill="FFFFFF"/>
        <w:spacing w:after="0" w:line="360" w:lineRule="auto"/>
        <w:textAlignment w:val="baseline"/>
        <w:rPr>
          <w:rFonts w:asciiTheme="minorBidi" w:eastAsiaTheme="majorEastAsia" w:hAnsiTheme="minorBidi"/>
          <w:color w:val="000000" w:themeColor="text1"/>
          <w:lang w:val="en-US"/>
        </w:rPr>
      </w:pPr>
      <w:r w:rsidRPr="00A33AFE">
        <w:rPr>
          <w:rStyle w:val="eop"/>
          <w:rFonts w:asciiTheme="minorBidi" w:eastAsiaTheme="majorEastAsia" w:hAnsiTheme="minorBidi" w:cstheme="minorBidi"/>
          <w:b/>
          <w:bCs/>
          <w:color w:val="000000" w:themeColor="text1"/>
        </w:rPr>
        <w:t>Geography</w:t>
      </w:r>
      <w:r w:rsidRPr="00A33AFE">
        <w:rPr>
          <w:rStyle w:val="eop"/>
          <w:rFonts w:asciiTheme="minorBidi" w:eastAsiaTheme="majorEastAsia" w:hAnsiTheme="minorBidi" w:cstheme="minorBidi"/>
          <w:color w:val="000000" w:themeColor="text1"/>
        </w:rPr>
        <w:t xml:space="preserve">: </w:t>
      </w:r>
      <w:r w:rsidRPr="00A33AFE">
        <w:rPr>
          <w:rFonts w:asciiTheme="minorBidi" w:eastAsiaTheme="majorEastAsia" w:hAnsiTheme="minorBidi" w:cstheme="minorBidi"/>
          <w:color w:val="000000" w:themeColor="text1"/>
        </w:rPr>
        <w:t>Access to primary care is also more limited in deprived areas due to lower availability of services and greater shortages in the general practice workforce</w:t>
      </w:r>
      <w:r w:rsidR="00C84982">
        <w:rPr>
          <w:rFonts w:asciiTheme="minorBidi" w:eastAsiaTheme="majorEastAsia" w:hAnsiTheme="minorBidi" w:cstheme="minorBidi"/>
          <w:color w:val="000000" w:themeColor="text1"/>
        </w:rPr>
        <w:t xml:space="preserve"> </w:t>
      </w:r>
      <w:r w:rsidR="00C84982" w:rsidRPr="00C84982">
        <w:rPr>
          <w:rFonts w:asciiTheme="minorBidi" w:eastAsiaTheme="majorEastAsia" w:hAnsiTheme="minorBidi"/>
          <w:color w:val="000000" w:themeColor="text1"/>
          <w:lang w:val="en-US"/>
        </w:rPr>
        <w:t>(Fenney and Raleigh, 2024)</w:t>
      </w:r>
      <w:r w:rsidR="00C84982">
        <w:rPr>
          <w:rFonts w:asciiTheme="minorBidi" w:eastAsiaTheme="majorEastAsia" w:hAnsiTheme="minorBidi"/>
          <w:color w:val="000000" w:themeColor="text1"/>
          <w:lang w:val="en-US"/>
        </w:rPr>
        <w:t>.</w:t>
      </w:r>
    </w:p>
    <w:p w14:paraId="4DD14840" w14:textId="4F5B8660" w:rsidR="00A33AFE" w:rsidRPr="00C84982" w:rsidRDefault="00A33AFE" w:rsidP="00C84982">
      <w:pPr>
        <w:pStyle w:val="paragraph"/>
        <w:shd w:val="clear" w:color="auto" w:fill="FFFFFF"/>
        <w:spacing w:after="0" w:line="360" w:lineRule="auto"/>
        <w:textAlignment w:val="baseline"/>
        <w:rPr>
          <w:rFonts w:asciiTheme="minorBidi" w:eastAsiaTheme="majorEastAsia" w:hAnsiTheme="minorBidi"/>
          <w:color w:val="000000" w:themeColor="text1"/>
          <w:lang w:val="en-US"/>
        </w:rPr>
      </w:pPr>
      <w:r w:rsidRPr="00A33AFE">
        <w:rPr>
          <w:rFonts w:asciiTheme="minorBidi" w:eastAsiaTheme="majorEastAsia" w:hAnsiTheme="minorBidi"/>
          <w:b/>
          <w:bCs/>
          <w:color w:val="000000" w:themeColor="text1"/>
        </w:rPr>
        <w:t>Characteristics:</w:t>
      </w:r>
      <w:r w:rsidRPr="00A33AFE">
        <w:rPr>
          <w:rFonts w:asciiTheme="minorBidi" w:eastAsiaTheme="majorEastAsia" w:hAnsiTheme="minorBidi"/>
          <w:color w:val="000000" w:themeColor="text1"/>
        </w:rPr>
        <w:t xml:space="preserve"> In addition to socio-economic and geographical disparities, other factors contribute to health inequalities among men. For instance, Black men are at higher risk of being diagnosed with severe mental health conditions, and older GBTQ (gay, bisexual, trans, and queer) men are more likely to experience poor health and reduced wellbeing</w:t>
      </w:r>
      <w:r w:rsidR="00C84982">
        <w:rPr>
          <w:rFonts w:asciiTheme="minorBidi" w:eastAsiaTheme="majorEastAsia" w:hAnsiTheme="minorBidi"/>
          <w:color w:val="000000" w:themeColor="text1"/>
        </w:rPr>
        <w:t xml:space="preserve"> </w:t>
      </w:r>
      <w:r w:rsidR="00C84982" w:rsidRPr="00C84982">
        <w:rPr>
          <w:rFonts w:asciiTheme="minorBidi" w:eastAsiaTheme="majorEastAsia" w:hAnsiTheme="minorBidi"/>
          <w:color w:val="000000" w:themeColor="text1"/>
          <w:lang w:val="en-US"/>
        </w:rPr>
        <w:t>(Fenney and Raleigh, 2024</w:t>
      </w:r>
      <w:r w:rsidR="00C84982">
        <w:rPr>
          <w:rFonts w:asciiTheme="minorBidi" w:eastAsiaTheme="majorEastAsia" w:hAnsiTheme="minorBidi"/>
          <w:color w:val="000000" w:themeColor="text1"/>
          <w:lang w:val="en-US"/>
        </w:rPr>
        <w:t>).</w:t>
      </w:r>
    </w:p>
    <w:p w14:paraId="77E4C703" w14:textId="77777777" w:rsidR="00A312E2" w:rsidRDefault="00A312E2" w:rsidP="00AB2691">
      <w:pPr>
        <w:spacing w:line="360" w:lineRule="auto"/>
        <w:rPr>
          <w:rFonts w:asciiTheme="minorBidi" w:hAnsiTheme="minorBidi"/>
        </w:rPr>
      </w:pPr>
    </w:p>
    <w:p w14:paraId="62E6D5CC" w14:textId="6494D2B4" w:rsidR="00A33AFE" w:rsidRDefault="00A33AFE" w:rsidP="00A33AFE">
      <w:pPr>
        <w:spacing w:line="360" w:lineRule="auto"/>
        <w:rPr>
          <w:rFonts w:asciiTheme="minorBidi" w:hAnsiTheme="minorBidi"/>
          <w:b/>
          <w:bCs/>
        </w:rPr>
      </w:pPr>
      <w:r w:rsidRPr="00056F46">
        <w:rPr>
          <w:rFonts w:asciiTheme="minorBidi" w:hAnsiTheme="minorBidi"/>
          <w:b/>
          <w:bCs/>
        </w:rPr>
        <w:t>Strategies to Address Health Inequalities Among Men in Deprived Welsh Communities</w:t>
      </w:r>
    </w:p>
    <w:p w14:paraId="06727F6A" w14:textId="77777777" w:rsidR="00B11F30" w:rsidRPr="00B11F30" w:rsidRDefault="00B11F30" w:rsidP="00B11F30">
      <w:pPr>
        <w:spacing w:line="360" w:lineRule="auto"/>
        <w:rPr>
          <w:rFonts w:ascii="Arial" w:eastAsia="Arial" w:hAnsi="Arial" w:cs="Arial"/>
          <w:lang w:val="en-US"/>
        </w:rPr>
      </w:pPr>
      <w:r w:rsidRPr="00B11F30">
        <w:rPr>
          <w:rFonts w:ascii="Arial" w:eastAsia="Arial" w:hAnsi="Arial" w:cs="Arial"/>
          <w:lang w:val="en-US"/>
        </w:rPr>
        <w:t xml:space="preserve">The Well-being of Future Generations (Wales) Act was enacted into law in 2015. The Act contains seven aims, two of which are 'A healthier </w:t>
      </w:r>
      <w:proofErr w:type="spellStart"/>
      <w:r w:rsidRPr="00B11F30">
        <w:rPr>
          <w:rFonts w:ascii="Arial" w:eastAsia="Arial" w:hAnsi="Arial" w:cs="Arial"/>
          <w:lang w:val="en-US"/>
        </w:rPr>
        <w:t>Wales'</w:t>
      </w:r>
      <w:proofErr w:type="spellEnd"/>
      <w:r w:rsidRPr="00B11F30">
        <w:rPr>
          <w:rFonts w:ascii="Arial" w:eastAsia="Arial" w:hAnsi="Arial" w:cs="Arial"/>
          <w:lang w:val="en-US"/>
        </w:rPr>
        <w:t xml:space="preserve"> and 'A more equal Wales'. It requires public entities in Wales to collaborate with others to achieve these goals. A Future Generations Commissioner has been appointed to oversee that the Act is implemented and to track progress toward well-being goals using 46 national indicators (Welsh Government, 2016). The Act has been largely regarded as innovative and groundbreaking legislation (</w:t>
      </w:r>
      <w:proofErr w:type="spellStart"/>
      <w:r w:rsidRPr="00B11F30">
        <w:rPr>
          <w:rFonts w:ascii="Arial" w:eastAsia="Arial" w:hAnsi="Arial" w:cs="Arial"/>
          <w:lang w:val="en-US"/>
        </w:rPr>
        <w:t>Messham</w:t>
      </w:r>
      <w:proofErr w:type="spellEnd"/>
      <w:r w:rsidRPr="00B11F30">
        <w:rPr>
          <w:rFonts w:ascii="Arial" w:eastAsia="Arial" w:hAnsi="Arial" w:cs="Arial"/>
          <w:lang w:val="en-US"/>
        </w:rPr>
        <w:t xml:space="preserve"> and Sheard, 2020).</w:t>
      </w:r>
    </w:p>
    <w:p w14:paraId="5C88393A" w14:textId="5242B13C" w:rsidR="0047231C" w:rsidRPr="00246AB8" w:rsidRDefault="0047231C" w:rsidP="4EA236A1">
      <w:pPr>
        <w:spacing w:line="360" w:lineRule="auto"/>
        <w:rPr>
          <w:rFonts w:ascii="Arial" w:eastAsia="Arial" w:hAnsi="Arial" w:cs="Arial"/>
          <w:lang w:val="en-US"/>
        </w:rPr>
      </w:pPr>
      <w:r w:rsidRPr="0047231C">
        <w:rPr>
          <w:rFonts w:ascii="Arial" w:eastAsia="Arial" w:hAnsi="Arial" w:cs="Arial"/>
          <w:lang w:val="en-US"/>
        </w:rPr>
        <w:t>The Socio-economic requirement went into effect in Wales in 2021, imposing a statutory requirement on public organizations to evaluate how their strategic decisions can improve outcomes for those who face socioeconomic disadvantage (Welsh Government, 2021a). It also incorporates an understanding of socioeconomic disparity into the Well-Being of Future Generations Act's goal of More Equal Wales.</w:t>
      </w:r>
    </w:p>
    <w:p w14:paraId="6E347789" w14:textId="75F78031" w:rsidR="00246AB8" w:rsidRPr="0051580D" w:rsidRDefault="00246AB8" w:rsidP="4EA236A1">
      <w:pPr>
        <w:spacing w:line="360" w:lineRule="auto"/>
        <w:rPr>
          <w:rFonts w:ascii="Arial" w:eastAsia="Arial" w:hAnsi="Arial" w:cs="Arial"/>
          <w:lang w:val="en-US"/>
        </w:rPr>
      </w:pPr>
      <w:r w:rsidRPr="00246AB8">
        <w:rPr>
          <w:rFonts w:ascii="Arial" w:eastAsia="Arial" w:hAnsi="Arial" w:cs="Arial"/>
          <w:lang w:val="en-US"/>
        </w:rPr>
        <w:t xml:space="preserve">The Health and Social Care (Quality and Engagement) (Wales) Act took effect in 2023 (Welsh Government, 2023a). The Act is divided into four parts: "Duty of </w:t>
      </w:r>
      <w:r w:rsidRPr="00246AB8">
        <w:rPr>
          <w:rFonts w:ascii="Arial" w:eastAsia="Arial" w:hAnsi="Arial" w:cs="Arial"/>
          <w:lang w:val="en-US"/>
        </w:rPr>
        <w:lastRenderedPageBreak/>
        <w:t xml:space="preserve">Quality," "Duty of </w:t>
      </w:r>
      <w:proofErr w:type="spellStart"/>
      <w:r w:rsidRPr="00246AB8">
        <w:rPr>
          <w:rFonts w:ascii="Arial" w:eastAsia="Arial" w:hAnsi="Arial" w:cs="Arial"/>
          <w:lang w:val="en-US"/>
        </w:rPr>
        <w:t>Candour</w:t>
      </w:r>
      <w:proofErr w:type="spellEnd"/>
      <w:r w:rsidRPr="00246AB8">
        <w:rPr>
          <w:rFonts w:ascii="Arial" w:eastAsia="Arial" w:hAnsi="Arial" w:cs="Arial"/>
          <w:lang w:val="en-US"/>
        </w:rPr>
        <w:t>," "Citizen Voice Body (Llais)," and "Vice Chairs of NHS Trusts." Introducing a duty of quality necessitates that NHS entities, including Public Health Wales, take a system-wide approach to enhancing patient care and population outcomes.</w:t>
      </w:r>
    </w:p>
    <w:p w14:paraId="0FCB68FC" w14:textId="77777777" w:rsidR="0051580D" w:rsidRPr="0051580D" w:rsidRDefault="0051580D" w:rsidP="0051580D">
      <w:pPr>
        <w:spacing w:line="360" w:lineRule="auto"/>
        <w:rPr>
          <w:rFonts w:ascii="Arial" w:eastAsia="Arial" w:hAnsi="Arial" w:cs="Arial"/>
          <w:lang w:val="en-US"/>
        </w:rPr>
      </w:pPr>
      <w:r w:rsidRPr="0051580D">
        <w:rPr>
          <w:rFonts w:ascii="Arial" w:eastAsia="Arial" w:hAnsi="Arial" w:cs="Arial"/>
          <w:lang w:val="en-US"/>
        </w:rPr>
        <w:t xml:space="preserve">The Public Health (Wales) Act 2017 required the Welsh Government to make Health Impact Assessments (HIAs) mandatory in certain instances. HIAs can help identify steps that improve good health outcomes while decreasing negative ones, as well as highlight how improvements can reduce inequities, promote health, and develop supportive settings. This approach, which is part of the government's "Health in All Policies" agenda, has been recognized by WHO as a watershed moment in </w:t>
      </w:r>
      <w:proofErr w:type="spellStart"/>
      <w:r w:rsidRPr="0051580D">
        <w:rPr>
          <w:rFonts w:ascii="Arial" w:eastAsia="Arial" w:hAnsi="Arial" w:cs="Arial"/>
          <w:lang w:val="en-US"/>
        </w:rPr>
        <w:t>Wales'</w:t>
      </w:r>
      <w:proofErr w:type="spellEnd"/>
      <w:r w:rsidRPr="0051580D">
        <w:rPr>
          <w:rFonts w:ascii="Arial" w:eastAsia="Arial" w:hAnsi="Arial" w:cs="Arial"/>
          <w:lang w:val="en-US"/>
        </w:rPr>
        <w:t xml:space="preserve"> journey to becoming a well-being economy. The Health Impact Assessment (Wales) Regulations are now being consulted (Welsh Government, 2023b).</w:t>
      </w:r>
    </w:p>
    <w:p w14:paraId="43A2C783" w14:textId="77777777" w:rsidR="00A61637" w:rsidRPr="00A61637" w:rsidRDefault="00A61637" w:rsidP="00A61637">
      <w:pPr>
        <w:spacing w:line="360" w:lineRule="auto"/>
        <w:rPr>
          <w:rFonts w:asciiTheme="minorBidi" w:hAnsiTheme="minorBidi"/>
          <w:b/>
          <w:bCs/>
        </w:rPr>
      </w:pPr>
      <w:r w:rsidRPr="00A61637">
        <w:rPr>
          <w:rFonts w:asciiTheme="minorBidi" w:hAnsiTheme="minorBidi"/>
          <w:b/>
          <w:bCs/>
        </w:rPr>
        <w:t>Recommendations</w:t>
      </w:r>
    </w:p>
    <w:p w14:paraId="56CCCF45" w14:textId="6704D022" w:rsidR="00A61637" w:rsidRPr="008D0470" w:rsidRDefault="00A61637" w:rsidP="00A61637">
      <w:pPr>
        <w:spacing w:line="360" w:lineRule="auto"/>
        <w:rPr>
          <w:rFonts w:asciiTheme="minorBidi" w:hAnsiTheme="minorBidi"/>
        </w:rPr>
      </w:pPr>
      <w:r w:rsidRPr="008D0470">
        <w:rPr>
          <w:rFonts w:asciiTheme="minorBidi" w:hAnsiTheme="minorBidi"/>
        </w:rPr>
        <w:t>Reducing male health inequalities in deprived areas of Wales requires targeted, accessible, and gender-</w:t>
      </w:r>
      <w:r w:rsidR="00DD363B" w:rsidRPr="008D0470">
        <w:rPr>
          <w:rFonts w:asciiTheme="minorBidi" w:hAnsiTheme="minorBidi"/>
        </w:rPr>
        <w:t>based</w:t>
      </w:r>
      <w:r w:rsidRPr="008D0470">
        <w:rPr>
          <w:rFonts w:asciiTheme="minorBidi" w:hAnsiTheme="minorBidi"/>
        </w:rPr>
        <w:t xml:space="preserve"> interventions. Evidence shows that men in low-income communities experience higher rates of chronic disease due to chronic stress, limited healthcare access, and social norms that </w:t>
      </w:r>
      <w:r w:rsidR="00CE70C2" w:rsidRPr="008D0470">
        <w:rPr>
          <w:rFonts w:asciiTheme="minorBidi" w:hAnsiTheme="minorBidi"/>
        </w:rPr>
        <w:t>prevent seeking help</w:t>
      </w:r>
      <w:r w:rsidR="001C5E9D" w:rsidRPr="008D0470">
        <w:rPr>
          <w:rFonts w:asciiTheme="minorBidi" w:hAnsiTheme="minorBidi"/>
        </w:rPr>
        <w:t xml:space="preserve"> (Fenney and Raleigh, 2024).</w:t>
      </w:r>
      <w:r w:rsidRPr="008D0470">
        <w:rPr>
          <w:rFonts w:asciiTheme="minorBidi" w:hAnsiTheme="minorBidi"/>
        </w:rPr>
        <w:t xml:space="preserve"> A </w:t>
      </w:r>
      <w:r w:rsidR="00CE70C2" w:rsidRPr="008D0470">
        <w:rPr>
          <w:rFonts w:asciiTheme="minorBidi" w:hAnsiTheme="minorBidi"/>
        </w:rPr>
        <w:t>joint</w:t>
      </w:r>
      <w:r w:rsidRPr="008D0470">
        <w:rPr>
          <w:rFonts w:asciiTheme="minorBidi" w:hAnsiTheme="minorBidi"/>
        </w:rPr>
        <w:t xml:space="preserve"> response should therefore improve service reach, </w:t>
      </w:r>
      <w:r w:rsidR="00616E6F" w:rsidRPr="008D0470">
        <w:rPr>
          <w:rFonts w:asciiTheme="minorBidi" w:hAnsiTheme="minorBidi"/>
        </w:rPr>
        <w:t>focus on</w:t>
      </w:r>
      <w:r w:rsidRPr="008D0470">
        <w:rPr>
          <w:rFonts w:asciiTheme="minorBidi" w:hAnsiTheme="minorBidi"/>
        </w:rPr>
        <w:t xml:space="preserve"> prevention, and </w:t>
      </w:r>
      <w:r w:rsidR="00616E6F" w:rsidRPr="008D0470">
        <w:rPr>
          <w:rFonts w:asciiTheme="minorBidi" w:hAnsiTheme="minorBidi"/>
        </w:rPr>
        <w:t xml:space="preserve">consider </w:t>
      </w:r>
      <w:r w:rsidRPr="008D0470">
        <w:rPr>
          <w:rFonts w:asciiTheme="minorBidi" w:hAnsiTheme="minorBidi"/>
        </w:rPr>
        <w:t xml:space="preserve">wider social </w:t>
      </w:r>
      <w:r w:rsidR="00E613E6" w:rsidRPr="008D0470">
        <w:rPr>
          <w:rFonts w:asciiTheme="minorBidi" w:hAnsiTheme="minorBidi"/>
        </w:rPr>
        <w:t>factors</w:t>
      </w:r>
      <w:r w:rsidRPr="008D0470">
        <w:rPr>
          <w:rFonts w:asciiTheme="minorBidi" w:hAnsiTheme="minorBidi"/>
        </w:rPr>
        <w:t xml:space="preserve"> of health</w:t>
      </w:r>
      <w:r w:rsidR="00523324" w:rsidRPr="008D0470">
        <w:rPr>
          <w:rFonts w:asciiTheme="minorBidi" w:hAnsiTheme="minorBidi"/>
        </w:rPr>
        <w:t xml:space="preserve">, like housing. </w:t>
      </w:r>
    </w:p>
    <w:p w14:paraId="76DAA354" w14:textId="69407F9C" w:rsidR="007F2B39" w:rsidRPr="008D0470" w:rsidRDefault="00A61637" w:rsidP="00925776">
      <w:pPr>
        <w:spacing w:line="360" w:lineRule="auto"/>
        <w:rPr>
          <w:rFonts w:asciiTheme="minorBidi" w:hAnsiTheme="minorBidi"/>
        </w:rPr>
      </w:pPr>
      <w:r w:rsidRPr="008D0470">
        <w:rPr>
          <w:rFonts w:asciiTheme="minorBidi" w:hAnsiTheme="minorBidi"/>
        </w:rPr>
        <w:t xml:space="preserve">First, male-focused mobile health clinics </w:t>
      </w:r>
      <w:r w:rsidR="0019278B" w:rsidRPr="008D0470">
        <w:rPr>
          <w:rFonts w:asciiTheme="minorBidi" w:hAnsiTheme="minorBidi"/>
        </w:rPr>
        <w:t>could</w:t>
      </w:r>
      <w:r w:rsidRPr="008D0470">
        <w:rPr>
          <w:rFonts w:asciiTheme="minorBidi" w:hAnsiTheme="minorBidi"/>
        </w:rPr>
        <w:t xml:space="preserve"> be introduced by Public Health Wales and local health boards to provide cardiovascular and cancer screening within deprived communities. The success of Wales’s abdominal aortic aneurysm screening programme</w:t>
      </w:r>
      <w:r w:rsidR="0019278B" w:rsidRPr="008D0470">
        <w:rPr>
          <w:rFonts w:asciiTheme="minorBidi" w:hAnsiTheme="minorBidi"/>
        </w:rPr>
        <w:t xml:space="preserve">, </w:t>
      </w:r>
      <w:r w:rsidRPr="008D0470">
        <w:rPr>
          <w:rFonts w:asciiTheme="minorBidi" w:hAnsiTheme="minorBidi"/>
        </w:rPr>
        <w:t>where uptake approached 75% and several early diagnoses led to life-saving treatment</w:t>
      </w:r>
      <w:r w:rsidR="00925776" w:rsidRPr="008D0470">
        <w:rPr>
          <w:rFonts w:asciiTheme="minorBidi" w:hAnsiTheme="minorBidi"/>
        </w:rPr>
        <w:t xml:space="preserve"> (Welsh Government, 2016), </w:t>
      </w:r>
      <w:r w:rsidR="00431299" w:rsidRPr="008D0470">
        <w:rPr>
          <w:rFonts w:asciiTheme="minorBidi" w:hAnsiTheme="minorBidi"/>
        </w:rPr>
        <w:t>shows</w:t>
      </w:r>
      <w:r w:rsidRPr="008D0470">
        <w:rPr>
          <w:rFonts w:asciiTheme="minorBidi" w:hAnsiTheme="minorBidi"/>
        </w:rPr>
        <w:t xml:space="preserve"> that men engage with accessible, targeted screening. Expanding this model would support earlier detection and reduce avoidable mortality</w:t>
      </w:r>
      <w:r w:rsidR="00925776" w:rsidRPr="008D0470">
        <w:rPr>
          <w:rFonts w:asciiTheme="minorBidi" w:hAnsiTheme="minorBidi"/>
        </w:rPr>
        <w:t>.</w:t>
      </w:r>
    </w:p>
    <w:p w14:paraId="31A25E57" w14:textId="25792D63" w:rsidR="00A61637" w:rsidRPr="00321E6A" w:rsidRDefault="00A61637" w:rsidP="00F369A5">
      <w:pPr>
        <w:spacing w:line="360" w:lineRule="auto"/>
        <w:rPr>
          <w:rFonts w:asciiTheme="minorBidi" w:hAnsiTheme="minorBidi"/>
        </w:rPr>
      </w:pPr>
      <w:r w:rsidRPr="00321E6A">
        <w:rPr>
          <w:rFonts w:asciiTheme="minorBidi" w:hAnsiTheme="minorBidi"/>
        </w:rPr>
        <w:t xml:space="preserve">Second, mental health support </w:t>
      </w:r>
      <w:r w:rsidR="00D6120F" w:rsidRPr="00321E6A">
        <w:rPr>
          <w:rFonts w:asciiTheme="minorBidi" w:hAnsiTheme="minorBidi"/>
        </w:rPr>
        <w:t>should</w:t>
      </w:r>
      <w:r w:rsidRPr="00321E6A">
        <w:rPr>
          <w:rFonts w:asciiTheme="minorBidi" w:hAnsiTheme="minorBidi"/>
        </w:rPr>
        <w:t xml:space="preserve"> be designed in ways that reflect how men prefer to engage. Research shows that activity-based, community-based, and peer-supported programmes are more acceptable to men and help reduce stigma</w:t>
      </w:r>
      <w:r w:rsidR="00F369A5" w:rsidRPr="00321E6A">
        <w:rPr>
          <w:rFonts w:asciiTheme="minorBidi" w:hAnsiTheme="minorBidi"/>
        </w:rPr>
        <w:t xml:space="preserve"> (Robertson et al.</w:t>
      </w:r>
      <w:r w:rsidR="00D97FE4" w:rsidRPr="00321E6A">
        <w:rPr>
          <w:rFonts w:asciiTheme="minorBidi" w:hAnsiTheme="minorBidi"/>
        </w:rPr>
        <w:t xml:space="preserve">, </w:t>
      </w:r>
      <w:r w:rsidR="00F369A5" w:rsidRPr="00321E6A">
        <w:rPr>
          <w:rFonts w:asciiTheme="minorBidi" w:hAnsiTheme="minorBidi"/>
        </w:rPr>
        <w:t>2015)</w:t>
      </w:r>
      <w:r w:rsidR="00D5670A" w:rsidRPr="00321E6A">
        <w:rPr>
          <w:rFonts w:asciiTheme="minorBidi" w:hAnsiTheme="minorBidi"/>
        </w:rPr>
        <w:t>. H</w:t>
      </w:r>
      <w:r w:rsidRPr="00321E6A">
        <w:rPr>
          <w:rFonts w:asciiTheme="minorBidi" w:hAnsiTheme="minorBidi"/>
        </w:rPr>
        <w:t xml:space="preserve">ealth boards should therefore </w:t>
      </w:r>
      <w:r w:rsidR="00D5670A" w:rsidRPr="00321E6A">
        <w:rPr>
          <w:rFonts w:asciiTheme="minorBidi" w:hAnsiTheme="minorBidi"/>
        </w:rPr>
        <w:t>develop</w:t>
      </w:r>
      <w:r w:rsidRPr="00321E6A">
        <w:rPr>
          <w:rFonts w:asciiTheme="minorBidi" w:hAnsiTheme="minorBidi"/>
        </w:rPr>
        <w:t xml:space="preserve"> mental health interventions with local men and voluntary organisations to ensure relevance and uptake.</w:t>
      </w:r>
    </w:p>
    <w:p w14:paraId="3D0A03AD" w14:textId="48C57CCB" w:rsidR="00A61637" w:rsidRPr="004277D4" w:rsidRDefault="00A61637" w:rsidP="00A61637">
      <w:pPr>
        <w:spacing w:line="360" w:lineRule="auto"/>
        <w:rPr>
          <w:rFonts w:asciiTheme="minorBidi" w:hAnsiTheme="minorBidi"/>
        </w:rPr>
      </w:pPr>
      <w:r w:rsidRPr="004277D4">
        <w:rPr>
          <w:rFonts w:asciiTheme="minorBidi" w:hAnsiTheme="minorBidi"/>
        </w:rPr>
        <w:lastRenderedPageBreak/>
        <w:t>Third, workforce shortages in deprived areas limit early diagnosis and continuity of care</w:t>
      </w:r>
      <w:r w:rsidR="00577B46" w:rsidRPr="004277D4">
        <w:rPr>
          <w:rFonts w:asciiTheme="minorBidi" w:hAnsiTheme="minorBidi"/>
        </w:rPr>
        <w:t xml:space="preserve"> (Fenney and Raleigh, </w:t>
      </w:r>
      <w:r w:rsidR="000470CF" w:rsidRPr="004277D4">
        <w:rPr>
          <w:rFonts w:asciiTheme="minorBidi" w:hAnsiTheme="minorBidi"/>
        </w:rPr>
        <w:t>2024).</w:t>
      </w:r>
      <w:r w:rsidRPr="004277D4">
        <w:rPr>
          <w:rFonts w:asciiTheme="minorBidi" w:hAnsiTheme="minorBidi"/>
        </w:rPr>
        <w:t xml:space="preserve"> The Welsh Government should introduce targeted recruitment incentives for GPs, advanced practitioners, and mental health nurses in high-need communities. In the short term, telehealth hubs can expand access to consultations while longer-term staffing solutions are implemented.</w:t>
      </w:r>
    </w:p>
    <w:p w14:paraId="443BD60B" w14:textId="079083DB" w:rsidR="00A61637" w:rsidRPr="004277D4" w:rsidRDefault="00A61637" w:rsidP="00A61637">
      <w:pPr>
        <w:spacing w:line="360" w:lineRule="auto"/>
        <w:rPr>
          <w:rFonts w:asciiTheme="minorBidi" w:hAnsiTheme="minorBidi"/>
        </w:rPr>
      </w:pPr>
      <w:r w:rsidRPr="004277D4">
        <w:rPr>
          <w:rFonts w:asciiTheme="minorBidi" w:hAnsiTheme="minorBidi"/>
        </w:rPr>
        <w:t xml:space="preserve">Fourth, preventive programmes must be strengthened. Local authorities and Sport Wales </w:t>
      </w:r>
      <w:r w:rsidR="00A567A2" w:rsidRPr="004277D4">
        <w:rPr>
          <w:rFonts w:asciiTheme="minorBidi" w:hAnsiTheme="minorBidi"/>
        </w:rPr>
        <w:t>could</w:t>
      </w:r>
      <w:r w:rsidRPr="004277D4">
        <w:rPr>
          <w:rFonts w:asciiTheme="minorBidi" w:hAnsiTheme="minorBidi"/>
        </w:rPr>
        <w:t xml:space="preserve"> provide </w:t>
      </w:r>
      <w:r w:rsidR="00882E7D" w:rsidRPr="004277D4">
        <w:rPr>
          <w:rFonts w:asciiTheme="minorBidi" w:hAnsiTheme="minorBidi"/>
        </w:rPr>
        <w:t>funded</w:t>
      </w:r>
      <w:r w:rsidRPr="004277D4">
        <w:rPr>
          <w:rFonts w:asciiTheme="minorBidi" w:hAnsiTheme="minorBidi"/>
        </w:rPr>
        <w:t xml:space="preserve"> physical activity schemes, smoking cessation support, and nutrition interventions tailored to men with low incomes or low activity levels. These measures address key behavioural risk factors for cardiovascular disease, cancer, and mental ill-health.</w:t>
      </w:r>
    </w:p>
    <w:p w14:paraId="468F47CD" w14:textId="77777777" w:rsidR="00A61637" w:rsidRPr="004277D4" w:rsidRDefault="00A61637" w:rsidP="00A61637">
      <w:pPr>
        <w:spacing w:line="360" w:lineRule="auto"/>
        <w:rPr>
          <w:rFonts w:asciiTheme="minorBidi" w:hAnsiTheme="minorBidi"/>
        </w:rPr>
      </w:pPr>
      <w:r w:rsidRPr="004277D4">
        <w:rPr>
          <w:rFonts w:asciiTheme="minorBidi" w:hAnsiTheme="minorBidi"/>
        </w:rPr>
        <w:t>Fifth, a national communication campaign is needed to challenge harmful masculinity norms that discourage help-seeking. Reframing early help-seeking as responsible and promoting relatable male role models can reduce stigma and increase engagement with services.</w:t>
      </w:r>
    </w:p>
    <w:p w14:paraId="01C25B38" w14:textId="243EE020" w:rsidR="00A61637" w:rsidRDefault="00A61637" w:rsidP="00A61637">
      <w:pPr>
        <w:spacing w:line="360" w:lineRule="auto"/>
        <w:rPr>
          <w:rFonts w:asciiTheme="minorBidi" w:hAnsiTheme="minorBidi"/>
        </w:rPr>
      </w:pPr>
      <w:r w:rsidRPr="004277D4">
        <w:rPr>
          <w:rFonts w:asciiTheme="minorBidi" w:hAnsiTheme="minorBidi"/>
        </w:rPr>
        <w:t xml:space="preserve">Finally, improving men’s health requires addressing the wider determinants that </w:t>
      </w:r>
      <w:r w:rsidR="00211BF1" w:rsidRPr="004277D4">
        <w:rPr>
          <w:rFonts w:asciiTheme="minorBidi" w:hAnsiTheme="minorBidi"/>
        </w:rPr>
        <w:t xml:space="preserve">influence </w:t>
      </w:r>
      <w:r w:rsidRPr="004277D4">
        <w:rPr>
          <w:rFonts w:asciiTheme="minorBidi" w:hAnsiTheme="minorBidi"/>
        </w:rPr>
        <w:t>chronic stress. In line with the Well-being of Future Generations (Wales) Act, local authorities should integrate health considerations into housing quality, employment support, and debt-advice services. Poor housing, financial instability, and insecure living conditions reinforce poor physical and mental healt</w:t>
      </w:r>
      <w:r w:rsidR="00155975" w:rsidRPr="004277D4">
        <w:rPr>
          <w:rFonts w:asciiTheme="minorBidi" w:hAnsiTheme="minorBidi"/>
        </w:rPr>
        <w:t>h</w:t>
      </w:r>
      <w:r w:rsidR="00FE5D03" w:rsidRPr="004277D4">
        <w:rPr>
          <w:rFonts w:asciiTheme="minorBidi" w:hAnsiTheme="minorBidi"/>
        </w:rPr>
        <w:t>.</w:t>
      </w:r>
      <w:r w:rsidRPr="004277D4">
        <w:rPr>
          <w:rFonts w:asciiTheme="minorBidi" w:hAnsiTheme="minorBidi"/>
        </w:rPr>
        <w:t xml:space="preserve"> </w:t>
      </w:r>
      <w:r w:rsidR="00FE5D03" w:rsidRPr="004277D4">
        <w:rPr>
          <w:rFonts w:asciiTheme="minorBidi" w:hAnsiTheme="minorBidi"/>
        </w:rPr>
        <w:t>I</w:t>
      </w:r>
      <w:r w:rsidRPr="004277D4">
        <w:rPr>
          <w:rFonts w:asciiTheme="minorBidi" w:hAnsiTheme="minorBidi"/>
        </w:rPr>
        <w:t xml:space="preserve">mproving these conditions is </w:t>
      </w:r>
      <w:r w:rsidR="00155975" w:rsidRPr="004277D4">
        <w:rPr>
          <w:rFonts w:asciiTheme="minorBidi" w:hAnsiTheme="minorBidi"/>
        </w:rPr>
        <w:t>therefore important</w:t>
      </w:r>
      <w:r w:rsidRPr="004277D4">
        <w:rPr>
          <w:rFonts w:asciiTheme="minorBidi" w:hAnsiTheme="minorBidi"/>
        </w:rPr>
        <w:t xml:space="preserve"> for long-term progress.</w:t>
      </w:r>
    </w:p>
    <w:p w14:paraId="47B3A59E" w14:textId="77777777" w:rsidR="001D7F16" w:rsidRDefault="00D83922" w:rsidP="00A61637">
      <w:pPr>
        <w:spacing w:line="360" w:lineRule="auto"/>
        <w:rPr>
          <w:rFonts w:ascii="Arial" w:hAnsi="Arial" w:cs="Arial"/>
        </w:rPr>
      </w:pPr>
      <w:r w:rsidRPr="00D83922">
        <w:rPr>
          <w:rFonts w:ascii="Arial" w:hAnsi="Arial" w:cs="Arial"/>
        </w:rPr>
        <w:t xml:space="preserve">Reducing male health inequalities in deprived Welsh communities demands coordinated, preventive, and system-wide action. Socioeconomic disadvantage significantly increases men’s risk of suicide, cardiovascular disease, cancer, and other avoidable causes of death (O’Connor, Platt and Gordon, 2011; Bell et al., 2012; Forest et al., 2013). Despite strong legislative frameworks such as the Well-being of Future Generations (Wales) Act and the socio-economic duty (Welsh Government, 2016; 2021a), men in the most deprived areas continue to experience markedly lower life expectancy and higher avoidable mortality (The Health Foundation, 2025; ONS, 2022). Targeted policies—such as accessible male-focused screening, activity-based mental health support, and recruitment incentives to address workforce shortages—build on evidence showing that men engage more effectively with </w:t>
      </w:r>
      <w:r w:rsidRPr="00D83922">
        <w:rPr>
          <w:rFonts w:ascii="Arial" w:hAnsi="Arial" w:cs="Arial"/>
        </w:rPr>
        <w:lastRenderedPageBreak/>
        <w:t xml:space="preserve">tailored, community-based interventions (Robertson et al., 2015; Fenney and Raleigh, 2024). </w:t>
      </w:r>
    </w:p>
    <w:p w14:paraId="11FFCE72" w14:textId="548C3E3A" w:rsidR="00C5492A" w:rsidRPr="00C5492A" w:rsidRDefault="00C5492A" w:rsidP="00A61637">
      <w:pPr>
        <w:spacing w:line="360" w:lineRule="auto"/>
        <w:rPr>
          <w:rFonts w:ascii="Arial" w:hAnsi="Arial" w:cs="Arial"/>
          <w:b/>
          <w:bCs/>
        </w:rPr>
      </w:pPr>
      <w:r w:rsidRPr="00C5492A">
        <w:rPr>
          <w:rFonts w:ascii="Arial" w:hAnsi="Arial" w:cs="Arial"/>
          <w:b/>
          <w:bCs/>
        </w:rPr>
        <w:t>Conclusion</w:t>
      </w:r>
    </w:p>
    <w:p w14:paraId="69234CE4" w14:textId="6A6CDABF" w:rsidR="00B66BDB" w:rsidRPr="00C5492A" w:rsidRDefault="00560D10" w:rsidP="008F7DBB">
      <w:pPr>
        <w:spacing w:line="360" w:lineRule="auto"/>
        <w:rPr>
          <w:rFonts w:ascii="Arial" w:hAnsi="Arial" w:cs="Arial"/>
          <w:lang w:val="en-US"/>
        </w:rPr>
      </w:pPr>
      <w:r w:rsidRPr="00560D10">
        <w:rPr>
          <w:rFonts w:ascii="Arial" w:hAnsi="Arial" w:cs="Arial"/>
          <w:lang w:val="en-US"/>
        </w:rPr>
        <w:t xml:space="preserve">Reduced male health disparities in poor Welsh communities necessitates coordinated, preventive, and system-wide action. Men with socioeconomic deprivation are more likely to commit suicide, suffer from cardiovascular illness, develop cancer, and die from other preventable causes (O'Connor, Platt, and Gordon, 2011; Bell et al., 2012; Forest et al., 2013). Despite strong legislative frameworks such as the Well-being of Future Generations (Wales) Act and the socioeconomic duty (Welsh Government, 2016; 2021a), men in the poorest areas continue to have significantly lower life expectancy and higher avoidable mortality (The Health Foundation, 2025; ONS, 2022). </w:t>
      </w:r>
      <w:r w:rsidR="00C5492A" w:rsidRPr="00C5492A">
        <w:rPr>
          <w:rFonts w:ascii="Arial" w:hAnsi="Arial" w:cs="Arial"/>
          <w:lang w:val="en-US"/>
        </w:rPr>
        <w:t xml:space="preserve">Addressing behavioral risks through physical exercise, smoking cessation, and nutrition programs is particularly critical, given the clear link between deprivation, unhealthy </w:t>
      </w:r>
      <w:r w:rsidR="004277D4" w:rsidRPr="00C5492A">
        <w:rPr>
          <w:rFonts w:ascii="Arial" w:hAnsi="Arial" w:cs="Arial"/>
          <w:lang w:val="en-US"/>
        </w:rPr>
        <w:t>behaviors</w:t>
      </w:r>
      <w:r w:rsidR="00C5492A" w:rsidRPr="00C5492A">
        <w:rPr>
          <w:rFonts w:ascii="Arial" w:hAnsi="Arial" w:cs="Arial"/>
          <w:lang w:val="en-US"/>
        </w:rPr>
        <w:t>, and chronic disease (Welsh Government, 2021; Page et al., 2021; Foster et al., 2018). Wales may advance towards a more fair and healthier future by implementing integrated, gender-sensitive policies.</w:t>
      </w:r>
    </w:p>
    <w:p w14:paraId="48B36E9E" w14:textId="200784F8" w:rsidR="004277D4" w:rsidRDefault="004277D4">
      <w:pPr>
        <w:rPr>
          <w:rFonts w:asciiTheme="minorBidi" w:hAnsiTheme="minorBidi"/>
          <w:b/>
          <w:bCs/>
        </w:rPr>
      </w:pPr>
      <w:r>
        <w:rPr>
          <w:rFonts w:asciiTheme="minorBidi" w:hAnsiTheme="minorBidi"/>
          <w:b/>
          <w:bCs/>
        </w:rPr>
        <w:br w:type="page"/>
      </w:r>
    </w:p>
    <w:p w14:paraId="5B84F2C3" w14:textId="77777777" w:rsidR="00B66BDB" w:rsidRDefault="00B66BDB" w:rsidP="008F7DBB">
      <w:pPr>
        <w:spacing w:line="360" w:lineRule="auto"/>
        <w:rPr>
          <w:rFonts w:asciiTheme="minorBidi" w:hAnsiTheme="minorBidi"/>
          <w:b/>
          <w:bCs/>
        </w:rPr>
      </w:pPr>
    </w:p>
    <w:p w14:paraId="042282FC" w14:textId="6D8AE970" w:rsidR="00EC0136" w:rsidRDefault="00C754C7" w:rsidP="008F7DBB">
      <w:pPr>
        <w:spacing w:line="360" w:lineRule="auto"/>
        <w:rPr>
          <w:rFonts w:asciiTheme="minorBidi" w:hAnsiTheme="minorBidi"/>
          <w:b/>
          <w:bCs/>
        </w:rPr>
      </w:pPr>
      <w:r>
        <w:rPr>
          <w:rFonts w:asciiTheme="minorBidi" w:hAnsiTheme="minorBidi"/>
          <w:b/>
          <w:bCs/>
        </w:rPr>
        <w:t>References</w:t>
      </w:r>
    </w:p>
    <w:p w14:paraId="3BE10022" w14:textId="0FB9A1E0" w:rsidR="00DC3E85" w:rsidRDefault="00DC3E85" w:rsidP="00704378">
      <w:pPr>
        <w:pStyle w:val="paragraph"/>
        <w:rPr>
          <w:rFonts w:asciiTheme="minorBidi" w:eastAsiaTheme="majorEastAsia" w:hAnsiTheme="minorBidi" w:cstheme="minorBidi"/>
        </w:rPr>
      </w:pPr>
      <w:r w:rsidRPr="00E93F07">
        <w:rPr>
          <w:rFonts w:asciiTheme="minorBidi" w:eastAsiaTheme="majorEastAsia" w:hAnsiTheme="minorBidi" w:cstheme="minorBidi"/>
        </w:rPr>
        <w:t xml:space="preserve">Bell, R., et al. A social </w:t>
      </w:r>
      <w:proofErr w:type="gramStart"/>
      <w:r w:rsidRPr="00E93F07">
        <w:rPr>
          <w:rFonts w:asciiTheme="minorBidi" w:eastAsiaTheme="majorEastAsia" w:hAnsiTheme="minorBidi" w:cstheme="minorBidi"/>
        </w:rPr>
        <w:t>determinants based</w:t>
      </w:r>
      <w:proofErr w:type="gramEnd"/>
      <w:r w:rsidRPr="00E93F07">
        <w:rPr>
          <w:rFonts w:asciiTheme="minorBidi" w:eastAsiaTheme="majorEastAsia" w:hAnsiTheme="minorBidi" w:cstheme="minorBidi"/>
        </w:rPr>
        <w:t xml:space="preserve"> approach to CVD prevention in England. 2012; Available from: </w:t>
      </w:r>
      <w:hyperlink r:id="rId5" w:history="1">
        <w:r w:rsidRPr="00A85308">
          <w:rPr>
            <w:rStyle w:val="Hyperlink"/>
            <w:rFonts w:asciiTheme="minorBidi" w:eastAsiaTheme="majorEastAsia" w:hAnsiTheme="minorBidi" w:cstheme="minorBidi"/>
          </w:rPr>
          <w:t>https://www.instituteofhealthequity.org/projects/a-social-determinants-based-approach-to-cvd-prevention-in-england</w:t>
        </w:r>
      </w:hyperlink>
    </w:p>
    <w:p w14:paraId="41CEEB99" w14:textId="499D2012" w:rsidR="00DC3E85" w:rsidRDefault="00DC3E85" w:rsidP="00704378">
      <w:pPr>
        <w:pStyle w:val="paragraph"/>
        <w:rPr>
          <w:rFonts w:asciiTheme="minorBidi" w:eastAsiaTheme="majorEastAsia" w:hAnsiTheme="minorBidi" w:cstheme="minorBidi"/>
        </w:rPr>
      </w:pPr>
      <w:r w:rsidRPr="00525ADF">
        <w:rPr>
          <w:rFonts w:asciiTheme="minorBidi" w:eastAsiaTheme="majorEastAsia" w:hAnsiTheme="minorBidi" w:cstheme="minorBidi"/>
        </w:rPr>
        <w:t>Cleveland Clinic (2019</w:t>
      </w:r>
      <w:proofErr w:type="gramStart"/>
      <w:r w:rsidRPr="00525ADF">
        <w:rPr>
          <w:rFonts w:asciiTheme="minorBidi" w:eastAsiaTheme="majorEastAsia" w:hAnsiTheme="minorBidi" w:cstheme="minorBidi"/>
        </w:rPr>
        <w:t>) </w:t>
      </w:r>
      <w:r w:rsidR="004277D4">
        <w:rPr>
          <w:rFonts w:asciiTheme="minorBidi" w:eastAsiaTheme="majorEastAsia" w:hAnsiTheme="minorBidi" w:cstheme="minorBidi"/>
        </w:rPr>
        <w:t>.</w:t>
      </w:r>
      <w:proofErr w:type="gramEnd"/>
      <w:r w:rsidR="004277D4">
        <w:rPr>
          <w:rFonts w:asciiTheme="minorBidi" w:eastAsiaTheme="majorEastAsia" w:hAnsiTheme="minorBidi" w:cstheme="minorBidi"/>
        </w:rPr>
        <w:t xml:space="preserve"> </w:t>
      </w:r>
      <w:r w:rsidRPr="00525ADF">
        <w:rPr>
          <w:rFonts w:asciiTheme="minorBidi" w:eastAsiaTheme="majorEastAsia" w:hAnsiTheme="minorBidi" w:cstheme="minorBidi"/>
          <w:i/>
          <w:iCs/>
        </w:rPr>
        <w:t>Cleveland Clinic survey: Men will do almost anything to avoid going to the doctor </w:t>
      </w:r>
      <w:r w:rsidRPr="00525ADF">
        <w:rPr>
          <w:rFonts w:asciiTheme="minorBidi" w:eastAsiaTheme="majorEastAsia" w:hAnsiTheme="minorBidi" w:cstheme="minorBidi"/>
        </w:rPr>
        <w:t>[</w:t>
      </w:r>
      <w:r w:rsidR="004277D4">
        <w:rPr>
          <w:rFonts w:asciiTheme="minorBidi" w:eastAsiaTheme="majorEastAsia" w:hAnsiTheme="minorBidi" w:cstheme="minorBidi"/>
        </w:rPr>
        <w:t>determinants-</w:t>
      </w:r>
      <w:proofErr w:type="spellStart"/>
      <w:r w:rsidR="004277D4">
        <w:rPr>
          <w:rFonts w:asciiTheme="minorBidi" w:eastAsiaTheme="majorEastAsia" w:hAnsiTheme="minorBidi" w:cstheme="minorBidi"/>
        </w:rPr>
        <w:t>based</w:t>
      </w:r>
      <w:r w:rsidRPr="00525ADF">
        <w:rPr>
          <w:rFonts w:asciiTheme="minorBidi" w:eastAsiaTheme="majorEastAsia" w:hAnsiTheme="minorBidi" w:cstheme="minorBidi"/>
        </w:rPr>
        <w:t>online</w:t>
      </w:r>
      <w:proofErr w:type="spellEnd"/>
      <w:r w:rsidRPr="00525ADF">
        <w:rPr>
          <w:rFonts w:asciiTheme="minorBidi" w:eastAsiaTheme="majorEastAsia" w:hAnsiTheme="minorBidi" w:cstheme="minorBidi"/>
        </w:rPr>
        <w:t>]. Available at: </w:t>
      </w:r>
      <w:hyperlink r:id="rId6" w:history="1">
        <w:r w:rsidRPr="00525ADF">
          <w:rPr>
            <w:rStyle w:val="Hyperlink"/>
            <w:rFonts w:asciiTheme="minorBidi" w:eastAsiaTheme="majorEastAsia" w:hAnsiTheme="minorBidi" w:cstheme="minorBidi"/>
          </w:rPr>
          <w:t>https://newsroom.clevelandclinic.org/2019/09/04/cleveland-clinic-survey-men-will-do-almost-anything-to-avoid-going-to-thedoctor</w:t>
        </w:r>
      </w:hyperlink>
    </w:p>
    <w:p w14:paraId="3A311EDB" w14:textId="77777777" w:rsidR="00DC3E85" w:rsidRDefault="00DC3E85" w:rsidP="00704378">
      <w:pPr>
        <w:pStyle w:val="paragraph"/>
        <w:rPr>
          <w:rFonts w:asciiTheme="minorBidi" w:eastAsiaTheme="majorEastAsia" w:hAnsiTheme="minorBidi" w:cstheme="minorBidi"/>
        </w:rPr>
      </w:pPr>
      <w:r w:rsidRPr="009C5F78">
        <w:rPr>
          <w:rFonts w:asciiTheme="minorBidi" w:eastAsiaTheme="majorEastAsia" w:hAnsiTheme="minorBidi" w:cstheme="minorBidi"/>
        </w:rPr>
        <w:t> Department for Education. (2023). </w:t>
      </w:r>
      <w:r w:rsidRPr="009C5F78">
        <w:rPr>
          <w:rFonts w:asciiTheme="minorBidi" w:eastAsiaTheme="majorEastAsia" w:hAnsiTheme="minorBidi" w:cstheme="minorBidi"/>
          <w:i/>
          <w:iCs/>
        </w:rPr>
        <w:t>Widening participation in higher education, Academic year 2023/24</w:t>
      </w:r>
      <w:r w:rsidRPr="009C5F78">
        <w:rPr>
          <w:rFonts w:asciiTheme="minorBidi" w:eastAsiaTheme="majorEastAsia" w:hAnsiTheme="minorBidi" w:cstheme="minorBidi"/>
        </w:rPr>
        <w:t>. [online] Available at: </w:t>
      </w:r>
      <w:hyperlink r:id="rId7" w:anchor="releaseHeadlines-tables" w:history="1">
        <w:r w:rsidRPr="009C5F78">
          <w:rPr>
            <w:rStyle w:val="Hyperlink"/>
            <w:rFonts w:asciiTheme="minorBidi" w:eastAsiaTheme="majorEastAsia" w:hAnsiTheme="minorBidi" w:cstheme="minorBidi"/>
          </w:rPr>
          <w:t>https://explore-education-statistics.service.gov.uk/find-statistics/widening-participation-in-higher-education/2023-24#releaseHeadlines-tables</w:t>
        </w:r>
      </w:hyperlink>
    </w:p>
    <w:p w14:paraId="09797BF9" w14:textId="77777777" w:rsidR="00DC3E85" w:rsidRPr="001338C9" w:rsidRDefault="00DC3E85" w:rsidP="00704378">
      <w:pPr>
        <w:pStyle w:val="paragraph"/>
        <w:rPr>
          <w:rFonts w:asciiTheme="minorBidi" w:eastAsiaTheme="majorEastAsia" w:hAnsiTheme="minorBidi"/>
          <w:lang w:val="en-US"/>
        </w:rPr>
      </w:pPr>
      <w:r w:rsidRPr="001338C9">
        <w:rPr>
          <w:rFonts w:asciiTheme="minorBidi" w:eastAsiaTheme="majorEastAsia" w:hAnsiTheme="minorBidi"/>
          <w:lang w:val="en-US"/>
        </w:rPr>
        <w:t>Evans, G.W. and Kim, P. (2010). Multiple Risk Exposure as a Potential Explanatory Mechanism for the Socioeconomic status-health Gradient. pp.174–89.</w:t>
      </w:r>
    </w:p>
    <w:p w14:paraId="1495ACB7" w14:textId="2CD51FCC" w:rsidR="00DC3E85" w:rsidRPr="001338C9" w:rsidRDefault="00DC3E85" w:rsidP="00704378">
      <w:pPr>
        <w:pStyle w:val="paragraph"/>
        <w:rPr>
          <w:rFonts w:asciiTheme="minorBidi" w:eastAsiaTheme="majorEastAsia" w:hAnsiTheme="minorBidi"/>
          <w:lang w:val="en-US"/>
        </w:rPr>
      </w:pPr>
      <w:r w:rsidRPr="001338C9">
        <w:rPr>
          <w:rFonts w:asciiTheme="minorBidi" w:eastAsiaTheme="majorEastAsia" w:hAnsiTheme="minorBidi"/>
          <w:lang w:val="en-US"/>
        </w:rPr>
        <w:t xml:space="preserve">Fenney, D. and Raleigh, V. (2024). </w:t>
      </w:r>
      <w:r w:rsidRPr="001338C9">
        <w:rPr>
          <w:rFonts w:asciiTheme="minorBidi" w:eastAsiaTheme="majorEastAsia" w:hAnsiTheme="minorBidi"/>
          <w:i/>
          <w:iCs/>
          <w:lang w:val="en-US"/>
        </w:rPr>
        <w:t>Inequalities In Men’s Health: Why Are They Not Being Addressed? | The King’s Fund</w:t>
      </w:r>
      <w:r w:rsidRPr="001338C9">
        <w:rPr>
          <w:rFonts w:asciiTheme="minorBidi" w:eastAsiaTheme="majorEastAsia" w:hAnsiTheme="minorBidi"/>
          <w:lang w:val="en-US"/>
        </w:rPr>
        <w:t xml:space="preserve">. [online] The King’s Fund. Available at: </w:t>
      </w:r>
      <w:hyperlink r:id="rId8" w:history="1">
        <w:r w:rsidRPr="00A85308">
          <w:rPr>
            <w:rStyle w:val="Hyperlink"/>
            <w:rFonts w:asciiTheme="minorBidi" w:eastAsiaTheme="majorEastAsia" w:hAnsiTheme="minorBidi"/>
            <w:lang w:val="en-US"/>
          </w:rPr>
          <w:t>https://www.kingsfund.org.uk/insight-and-analysis/blogs/inequalities-mens-health-why-are-they-not-being-addressed.</w:t>
        </w:r>
      </w:hyperlink>
    </w:p>
    <w:p w14:paraId="4D0FB73B" w14:textId="77777777" w:rsidR="00DC3E85" w:rsidRDefault="00DC3E85" w:rsidP="00704378">
      <w:pPr>
        <w:pStyle w:val="paragraph"/>
        <w:rPr>
          <w:rFonts w:asciiTheme="minorBidi" w:eastAsiaTheme="majorEastAsia" w:hAnsiTheme="minorBidi" w:cstheme="minorBidi"/>
        </w:rPr>
      </w:pPr>
      <w:r w:rsidRPr="00875BA9">
        <w:rPr>
          <w:rFonts w:asciiTheme="minorBidi" w:eastAsiaTheme="majorEastAsia" w:hAnsiTheme="minorBidi" w:cstheme="minorBidi"/>
        </w:rPr>
        <w:t xml:space="preserve">Forrest, L.F., et al., Socioeconomic inequalities in lung cancer treatment: systematic review and meta-analysis. </w:t>
      </w:r>
      <w:proofErr w:type="spellStart"/>
      <w:r w:rsidRPr="00875BA9">
        <w:rPr>
          <w:rFonts w:asciiTheme="minorBidi" w:eastAsiaTheme="majorEastAsia" w:hAnsiTheme="minorBidi" w:cstheme="minorBidi"/>
        </w:rPr>
        <w:t>PLoS</w:t>
      </w:r>
      <w:proofErr w:type="spellEnd"/>
      <w:r w:rsidRPr="00875BA9">
        <w:rPr>
          <w:rFonts w:asciiTheme="minorBidi" w:eastAsiaTheme="majorEastAsia" w:hAnsiTheme="minorBidi" w:cstheme="minorBidi"/>
        </w:rPr>
        <w:t xml:space="preserve"> Med, 2013. 10(2): p. e1001376.</w:t>
      </w:r>
    </w:p>
    <w:p w14:paraId="1C493E7D" w14:textId="66C60447" w:rsidR="00A85308" w:rsidRPr="00A85308" w:rsidRDefault="00A85308" w:rsidP="00A85308">
      <w:pPr>
        <w:spacing w:line="240" w:lineRule="auto"/>
        <w:rPr>
          <w:rFonts w:ascii="Arial" w:eastAsia="Arial" w:hAnsi="Arial" w:cs="Arial"/>
          <w:lang w:val="en-US"/>
        </w:rPr>
      </w:pPr>
      <w:r>
        <w:rPr>
          <w:rFonts w:ascii="Arial" w:eastAsia="Arial" w:hAnsi="Arial" w:cs="Arial"/>
          <w:lang w:val="en-US"/>
        </w:rPr>
        <w:t>Government</w:t>
      </w:r>
      <w:r w:rsidRPr="00A85308">
        <w:rPr>
          <w:rFonts w:ascii="Arial" w:eastAsia="Arial" w:hAnsi="Arial" w:cs="Arial"/>
          <w:lang w:val="en-US"/>
        </w:rPr>
        <w:t xml:space="preserve">, W. (2016). </w:t>
      </w:r>
      <w:r w:rsidRPr="00A85308">
        <w:rPr>
          <w:rFonts w:ascii="Arial" w:eastAsia="Arial" w:hAnsi="Arial" w:cs="Arial"/>
          <w:i/>
          <w:iCs/>
          <w:lang w:val="en-US"/>
        </w:rPr>
        <w:t>Written Statement - Improving men’s health in Wales (26 February 2016) | GOV.WALES</w:t>
      </w:r>
      <w:r w:rsidRPr="00A85308">
        <w:rPr>
          <w:rFonts w:ascii="Arial" w:eastAsia="Arial" w:hAnsi="Arial" w:cs="Arial"/>
          <w:lang w:val="en-US"/>
        </w:rPr>
        <w:t xml:space="preserve">. [online] GOV.WALES. Available at: </w:t>
      </w:r>
      <w:hyperlink r:id="rId9" w:history="1">
        <w:r w:rsidRPr="00A85308">
          <w:rPr>
            <w:rStyle w:val="Hyperlink"/>
            <w:rFonts w:ascii="Arial" w:eastAsia="Arial" w:hAnsi="Arial" w:cs="Arial"/>
            <w:lang w:val="en-US"/>
          </w:rPr>
          <w:t>https://www.gov.wales/written-statement-improving-mens-health-wales</w:t>
        </w:r>
      </w:hyperlink>
      <w:r w:rsidRPr="00A85308">
        <w:rPr>
          <w:rFonts w:ascii="Arial" w:eastAsia="Arial" w:hAnsi="Arial" w:cs="Arial"/>
          <w:lang w:val="en-US"/>
        </w:rPr>
        <w:t xml:space="preserve"> [Accessed 12 Dec. 2025].</w:t>
      </w:r>
    </w:p>
    <w:p w14:paraId="6EF52899" w14:textId="77777777" w:rsidR="00DC3E85" w:rsidRDefault="00DC3E85" w:rsidP="00704378">
      <w:pPr>
        <w:pStyle w:val="paragraph"/>
        <w:rPr>
          <w:rFonts w:asciiTheme="minorBidi" w:eastAsiaTheme="majorEastAsia" w:hAnsiTheme="minorBidi" w:cstheme="minorBidi"/>
        </w:rPr>
      </w:pPr>
      <w:r w:rsidRPr="00B233AE">
        <w:rPr>
          <w:rFonts w:asciiTheme="minorBidi" w:eastAsiaTheme="majorEastAsia" w:hAnsiTheme="minorBidi" w:cstheme="minorBidi"/>
        </w:rPr>
        <w:t> Marmot, M. et al. (2020) </w:t>
      </w:r>
      <w:r w:rsidRPr="00B233AE">
        <w:rPr>
          <w:rFonts w:asciiTheme="minorBidi" w:eastAsiaTheme="majorEastAsia" w:hAnsiTheme="minorBidi" w:cstheme="minorBidi"/>
          <w:i/>
          <w:iCs/>
        </w:rPr>
        <w:t>Health Equity in England: The Marmot Review 10 Years On </w:t>
      </w:r>
      <w:r w:rsidRPr="00B233AE">
        <w:rPr>
          <w:rFonts w:asciiTheme="minorBidi" w:eastAsiaTheme="majorEastAsia" w:hAnsiTheme="minorBidi" w:cstheme="minorBidi"/>
        </w:rPr>
        <w:t>[online] Available at: </w:t>
      </w:r>
      <w:hyperlink r:id="rId10" w:history="1">
        <w:r w:rsidRPr="00B233AE">
          <w:rPr>
            <w:rStyle w:val="Hyperlink"/>
            <w:rFonts w:asciiTheme="minorBidi" w:eastAsiaTheme="majorEastAsia" w:hAnsiTheme="minorBidi" w:cstheme="minorBidi"/>
          </w:rPr>
          <w:t>https://www.health.org.uk/reports-and-analysis/reports/health-equity-in-england-the-marmot-review-10-years-on-0</w:t>
        </w:r>
      </w:hyperlink>
    </w:p>
    <w:p w14:paraId="4E237170" w14:textId="77777777" w:rsidR="00DC3E85" w:rsidRPr="00EB1C04" w:rsidRDefault="00DC3E85" w:rsidP="00704378">
      <w:pPr>
        <w:spacing w:line="240" w:lineRule="auto"/>
        <w:rPr>
          <w:rFonts w:asciiTheme="minorBidi" w:hAnsiTheme="minorBidi"/>
          <w:lang w:val="fr-FR"/>
        </w:rPr>
      </w:pPr>
      <w:r w:rsidRPr="00EB1C04">
        <w:rPr>
          <w:rFonts w:asciiTheme="minorBidi" w:hAnsiTheme="minorBidi"/>
        </w:rPr>
        <w:t>Mayhew. L and Smith. D. (2021) ‘</w:t>
      </w:r>
      <w:r w:rsidRPr="00F94B64">
        <w:rPr>
          <w:rFonts w:asciiTheme="minorBidi" w:hAnsiTheme="minorBidi"/>
        </w:rPr>
        <w:t>An investigation into inequalities in adult lifespan</w:t>
      </w:r>
      <w:r w:rsidRPr="00EB1C04">
        <w:rPr>
          <w:rFonts w:asciiTheme="minorBidi" w:hAnsiTheme="minorBidi"/>
        </w:rPr>
        <w:t>’,</w:t>
      </w:r>
      <w:r w:rsidRPr="00F94B64">
        <w:rPr>
          <w:rFonts w:asciiTheme="minorBidi" w:hAnsiTheme="minorBidi"/>
        </w:rPr>
        <w:t> </w:t>
      </w:r>
      <w:r w:rsidRPr="00F94B64">
        <w:rPr>
          <w:rFonts w:asciiTheme="minorBidi" w:hAnsiTheme="minorBidi"/>
          <w:i/>
          <w:iCs/>
        </w:rPr>
        <w:t>North American Actuarial Journal</w:t>
      </w:r>
      <w:r w:rsidRPr="00F94B64">
        <w:rPr>
          <w:rFonts w:asciiTheme="minorBidi" w:hAnsiTheme="minorBidi"/>
        </w:rPr>
        <w:t>, 25</w:t>
      </w:r>
      <w:r w:rsidRPr="00EB1C04">
        <w:rPr>
          <w:rFonts w:asciiTheme="minorBidi" w:hAnsiTheme="minorBidi"/>
        </w:rPr>
        <w:t xml:space="preserve">. Available at: </w:t>
      </w:r>
      <w:hyperlink r:id="rId11" w:tgtFrame="_blank" w:history="1">
        <w:r w:rsidRPr="00F94B64">
          <w:rPr>
            <w:rStyle w:val="Hyperlink"/>
            <w:rFonts w:asciiTheme="minorBidi" w:hAnsiTheme="minorBidi"/>
          </w:rPr>
          <w:t>10.1080/10920277.2019.1671874</w:t>
        </w:r>
      </w:hyperlink>
    </w:p>
    <w:p w14:paraId="40C3B944" w14:textId="77777777" w:rsidR="00DC3E85" w:rsidRPr="00056F46" w:rsidRDefault="00DC3E85" w:rsidP="00704378">
      <w:pPr>
        <w:spacing w:line="240" w:lineRule="auto"/>
        <w:rPr>
          <w:rFonts w:ascii="Arial" w:eastAsia="Arial" w:hAnsi="Arial" w:cs="Arial"/>
        </w:rPr>
      </w:pPr>
      <w:proofErr w:type="spellStart"/>
      <w:r w:rsidRPr="00056F46">
        <w:rPr>
          <w:rFonts w:ascii="Arial" w:eastAsia="Arial" w:hAnsi="Arial" w:cs="Arial"/>
        </w:rPr>
        <w:t>Messham</w:t>
      </w:r>
      <w:proofErr w:type="spellEnd"/>
      <w:r w:rsidRPr="00056F46">
        <w:rPr>
          <w:rFonts w:ascii="Arial" w:eastAsia="Arial" w:hAnsi="Arial" w:cs="Arial"/>
        </w:rPr>
        <w:t>, E., &amp; Sheard, S. (2020). Taking the long view: the development of the Well-being of Future Generations (Wales) Act. Health Research Policy and Systems, 18(33).</w:t>
      </w:r>
    </w:p>
    <w:p w14:paraId="2FA74EE7" w14:textId="77777777" w:rsidR="00DC3E85" w:rsidRDefault="00DC3E85" w:rsidP="00704378">
      <w:pPr>
        <w:pStyle w:val="paragraph"/>
        <w:rPr>
          <w:rFonts w:asciiTheme="minorBidi" w:eastAsiaTheme="majorEastAsia" w:hAnsiTheme="minorBidi" w:cstheme="minorBidi"/>
        </w:rPr>
      </w:pPr>
      <w:r w:rsidRPr="00256ED5">
        <w:rPr>
          <w:rFonts w:asciiTheme="minorBidi" w:eastAsiaTheme="majorEastAsia" w:hAnsiTheme="minorBidi" w:cstheme="minorBidi"/>
        </w:rPr>
        <w:t>Mulugeta, B. et al., (2017). </w:t>
      </w:r>
      <w:r w:rsidRPr="00256ED5">
        <w:rPr>
          <w:rFonts w:asciiTheme="minorBidi" w:eastAsiaTheme="majorEastAsia" w:hAnsiTheme="minorBidi" w:cstheme="minorBidi"/>
          <w:i/>
          <w:iCs/>
        </w:rPr>
        <w:t>Cancer through black eyes – the views of UK based black men towards cancer: a constructivist grounded theory.</w:t>
      </w:r>
      <w:r w:rsidRPr="00256ED5">
        <w:rPr>
          <w:rFonts w:asciiTheme="minorBidi" w:eastAsiaTheme="majorEastAsia" w:hAnsiTheme="minorBidi" w:cstheme="minorBidi"/>
        </w:rPr>
        <w:t> European Journal of Oncology Nursing  </w:t>
      </w:r>
      <w:hyperlink r:id="rId12" w:history="1">
        <w:r w:rsidRPr="00256ED5">
          <w:rPr>
            <w:rStyle w:val="Hyperlink"/>
            <w:rFonts w:asciiTheme="minorBidi" w:eastAsiaTheme="majorEastAsia" w:hAnsiTheme="minorBidi" w:cstheme="minorBidi"/>
          </w:rPr>
          <w:t>https://doi.org/10.1016/j.ejon.2017.04.005</w:t>
        </w:r>
      </w:hyperlink>
    </w:p>
    <w:p w14:paraId="408ACEA8" w14:textId="77777777" w:rsidR="00DC3E85" w:rsidRPr="00EB1C04" w:rsidRDefault="00DC3E85" w:rsidP="00704378">
      <w:pPr>
        <w:spacing w:line="240" w:lineRule="auto"/>
        <w:rPr>
          <w:rFonts w:asciiTheme="minorBidi" w:hAnsiTheme="minorBidi"/>
        </w:rPr>
      </w:pPr>
      <w:r w:rsidRPr="004B094A">
        <w:rPr>
          <w:rFonts w:asciiTheme="minorBidi" w:hAnsiTheme="minorBidi"/>
        </w:rPr>
        <w:lastRenderedPageBreak/>
        <w:t>Natural Resources Wales (20</w:t>
      </w:r>
      <w:r w:rsidRPr="00EB1C04">
        <w:rPr>
          <w:rFonts w:asciiTheme="minorBidi" w:hAnsiTheme="minorBidi"/>
        </w:rPr>
        <w:t>24</w:t>
      </w:r>
      <w:r w:rsidRPr="004B094A">
        <w:rPr>
          <w:rFonts w:asciiTheme="minorBidi" w:hAnsiTheme="minorBidi"/>
        </w:rPr>
        <w:t xml:space="preserve">). </w:t>
      </w:r>
      <w:r w:rsidRPr="004B094A">
        <w:rPr>
          <w:rFonts w:asciiTheme="minorBidi" w:hAnsiTheme="minorBidi"/>
          <w:i/>
          <w:iCs/>
        </w:rPr>
        <w:t>Natural Resources Wales</w:t>
      </w:r>
      <w:r w:rsidRPr="00EB1C04">
        <w:rPr>
          <w:rFonts w:asciiTheme="minorBidi" w:hAnsiTheme="minorBidi"/>
          <w:i/>
          <w:iCs/>
        </w:rPr>
        <w:t xml:space="preserve">: </w:t>
      </w:r>
      <w:r w:rsidRPr="004B094A">
        <w:rPr>
          <w:rFonts w:asciiTheme="minorBidi" w:hAnsiTheme="minorBidi"/>
          <w:i/>
          <w:iCs/>
        </w:rPr>
        <w:t>Reducing health inequalities</w:t>
      </w:r>
      <w:r w:rsidRPr="004B094A">
        <w:rPr>
          <w:rFonts w:asciiTheme="minorBidi" w:hAnsiTheme="minorBidi"/>
        </w:rPr>
        <w:t xml:space="preserve">. Available at: </w:t>
      </w:r>
      <w:hyperlink r:id="rId13" w:history="1">
        <w:r w:rsidRPr="004B094A">
          <w:rPr>
            <w:rStyle w:val="Hyperlink"/>
            <w:rFonts w:asciiTheme="minorBidi" w:hAnsiTheme="minorBidi"/>
          </w:rPr>
          <w:t>https://naturalresources.wales/about-us/what-we-do/strategies-plans-and-policies/area-statements/south-west-wales-area-statement/reducing-health-inequalities/?lang=en</w:t>
        </w:r>
      </w:hyperlink>
      <w:r w:rsidRPr="004B094A">
        <w:rPr>
          <w:rFonts w:asciiTheme="minorBidi" w:hAnsiTheme="minorBidi"/>
        </w:rPr>
        <w:t>.</w:t>
      </w:r>
      <w:r>
        <w:rPr>
          <w:rFonts w:asciiTheme="minorBidi" w:hAnsiTheme="minorBidi"/>
        </w:rPr>
        <w:t xml:space="preserve"> </w:t>
      </w:r>
      <w:r w:rsidRPr="00EB1C04">
        <w:rPr>
          <w:rFonts w:asciiTheme="minorBidi" w:hAnsiTheme="minorBidi"/>
        </w:rPr>
        <w:t>(Accessed: 15 November 2025)</w:t>
      </w:r>
    </w:p>
    <w:p w14:paraId="2826DB99" w14:textId="77777777" w:rsidR="00DC3E85" w:rsidRDefault="00DC3E85" w:rsidP="00704378">
      <w:pPr>
        <w:pStyle w:val="paragraph"/>
        <w:rPr>
          <w:rFonts w:asciiTheme="minorBidi" w:eastAsiaTheme="majorEastAsia" w:hAnsiTheme="minorBidi" w:cstheme="minorBidi"/>
        </w:rPr>
      </w:pPr>
      <w:r w:rsidRPr="003A444C">
        <w:rPr>
          <w:rFonts w:asciiTheme="minorBidi" w:eastAsiaTheme="majorEastAsia" w:hAnsiTheme="minorBidi" w:cstheme="minorBidi"/>
        </w:rPr>
        <w:t xml:space="preserve">Nyberg, S.T., et al., Job strain and cardiovascular disease risk factors: meta-analysis of individual-participant data from 47,000 men and women. </w:t>
      </w:r>
      <w:proofErr w:type="spellStart"/>
      <w:r w:rsidRPr="003A444C">
        <w:rPr>
          <w:rFonts w:asciiTheme="minorBidi" w:eastAsiaTheme="majorEastAsia" w:hAnsiTheme="minorBidi" w:cstheme="minorBidi"/>
        </w:rPr>
        <w:t>PLoS</w:t>
      </w:r>
      <w:proofErr w:type="spellEnd"/>
      <w:r w:rsidRPr="003A444C">
        <w:rPr>
          <w:rFonts w:asciiTheme="minorBidi" w:eastAsiaTheme="majorEastAsia" w:hAnsiTheme="minorBidi" w:cstheme="minorBidi"/>
        </w:rPr>
        <w:t xml:space="preserve"> One, 2013. 8(6): p. e67323</w:t>
      </w:r>
    </w:p>
    <w:p w14:paraId="75C34AE1" w14:textId="77777777" w:rsidR="00DC3E85" w:rsidRPr="001338C9" w:rsidRDefault="00DC3E85" w:rsidP="00704378">
      <w:pPr>
        <w:pStyle w:val="paragraph"/>
        <w:rPr>
          <w:rFonts w:asciiTheme="minorBidi" w:eastAsiaTheme="majorEastAsia" w:hAnsiTheme="minorBidi"/>
          <w:lang w:val="en-US"/>
        </w:rPr>
      </w:pPr>
      <w:r w:rsidRPr="001338C9">
        <w:rPr>
          <w:rFonts w:asciiTheme="minorBidi" w:eastAsiaTheme="majorEastAsia" w:hAnsiTheme="minorBidi"/>
          <w:lang w:val="en-US"/>
        </w:rPr>
        <w:t xml:space="preserve">O’Connor, R.C., Platt, S. and Gordon, J. (2011). </w:t>
      </w:r>
      <w:r w:rsidRPr="001338C9">
        <w:rPr>
          <w:rFonts w:asciiTheme="minorBidi" w:eastAsiaTheme="majorEastAsia" w:hAnsiTheme="minorBidi"/>
          <w:i/>
          <w:iCs/>
          <w:lang w:val="en-US"/>
        </w:rPr>
        <w:t>International Handbook of Suicide Prevention</w:t>
      </w:r>
      <w:r w:rsidRPr="001338C9">
        <w:rPr>
          <w:rFonts w:asciiTheme="minorBidi" w:eastAsiaTheme="majorEastAsia" w:hAnsiTheme="minorBidi"/>
          <w:lang w:val="en-US"/>
        </w:rPr>
        <w:t>. John Wiley and Sons.</w:t>
      </w:r>
    </w:p>
    <w:p w14:paraId="601C92D2" w14:textId="77777777" w:rsidR="00DC3E85" w:rsidRPr="00C518EE" w:rsidRDefault="00DC3E85" w:rsidP="00704378">
      <w:pPr>
        <w:spacing w:line="240" w:lineRule="auto"/>
        <w:rPr>
          <w:rFonts w:asciiTheme="minorBidi" w:hAnsiTheme="minorBidi"/>
        </w:rPr>
      </w:pPr>
      <w:r w:rsidRPr="00C518EE">
        <w:rPr>
          <w:rFonts w:asciiTheme="minorBidi" w:hAnsiTheme="minorBidi"/>
        </w:rPr>
        <w:t>Office for National Statistics</w:t>
      </w:r>
      <w:r w:rsidRPr="00EB1C04">
        <w:rPr>
          <w:rFonts w:asciiTheme="minorBidi" w:hAnsiTheme="minorBidi"/>
        </w:rPr>
        <w:t xml:space="preserve"> [ONS]</w:t>
      </w:r>
      <w:r w:rsidRPr="00C518EE">
        <w:rPr>
          <w:rFonts w:asciiTheme="minorBidi" w:hAnsiTheme="minorBidi"/>
        </w:rPr>
        <w:t xml:space="preserve"> (2022). </w:t>
      </w:r>
      <w:r w:rsidRPr="00C518EE">
        <w:rPr>
          <w:rFonts w:asciiTheme="minorBidi" w:hAnsiTheme="minorBidi"/>
          <w:i/>
          <w:iCs/>
        </w:rPr>
        <w:t>Socioeconomic inequalities in avoidable mortality in Wales</w:t>
      </w:r>
      <w:r w:rsidRPr="00EB1C04">
        <w:rPr>
          <w:rFonts w:asciiTheme="minorBidi" w:hAnsiTheme="minorBidi"/>
          <w:i/>
          <w:iCs/>
        </w:rPr>
        <w:t xml:space="preserve">. </w:t>
      </w:r>
      <w:r w:rsidRPr="00C518EE">
        <w:rPr>
          <w:rFonts w:asciiTheme="minorBidi" w:hAnsiTheme="minorBidi"/>
        </w:rPr>
        <w:t xml:space="preserve">Available at: </w:t>
      </w:r>
      <w:hyperlink r:id="rId14" w:history="1">
        <w:r w:rsidRPr="00C518EE">
          <w:rPr>
            <w:rStyle w:val="Hyperlink"/>
            <w:rFonts w:asciiTheme="minorBidi" w:hAnsiTheme="minorBidi"/>
          </w:rPr>
          <w:t>https://www.ons.gov.uk/peoplepopulationandcommunity/birthsdeathsandmarriages/deaths/bulletins/socioeconomicinequalitiesinavoidablemortalityinwales/2020</w:t>
        </w:r>
      </w:hyperlink>
      <w:r w:rsidRPr="00C518EE">
        <w:rPr>
          <w:rFonts w:asciiTheme="minorBidi" w:hAnsiTheme="minorBidi"/>
        </w:rPr>
        <w:t>.</w:t>
      </w:r>
      <w:r w:rsidRPr="00EB1C04">
        <w:rPr>
          <w:rFonts w:asciiTheme="minorBidi" w:hAnsiTheme="minorBidi"/>
        </w:rPr>
        <w:t xml:space="preserve"> (Accessed: 15 November 2025)</w:t>
      </w:r>
    </w:p>
    <w:p w14:paraId="43397082" w14:textId="77777777" w:rsidR="00DC3E85" w:rsidRPr="00B31E74" w:rsidRDefault="00DC3E85" w:rsidP="00704378">
      <w:pPr>
        <w:spacing w:line="240" w:lineRule="auto"/>
        <w:rPr>
          <w:rFonts w:asciiTheme="minorBidi" w:hAnsiTheme="minorBidi"/>
        </w:rPr>
      </w:pPr>
      <w:r w:rsidRPr="00B31E74">
        <w:rPr>
          <w:rFonts w:asciiTheme="minorBidi" w:hAnsiTheme="minorBidi"/>
        </w:rPr>
        <w:t>Office for Statistics Regu</w:t>
      </w:r>
      <w:r w:rsidRPr="00EB1C04">
        <w:rPr>
          <w:rFonts w:asciiTheme="minorBidi" w:hAnsiTheme="minorBidi"/>
        </w:rPr>
        <w:t>l</w:t>
      </w:r>
      <w:r w:rsidRPr="00B31E74">
        <w:rPr>
          <w:rFonts w:asciiTheme="minorBidi" w:hAnsiTheme="minorBidi"/>
        </w:rPr>
        <w:t xml:space="preserve">ation (2025). </w:t>
      </w:r>
      <w:proofErr w:type="spellStart"/>
      <w:r w:rsidRPr="00EB1C04">
        <w:rPr>
          <w:rFonts w:asciiTheme="minorBidi" w:hAnsiTheme="minorBidi"/>
          <w:i/>
          <w:iCs/>
          <w:lang w:val="fr-FR"/>
        </w:rPr>
        <w:t>D</w:t>
      </w:r>
      <w:r w:rsidRPr="00B31E74">
        <w:rPr>
          <w:rFonts w:asciiTheme="minorBidi" w:hAnsiTheme="minorBidi"/>
          <w:i/>
          <w:iCs/>
          <w:lang w:val="fr-FR"/>
        </w:rPr>
        <w:t>eprivation</w:t>
      </w:r>
      <w:proofErr w:type="spellEnd"/>
      <w:r w:rsidRPr="00B31E74">
        <w:rPr>
          <w:rFonts w:asciiTheme="minorBidi" w:hAnsiTheme="minorBidi"/>
          <w:lang w:val="fr-FR"/>
        </w:rPr>
        <w:t xml:space="preserve">. </w:t>
      </w:r>
      <w:r w:rsidRPr="00B31E74">
        <w:rPr>
          <w:rFonts w:asciiTheme="minorBidi" w:hAnsiTheme="minorBidi"/>
        </w:rPr>
        <w:t xml:space="preserve">Available at: </w:t>
      </w:r>
      <w:hyperlink r:id="rId15" w:history="1">
        <w:r w:rsidRPr="00B31E74">
          <w:rPr>
            <w:rStyle w:val="Hyperlink"/>
            <w:rFonts w:asciiTheme="minorBidi" w:hAnsiTheme="minorBidi"/>
          </w:rPr>
          <w:t>https://osr.statisticsauthority.gov.uk/blog/tag/deprivation/</w:t>
        </w:r>
      </w:hyperlink>
      <w:r w:rsidRPr="00B31E74">
        <w:rPr>
          <w:rFonts w:asciiTheme="minorBidi" w:hAnsiTheme="minorBidi"/>
        </w:rPr>
        <w:t>.</w:t>
      </w:r>
      <w:r w:rsidRPr="00EB1C04">
        <w:rPr>
          <w:rFonts w:asciiTheme="minorBidi" w:hAnsiTheme="minorBidi"/>
        </w:rPr>
        <w:t xml:space="preserve"> (Accessed: 15 November 2025)</w:t>
      </w:r>
    </w:p>
    <w:p w14:paraId="0D9E0C7D" w14:textId="77777777" w:rsidR="00DC3E85" w:rsidRPr="00EB1C04" w:rsidRDefault="00DC3E85" w:rsidP="00704378">
      <w:pPr>
        <w:spacing w:line="240" w:lineRule="auto"/>
        <w:rPr>
          <w:rFonts w:asciiTheme="minorBidi" w:hAnsiTheme="minorBidi"/>
        </w:rPr>
      </w:pPr>
      <w:r w:rsidRPr="00EB1C04">
        <w:rPr>
          <w:rFonts w:asciiTheme="minorBidi" w:hAnsiTheme="minorBidi"/>
        </w:rPr>
        <w:t xml:space="preserve">Page. N., Hewitt. G., Young, H., Moore. G., Murphy. S (2021) </w:t>
      </w:r>
      <w:r w:rsidRPr="00EB1C04">
        <w:rPr>
          <w:rFonts w:asciiTheme="minorBidi" w:hAnsiTheme="minorBidi"/>
          <w:i/>
          <w:iCs/>
        </w:rPr>
        <w:t>Student Health and Wellbeing in Wales: Report of the 2019/20 School Health Research Network Student Health and Wellbeing Survey.</w:t>
      </w:r>
      <w:r w:rsidRPr="00EB1C04">
        <w:rPr>
          <w:rFonts w:asciiTheme="minorBidi" w:hAnsiTheme="minorBidi"/>
        </w:rPr>
        <w:t xml:space="preserve"> Available at: </w:t>
      </w:r>
      <w:hyperlink r:id="rId16" w:history="1">
        <w:r w:rsidRPr="00EB1C04">
          <w:rPr>
            <w:rStyle w:val="Hyperlink"/>
            <w:rFonts w:asciiTheme="minorBidi" w:hAnsiTheme="minorBidi"/>
          </w:rPr>
          <w:t>SHRN-NR-FINAL-23_03_21-en.pdf</w:t>
        </w:r>
      </w:hyperlink>
      <w:r w:rsidRPr="00EB1C04">
        <w:rPr>
          <w:rFonts w:asciiTheme="minorBidi" w:hAnsiTheme="minorBidi"/>
        </w:rPr>
        <w:t xml:space="preserve"> (Accessed: 17 November 2025)</w:t>
      </w:r>
    </w:p>
    <w:p w14:paraId="0351C20C" w14:textId="77777777" w:rsidR="00DC3E85" w:rsidRDefault="00DC3E85" w:rsidP="00704378">
      <w:pPr>
        <w:pStyle w:val="paragraph"/>
        <w:rPr>
          <w:rFonts w:asciiTheme="minorBidi" w:eastAsiaTheme="majorEastAsia" w:hAnsiTheme="minorBidi" w:cstheme="minorBidi"/>
        </w:rPr>
      </w:pPr>
      <w:r w:rsidRPr="00B233AE">
        <w:rPr>
          <w:rFonts w:asciiTheme="minorBidi" w:eastAsiaTheme="majorEastAsia" w:hAnsiTheme="minorBidi" w:cstheme="minorBidi"/>
        </w:rPr>
        <w:t>Raghupathi, V. and Raghupathi, W. (2020). </w:t>
      </w:r>
      <w:r w:rsidRPr="00B233AE">
        <w:rPr>
          <w:rFonts w:asciiTheme="minorBidi" w:eastAsiaTheme="majorEastAsia" w:hAnsiTheme="minorBidi" w:cstheme="minorBidi"/>
          <w:i/>
          <w:iCs/>
        </w:rPr>
        <w:t>The Influence of Education on health: an Empirical Assessment of OECD Countries for the Period 1995–2015.</w:t>
      </w:r>
      <w:r w:rsidRPr="00B233AE">
        <w:rPr>
          <w:rFonts w:asciiTheme="minorBidi" w:eastAsiaTheme="majorEastAsia" w:hAnsiTheme="minorBidi" w:cstheme="minorBidi"/>
        </w:rPr>
        <w:t> Archives of Public Health, [online] 78(1), pp.1–18. Available at: </w:t>
      </w:r>
      <w:hyperlink r:id="rId17" w:history="1">
        <w:r w:rsidRPr="00B233AE">
          <w:rPr>
            <w:rStyle w:val="Hyperlink"/>
            <w:rFonts w:asciiTheme="minorBidi" w:eastAsiaTheme="majorEastAsia" w:hAnsiTheme="minorBidi" w:cstheme="minorBidi"/>
          </w:rPr>
          <w:t>https://archpublichealth.biomedcentral.com/articles/10.1186/s13690-020-00402-5</w:t>
        </w:r>
      </w:hyperlink>
      <w:r w:rsidRPr="00B233AE">
        <w:rPr>
          <w:rFonts w:asciiTheme="minorBidi" w:eastAsiaTheme="majorEastAsia" w:hAnsiTheme="minorBidi" w:cstheme="minorBidi"/>
        </w:rPr>
        <w:t>.</w:t>
      </w:r>
    </w:p>
    <w:p w14:paraId="4F09B531" w14:textId="29AAACEA" w:rsidR="004A017A" w:rsidRPr="004277D4" w:rsidRDefault="004A017A" w:rsidP="004277D4">
      <w:pPr>
        <w:spacing w:line="240" w:lineRule="auto"/>
        <w:rPr>
          <w:rFonts w:asciiTheme="minorBidi" w:hAnsiTheme="minorBidi"/>
        </w:rPr>
      </w:pPr>
      <w:r w:rsidRPr="004277D4">
        <w:rPr>
          <w:rFonts w:asciiTheme="minorBidi" w:hAnsiTheme="minorBidi"/>
        </w:rPr>
        <w:t xml:space="preserve">Robertson et al (2013) </w:t>
      </w:r>
      <w:r w:rsidRPr="004277D4">
        <w:rPr>
          <w:rFonts w:asciiTheme="minorBidi" w:hAnsiTheme="minorBidi"/>
          <w:i/>
          <w:iCs/>
        </w:rPr>
        <w:t>Men’s health promotion interventions: what have we learned from previous programmes? Community Practitioner</w:t>
      </w:r>
      <w:r w:rsidRPr="004277D4">
        <w:rPr>
          <w:rFonts w:asciiTheme="minorBidi" w:hAnsiTheme="minorBidi"/>
        </w:rPr>
        <w:t xml:space="preserve"> 86(11): 38-41. </w:t>
      </w:r>
      <w:hyperlink r:id="rId18" w:history="1">
        <w:r w:rsidR="004277D4" w:rsidRPr="004277D4">
          <w:rPr>
            <w:rStyle w:val="Hyperlink"/>
            <w:rFonts w:asciiTheme="minorBidi" w:hAnsiTheme="minorBidi"/>
          </w:rPr>
          <w:t>https://mhfi.org/PromotingMentalHealth.pdf</w:t>
        </w:r>
      </w:hyperlink>
      <w:r w:rsidR="004277D4" w:rsidRPr="004277D4">
        <w:rPr>
          <w:rFonts w:asciiTheme="minorBidi" w:hAnsiTheme="minorBidi"/>
        </w:rPr>
        <w:t xml:space="preserve"> </w:t>
      </w:r>
    </w:p>
    <w:p w14:paraId="728E0765" w14:textId="77777777" w:rsidR="00DC3E85" w:rsidRDefault="00DC3E85" w:rsidP="00704378">
      <w:pPr>
        <w:pStyle w:val="paragraph"/>
        <w:rPr>
          <w:rFonts w:asciiTheme="minorBidi" w:eastAsiaTheme="majorEastAsia" w:hAnsiTheme="minorBidi"/>
          <w:lang w:val="en-US"/>
        </w:rPr>
      </w:pPr>
      <w:r w:rsidRPr="001338C9">
        <w:rPr>
          <w:rFonts w:asciiTheme="minorBidi" w:eastAsiaTheme="majorEastAsia" w:hAnsiTheme="minorBidi"/>
          <w:lang w:val="en-US"/>
        </w:rPr>
        <w:t xml:space="preserve">Stack, L. (2020). </w:t>
      </w:r>
      <w:r w:rsidRPr="001338C9">
        <w:rPr>
          <w:rFonts w:asciiTheme="minorBidi" w:eastAsiaTheme="majorEastAsia" w:hAnsiTheme="minorBidi"/>
          <w:i/>
          <w:iCs/>
          <w:lang w:val="en-US"/>
        </w:rPr>
        <w:t>Male Health Inequalities - Health Action Research Group</w:t>
      </w:r>
      <w:r w:rsidRPr="001338C9">
        <w:rPr>
          <w:rFonts w:asciiTheme="minorBidi" w:eastAsiaTheme="majorEastAsia" w:hAnsiTheme="minorBidi"/>
          <w:lang w:val="en-US"/>
        </w:rPr>
        <w:t xml:space="preserve">. [online] Healthactionresearch.org.uk. Available at: </w:t>
      </w:r>
      <w:hyperlink r:id="rId19" w:history="1">
        <w:r w:rsidRPr="001338C9">
          <w:rPr>
            <w:rStyle w:val="Hyperlink"/>
            <w:rFonts w:asciiTheme="minorBidi" w:eastAsiaTheme="majorEastAsia" w:hAnsiTheme="minorBidi"/>
            <w:lang w:val="en-US"/>
          </w:rPr>
          <w:t>https://www.healthactionresearch.org.uk/tackling-obesity/male-health-inequalities/</w:t>
        </w:r>
      </w:hyperlink>
      <w:r w:rsidRPr="001338C9">
        <w:rPr>
          <w:rFonts w:asciiTheme="minorBidi" w:eastAsiaTheme="majorEastAsia" w:hAnsiTheme="minorBidi"/>
          <w:lang w:val="en-US"/>
        </w:rPr>
        <w:t>.</w:t>
      </w:r>
    </w:p>
    <w:p w14:paraId="4DBEA102" w14:textId="77777777" w:rsidR="00DC3E85" w:rsidRDefault="00DC3E85" w:rsidP="00704378">
      <w:pPr>
        <w:pStyle w:val="paragraph"/>
        <w:rPr>
          <w:rFonts w:asciiTheme="minorBidi" w:eastAsiaTheme="majorEastAsia" w:hAnsiTheme="minorBidi" w:cstheme="minorBidi"/>
        </w:rPr>
      </w:pPr>
      <w:r w:rsidRPr="00B76CA9">
        <w:rPr>
          <w:rFonts w:asciiTheme="minorBidi" w:eastAsiaTheme="majorEastAsia" w:hAnsiTheme="minorBidi" w:cstheme="minorBidi"/>
        </w:rPr>
        <w:t>The Centre for Social Justice (2025) Lost Boys: State of the Nation [online]. Available at: </w:t>
      </w:r>
      <w:hyperlink r:id="rId20" w:history="1">
        <w:r w:rsidRPr="00B76CA9">
          <w:rPr>
            <w:rStyle w:val="Hyperlink"/>
            <w:rFonts w:asciiTheme="minorBidi" w:eastAsiaTheme="majorEastAsia" w:hAnsiTheme="minorBidi" w:cstheme="minorBidi"/>
          </w:rPr>
          <w:t>https://www.centreforsocialjustice.org.uk/wp-content/uploads/2025/03/CSJ-The_Lost_Boys.pdf</w:t>
        </w:r>
      </w:hyperlink>
    </w:p>
    <w:p w14:paraId="2533A91D" w14:textId="77777777" w:rsidR="00DC3E85" w:rsidRPr="00C754C7" w:rsidRDefault="00DC3E85" w:rsidP="00704378">
      <w:pPr>
        <w:spacing w:line="240" w:lineRule="auto"/>
        <w:rPr>
          <w:rFonts w:asciiTheme="minorBidi" w:hAnsiTheme="minorBidi"/>
        </w:rPr>
      </w:pPr>
      <w:r w:rsidRPr="00C754C7">
        <w:rPr>
          <w:rFonts w:asciiTheme="minorBidi" w:hAnsiTheme="minorBidi"/>
        </w:rPr>
        <w:t xml:space="preserve">The Health Foundation (2025). </w:t>
      </w:r>
      <w:r w:rsidRPr="00C754C7">
        <w:rPr>
          <w:rFonts w:asciiTheme="minorBidi" w:hAnsiTheme="minorBidi"/>
          <w:i/>
          <w:iCs/>
        </w:rPr>
        <w:t>Inequalities in Life Expectancy and Healthy Life Expectancy</w:t>
      </w:r>
      <w:r w:rsidRPr="00C754C7">
        <w:rPr>
          <w:rFonts w:asciiTheme="minorBidi" w:hAnsiTheme="minorBidi"/>
        </w:rPr>
        <w:t xml:space="preserve">. Available at: </w:t>
      </w:r>
      <w:hyperlink r:id="rId21" w:history="1">
        <w:r w:rsidRPr="00C754C7">
          <w:rPr>
            <w:rStyle w:val="Hyperlink"/>
            <w:rFonts w:asciiTheme="minorBidi" w:hAnsiTheme="minorBidi"/>
          </w:rPr>
          <w:t>https://www.health.org.uk/evidence-hub/health-inequalities/inequalities-in-life-expectancy-and-healthy-life-expectancy</w:t>
        </w:r>
      </w:hyperlink>
      <w:r w:rsidRPr="00EB1C04">
        <w:rPr>
          <w:rFonts w:asciiTheme="minorBidi" w:hAnsiTheme="minorBidi"/>
        </w:rPr>
        <w:t xml:space="preserve"> (Accessed: 15 November 2025)</w:t>
      </w:r>
    </w:p>
    <w:p w14:paraId="49EB79C7" w14:textId="77777777" w:rsidR="00DC3E85" w:rsidRPr="00B31E74" w:rsidRDefault="00DC3E85" w:rsidP="00704378">
      <w:pPr>
        <w:spacing w:line="240" w:lineRule="auto"/>
        <w:rPr>
          <w:rFonts w:asciiTheme="minorBidi" w:hAnsiTheme="minorBidi"/>
        </w:rPr>
      </w:pPr>
      <w:r w:rsidRPr="00EB1C04">
        <w:rPr>
          <w:rFonts w:asciiTheme="minorBidi" w:hAnsiTheme="minorBidi"/>
        </w:rPr>
        <w:t xml:space="preserve">Welsh Government (2021) Implementing the Socio-economic Duty: A review of evidence on socio-economic disadvantage and inequalities of outcome. Available at: </w:t>
      </w:r>
      <w:hyperlink r:id="rId22" w:history="1">
        <w:r w:rsidRPr="00EB1C04">
          <w:rPr>
            <w:rStyle w:val="Hyperlink"/>
            <w:rFonts w:asciiTheme="minorBidi" w:hAnsiTheme="minorBidi"/>
          </w:rPr>
          <w:t>A review of evidence on socio-economic disadvantage and inequalities of outcome</w:t>
        </w:r>
      </w:hyperlink>
      <w:r w:rsidRPr="00EB1C04">
        <w:rPr>
          <w:rFonts w:asciiTheme="minorBidi" w:hAnsiTheme="minorBidi"/>
        </w:rPr>
        <w:t xml:space="preserve"> (Accessed: </w:t>
      </w:r>
      <w:r>
        <w:rPr>
          <w:rFonts w:asciiTheme="minorBidi" w:hAnsiTheme="minorBidi"/>
        </w:rPr>
        <w:t>25</w:t>
      </w:r>
      <w:r w:rsidRPr="00EB1C04">
        <w:rPr>
          <w:rFonts w:asciiTheme="minorBidi" w:hAnsiTheme="minorBidi"/>
        </w:rPr>
        <w:t xml:space="preserve"> November 2025)</w:t>
      </w:r>
    </w:p>
    <w:p w14:paraId="69ABA2A1" w14:textId="1A2641EF" w:rsidR="00DC3E85" w:rsidRPr="00056F46" w:rsidRDefault="00DC3E85" w:rsidP="00704378">
      <w:pPr>
        <w:spacing w:line="240" w:lineRule="auto"/>
        <w:rPr>
          <w:rFonts w:ascii="Arial" w:eastAsia="Arial" w:hAnsi="Arial" w:cs="Arial"/>
        </w:rPr>
      </w:pPr>
      <w:r w:rsidRPr="00056F46">
        <w:rPr>
          <w:rFonts w:ascii="Arial" w:eastAsia="Arial" w:hAnsi="Arial" w:cs="Arial"/>
        </w:rPr>
        <w:t xml:space="preserve">Welsh Government. (2016). How to measure a nation’s progress? National indicators for Wales, National Indicators for Wales as required by section 10(1) of the Well-being of Future Generations (Wales) Act 2015 [accessed 2025 December 1]. Available from: </w:t>
      </w:r>
      <w:hyperlink r:id="rId23" w:history="1">
        <w:r w:rsidRPr="00A85308">
          <w:rPr>
            <w:rStyle w:val="Hyperlink"/>
            <w:rFonts w:ascii="Arial" w:eastAsia="Arial" w:hAnsi="Arial" w:cs="Arial"/>
          </w:rPr>
          <w:t>https://gov.wales/ sites/default/files/publications/2019-06/national-indicators-for-wales.pdf</w:t>
        </w:r>
      </w:hyperlink>
    </w:p>
    <w:p w14:paraId="788AE46F" w14:textId="3452347B" w:rsidR="00DC3E85" w:rsidRPr="00056F46" w:rsidRDefault="00DC3E85" w:rsidP="00704378">
      <w:pPr>
        <w:spacing w:line="240" w:lineRule="auto"/>
        <w:rPr>
          <w:rFonts w:ascii="Arial" w:eastAsia="Arial" w:hAnsi="Arial" w:cs="Arial"/>
        </w:rPr>
      </w:pPr>
      <w:r w:rsidRPr="00056F46">
        <w:rPr>
          <w:rFonts w:ascii="Arial" w:eastAsia="Arial" w:hAnsi="Arial" w:cs="Arial"/>
        </w:rPr>
        <w:t xml:space="preserve">Welsh Government. (2021a). A More Equal Wales. The Socio-economic Duty Equality Act 2010. [accessed 2025 December 1]. Available from: </w:t>
      </w:r>
      <w:hyperlink r:id="rId24" w:history="1">
        <w:r w:rsidRPr="00A85308">
          <w:rPr>
            <w:rStyle w:val="Hyperlink"/>
            <w:rFonts w:ascii="Arial" w:eastAsia="Arial" w:hAnsi="Arial" w:cs="Arial"/>
          </w:rPr>
          <w:t>https://www.gov.wales/sites/default/files/ publications/2021-03/a-more-equal-wales.pdf</w:t>
        </w:r>
      </w:hyperlink>
    </w:p>
    <w:p w14:paraId="036A7063" w14:textId="30F018F5" w:rsidR="00DC3E85" w:rsidRPr="00056F46" w:rsidRDefault="00DC3E85" w:rsidP="00704378">
      <w:pPr>
        <w:spacing w:line="240" w:lineRule="auto"/>
        <w:rPr>
          <w:rFonts w:ascii="Arial" w:eastAsia="Arial" w:hAnsi="Arial" w:cs="Arial"/>
        </w:rPr>
      </w:pPr>
      <w:r w:rsidRPr="00056F46">
        <w:rPr>
          <w:rFonts w:ascii="Arial" w:eastAsia="Arial" w:hAnsi="Arial" w:cs="Arial"/>
        </w:rPr>
        <w:t xml:space="preserve">Welsh Government. (2023a). The Health and Social Care (Quality and Engagement) (Wales) Act: summary. A summary of the new law to improve quality and public engagement in health and social care. [accessed 2025 December 1]. Available from: </w:t>
      </w:r>
      <w:hyperlink r:id="rId25" w:history="1">
        <w:r w:rsidRPr="00A85308">
          <w:rPr>
            <w:rStyle w:val="Hyperlink"/>
            <w:rFonts w:ascii="Arial" w:eastAsia="Arial" w:hAnsi="Arial" w:cs="Arial"/>
          </w:rPr>
          <w:t>https://www.gov.wales/sites/default/ f iles/pdf-versions/2023/8/2/1690888276/health-and-social-care-quality-and-engagement wales-act-summary.pdf</w:t>
        </w:r>
      </w:hyperlink>
    </w:p>
    <w:p w14:paraId="25663565" w14:textId="2CEEED4F" w:rsidR="00DC3E85" w:rsidRPr="00056F46" w:rsidRDefault="00DC3E85" w:rsidP="00704378">
      <w:pPr>
        <w:spacing w:line="240" w:lineRule="auto"/>
        <w:rPr>
          <w:rFonts w:ascii="Arial" w:eastAsia="Arial" w:hAnsi="Arial" w:cs="Arial"/>
        </w:rPr>
      </w:pPr>
      <w:r w:rsidRPr="00056F46">
        <w:rPr>
          <w:rFonts w:ascii="Arial" w:eastAsia="Arial" w:hAnsi="Arial" w:cs="Arial"/>
        </w:rPr>
        <w:t xml:space="preserve">Welsh Government. (2023b). Consultation Document. Health Impact Assessment (Wales) Regulations. Considering draft regulations to mandate the use of Health Impact Assessments. [accessed 2025 December 1]. Available from: </w:t>
      </w:r>
      <w:hyperlink r:id="rId26" w:history="1">
        <w:r w:rsidRPr="00A85308">
          <w:rPr>
            <w:rStyle w:val="Hyperlink"/>
            <w:rFonts w:ascii="Arial" w:eastAsia="Arial" w:hAnsi="Arial" w:cs="Arial"/>
          </w:rPr>
          <w:t>https://www.gov.wales/health-impact-assessment regulations</w:t>
        </w:r>
      </w:hyperlink>
    </w:p>
    <w:p w14:paraId="5D1B3CB4" w14:textId="3799C1CB" w:rsidR="00DC3E85" w:rsidRDefault="00DC3E85" w:rsidP="00704378">
      <w:pPr>
        <w:spacing w:line="240" w:lineRule="auto"/>
        <w:rPr>
          <w:rFonts w:ascii="Arial" w:eastAsia="Arial" w:hAnsi="Arial" w:cs="Arial"/>
        </w:rPr>
      </w:pPr>
      <w:r w:rsidRPr="00056F46">
        <w:rPr>
          <w:rFonts w:ascii="Arial" w:eastAsia="Arial" w:hAnsi="Arial" w:cs="Arial"/>
        </w:rPr>
        <w:t xml:space="preserve">Welsh Government. (2023b). Consultation Document. Health Impact Assessment (Wales) Regulations. Considering draft regulations to mandate the use of Health Impact Assessments. [accessed 2025 December 1]. Available from: </w:t>
      </w:r>
      <w:hyperlink r:id="rId27" w:history="1">
        <w:r w:rsidRPr="00A85308">
          <w:rPr>
            <w:rStyle w:val="Hyperlink"/>
            <w:rFonts w:ascii="Arial" w:eastAsia="Arial" w:hAnsi="Arial" w:cs="Arial"/>
          </w:rPr>
          <w:t>https://www.gov.wales/health-impact-assessment regulations</w:t>
        </w:r>
      </w:hyperlink>
    </w:p>
    <w:p w14:paraId="25F4829E" w14:textId="77777777" w:rsidR="00A85308" w:rsidRPr="00056F46" w:rsidRDefault="00A85308" w:rsidP="00704378">
      <w:pPr>
        <w:spacing w:line="240" w:lineRule="auto"/>
        <w:rPr>
          <w:rFonts w:ascii="Arial" w:eastAsia="Arial" w:hAnsi="Arial" w:cs="Arial"/>
        </w:rPr>
      </w:pPr>
    </w:p>
    <w:p w14:paraId="2A19C152" w14:textId="77777777" w:rsidR="00056F46" w:rsidRPr="001338C9" w:rsidRDefault="00056F46" w:rsidP="001338C9">
      <w:pPr>
        <w:pStyle w:val="paragraph"/>
        <w:rPr>
          <w:rFonts w:asciiTheme="minorBidi" w:eastAsiaTheme="majorEastAsia" w:hAnsiTheme="minorBidi"/>
          <w:lang w:val="en-US"/>
        </w:rPr>
      </w:pPr>
    </w:p>
    <w:p w14:paraId="1D8AAB18" w14:textId="77777777" w:rsidR="001338C9" w:rsidRPr="00A024C1" w:rsidRDefault="001338C9" w:rsidP="009C5F78">
      <w:pPr>
        <w:pStyle w:val="paragraph"/>
        <w:spacing w:line="360" w:lineRule="auto"/>
        <w:rPr>
          <w:rFonts w:asciiTheme="minorBidi" w:eastAsiaTheme="majorEastAsia" w:hAnsiTheme="minorBidi" w:cstheme="minorBidi"/>
        </w:rPr>
      </w:pPr>
    </w:p>
    <w:p w14:paraId="64A0672A" w14:textId="77777777" w:rsidR="009C5F78" w:rsidRPr="00A024C1" w:rsidRDefault="009C5F78" w:rsidP="009C5F78">
      <w:pPr>
        <w:pStyle w:val="paragraph"/>
        <w:spacing w:line="360" w:lineRule="auto"/>
        <w:rPr>
          <w:rFonts w:asciiTheme="minorBidi" w:eastAsiaTheme="majorEastAsia" w:hAnsiTheme="minorBidi" w:cstheme="minorBidi"/>
        </w:rPr>
      </w:pPr>
    </w:p>
    <w:p w14:paraId="56AF63A4" w14:textId="77777777" w:rsidR="009C5F78" w:rsidRPr="00A024C1" w:rsidRDefault="009C5F78" w:rsidP="008B26B6">
      <w:pPr>
        <w:pStyle w:val="paragraph"/>
        <w:spacing w:line="360" w:lineRule="auto"/>
        <w:rPr>
          <w:rFonts w:asciiTheme="minorBidi" w:eastAsiaTheme="majorEastAsia" w:hAnsiTheme="minorBidi" w:cstheme="minorBidi"/>
        </w:rPr>
      </w:pPr>
    </w:p>
    <w:p w14:paraId="7DCDBBD0" w14:textId="77777777" w:rsidR="008B26B6" w:rsidRDefault="008B26B6" w:rsidP="007055B0">
      <w:pPr>
        <w:pStyle w:val="paragraph"/>
        <w:spacing w:line="360" w:lineRule="auto"/>
        <w:rPr>
          <w:rFonts w:asciiTheme="minorBidi" w:eastAsiaTheme="majorEastAsia" w:hAnsiTheme="minorBidi" w:cstheme="minorBidi"/>
        </w:rPr>
      </w:pPr>
    </w:p>
    <w:p w14:paraId="3311B3B6" w14:textId="2BF6DFE6" w:rsidR="00526200" w:rsidRPr="00EB1C04" w:rsidRDefault="00526200" w:rsidP="00EB1C04">
      <w:pPr>
        <w:spacing w:line="240" w:lineRule="auto"/>
        <w:rPr>
          <w:rFonts w:asciiTheme="minorBidi" w:hAnsiTheme="minorBidi"/>
        </w:rPr>
      </w:pPr>
    </w:p>
    <w:sectPr w:rsidR="00526200" w:rsidRPr="00EB1C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F1993"/>
    <w:multiLevelType w:val="multilevel"/>
    <w:tmpl w:val="84EE1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003370"/>
    <w:multiLevelType w:val="multilevel"/>
    <w:tmpl w:val="F6B08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661D95"/>
    <w:multiLevelType w:val="multilevel"/>
    <w:tmpl w:val="4CCE1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057CD0"/>
    <w:multiLevelType w:val="multilevel"/>
    <w:tmpl w:val="2140D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1A4B01"/>
    <w:multiLevelType w:val="multilevel"/>
    <w:tmpl w:val="45EE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A85D63"/>
    <w:multiLevelType w:val="multilevel"/>
    <w:tmpl w:val="E2B0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77E3708"/>
    <w:multiLevelType w:val="multilevel"/>
    <w:tmpl w:val="E508E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0526B7D"/>
    <w:multiLevelType w:val="multilevel"/>
    <w:tmpl w:val="B7BC3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8B2E8E"/>
    <w:multiLevelType w:val="multilevel"/>
    <w:tmpl w:val="5CDCF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D913506"/>
    <w:multiLevelType w:val="multilevel"/>
    <w:tmpl w:val="B706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5F45455"/>
    <w:multiLevelType w:val="multilevel"/>
    <w:tmpl w:val="12D6F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6B30DC3"/>
    <w:multiLevelType w:val="multilevel"/>
    <w:tmpl w:val="275C5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6EB634D"/>
    <w:multiLevelType w:val="multilevel"/>
    <w:tmpl w:val="BBF41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962747E"/>
    <w:multiLevelType w:val="multilevel"/>
    <w:tmpl w:val="CE147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64F6060"/>
    <w:multiLevelType w:val="multilevel"/>
    <w:tmpl w:val="335A7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A437AFE"/>
    <w:multiLevelType w:val="multilevel"/>
    <w:tmpl w:val="655C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3B03174"/>
    <w:multiLevelType w:val="multilevel"/>
    <w:tmpl w:val="C6101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CB35198"/>
    <w:multiLevelType w:val="multilevel"/>
    <w:tmpl w:val="F2EA8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1E65E80"/>
    <w:multiLevelType w:val="multilevel"/>
    <w:tmpl w:val="31B43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89418099">
    <w:abstractNumId w:val="16"/>
  </w:num>
  <w:num w:numId="2" w16cid:durableId="1635330572">
    <w:abstractNumId w:val="10"/>
  </w:num>
  <w:num w:numId="3" w16cid:durableId="1697928400">
    <w:abstractNumId w:val="9"/>
  </w:num>
  <w:num w:numId="4" w16cid:durableId="253828860">
    <w:abstractNumId w:val="1"/>
  </w:num>
  <w:num w:numId="5" w16cid:durableId="138765920">
    <w:abstractNumId w:val="15"/>
  </w:num>
  <w:num w:numId="6" w16cid:durableId="182209603">
    <w:abstractNumId w:val="11"/>
  </w:num>
  <w:num w:numId="7" w16cid:durableId="166409867">
    <w:abstractNumId w:val="17"/>
  </w:num>
  <w:num w:numId="8" w16cid:durableId="373235976">
    <w:abstractNumId w:val="8"/>
  </w:num>
  <w:num w:numId="9" w16cid:durableId="1207520686">
    <w:abstractNumId w:val="14"/>
  </w:num>
  <w:num w:numId="10" w16cid:durableId="838620362">
    <w:abstractNumId w:val="2"/>
  </w:num>
  <w:num w:numId="11" w16cid:durableId="185994649">
    <w:abstractNumId w:val="5"/>
  </w:num>
  <w:num w:numId="12" w16cid:durableId="1624001215">
    <w:abstractNumId w:val="13"/>
  </w:num>
  <w:num w:numId="13" w16cid:durableId="826675466">
    <w:abstractNumId w:val="12"/>
  </w:num>
  <w:num w:numId="14" w16cid:durableId="2037346441">
    <w:abstractNumId w:val="18"/>
  </w:num>
  <w:num w:numId="15" w16cid:durableId="1687052588">
    <w:abstractNumId w:val="3"/>
  </w:num>
  <w:num w:numId="16" w16cid:durableId="1326128847">
    <w:abstractNumId w:val="4"/>
  </w:num>
  <w:num w:numId="17" w16cid:durableId="1659460336">
    <w:abstractNumId w:val="6"/>
  </w:num>
  <w:num w:numId="18" w16cid:durableId="1509254009">
    <w:abstractNumId w:val="0"/>
  </w:num>
  <w:num w:numId="19" w16cid:durableId="7084108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495"/>
    <w:rsid w:val="00000E19"/>
    <w:rsid w:val="000066B8"/>
    <w:rsid w:val="00006942"/>
    <w:rsid w:val="00010EFD"/>
    <w:rsid w:val="000470CF"/>
    <w:rsid w:val="00047153"/>
    <w:rsid w:val="00056F46"/>
    <w:rsid w:val="00070F24"/>
    <w:rsid w:val="00074776"/>
    <w:rsid w:val="0007496B"/>
    <w:rsid w:val="0007693B"/>
    <w:rsid w:val="00086D3D"/>
    <w:rsid w:val="00095895"/>
    <w:rsid w:val="000B4066"/>
    <w:rsid w:val="000E4307"/>
    <w:rsid w:val="00100F7A"/>
    <w:rsid w:val="00115F6D"/>
    <w:rsid w:val="0012260A"/>
    <w:rsid w:val="001338C9"/>
    <w:rsid w:val="00134E83"/>
    <w:rsid w:val="001364FE"/>
    <w:rsid w:val="00155975"/>
    <w:rsid w:val="001851CA"/>
    <w:rsid w:val="0019278B"/>
    <w:rsid w:val="001C5E9D"/>
    <w:rsid w:val="001D7F16"/>
    <w:rsid w:val="001E0D58"/>
    <w:rsid w:val="001F47B1"/>
    <w:rsid w:val="00211BF1"/>
    <w:rsid w:val="00225E60"/>
    <w:rsid w:val="00242E6B"/>
    <w:rsid w:val="00246AB8"/>
    <w:rsid w:val="00256ED5"/>
    <w:rsid w:val="002A789A"/>
    <w:rsid w:val="002D2431"/>
    <w:rsid w:val="002D4E16"/>
    <w:rsid w:val="002D7CDB"/>
    <w:rsid w:val="002E6010"/>
    <w:rsid w:val="00313034"/>
    <w:rsid w:val="00321E6A"/>
    <w:rsid w:val="00353A01"/>
    <w:rsid w:val="00396F0A"/>
    <w:rsid w:val="003A2074"/>
    <w:rsid w:val="003A444C"/>
    <w:rsid w:val="003C1111"/>
    <w:rsid w:val="003D6DF8"/>
    <w:rsid w:val="004142AE"/>
    <w:rsid w:val="004277D4"/>
    <w:rsid w:val="00431299"/>
    <w:rsid w:val="00442C76"/>
    <w:rsid w:val="00450FA4"/>
    <w:rsid w:val="0047231C"/>
    <w:rsid w:val="004A017A"/>
    <w:rsid w:val="004B094A"/>
    <w:rsid w:val="00513C53"/>
    <w:rsid w:val="0051580D"/>
    <w:rsid w:val="005210C4"/>
    <w:rsid w:val="00523324"/>
    <w:rsid w:val="00525ADF"/>
    <w:rsid w:val="00526200"/>
    <w:rsid w:val="00535847"/>
    <w:rsid w:val="00560D10"/>
    <w:rsid w:val="00562CE8"/>
    <w:rsid w:val="0056549F"/>
    <w:rsid w:val="00570E11"/>
    <w:rsid w:val="00577B46"/>
    <w:rsid w:val="005C305B"/>
    <w:rsid w:val="005E1EDB"/>
    <w:rsid w:val="005F1B28"/>
    <w:rsid w:val="005F2BD1"/>
    <w:rsid w:val="005F46B9"/>
    <w:rsid w:val="006020D8"/>
    <w:rsid w:val="00604173"/>
    <w:rsid w:val="00605B1C"/>
    <w:rsid w:val="00616E6F"/>
    <w:rsid w:val="00637396"/>
    <w:rsid w:val="00665EC4"/>
    <w:rsid w:val="006B6495"/>
    <w:rsid w:val="006D0A51"/>
    <w:rsid w:val="006D3931"/>
    <w:rsid w:val="006E5451"/>
    <w:rsid w:val="00704378"/>
    <w:rsid w:val="007051BC"/>
    <w:rsid w:val="007052C7"/>
    <w:rsid w:val="007055B0"/>
    <w:rsid w:val="007209B0"/>
    <w:rsid w:val="0072650F"/>
    <w:rsid w:val="00740724"/>
    <w:rsid w:val="00740923"/>
    <w:rsid w:val="00770389"/>
    <w:rsid w:val="0078338A"/>
    <w:rsid w:val="00797565"/>
    <w:rsid w:val="007B2C3A"/>
    <w:rsid w:val="007B5A23"/>
    <w:rsid w:val="007C0047"/>
    <w:rsid w:val="007F1DA2"/>
    <w:rsid w:val="007F2B39"/>
    <w:rsid w:val="007F4A03"/>
    <w:rsid w:val="0082299B"/>
    <w:rsid w:val="008410EE"/>
    <w:rsid w:val="00841FC9"/>
    <w:rsid w:val="00851447"/>
    <w:rsid w:val="0086076A"/>
    <w:rsid w:val="00863230"/>
    <w:rsid w:val="00865218"/>
    <w:rsid w:val="00875BA9"/>
    <w:rsid w:val="0087643B"/>
    <w:rsid w:val="00882E7D"/>
    <w:rsid w:val="0089011F"/>
    <w:rsid w:val="0089020D"/>
    <w:rsid w:val="008966CD"/>
    <w:rsid w:val="008A653A"/>
    <w:rsid w:val="008B26B6"/>
    <w:rsid w:val="008C2A3B"/>
    <w:rsid w:val="008C4C93"/>
    <w:rsid w:val="008D0470"/>
    <w:rsid w:val="008D3FDB"/>
    <w:rsid w:val="008F2CBD"/>
    <w:rsid w:val="008F7DBB"/>
    <w:rsid w:val="00925776"/>
    <w:rsid w:val="0093500E"/>
    <w:rsid w:val="0095048E"/>
    <w:rsid w:val="009A672A"/>
    <w:rsid w:val="009A7876"/>
    <w:rsid w:val="009C04D3"/>
    <w:rsid w:val="009C5F78"/>
    <w:rsid w:val="009D5E23"/>
    <w:rsid w:val="00A024C1"/>
    <w:rsid w:val="00A0678F"/>
    <w:rsid w:val="00A24699"/>
    <w:rsid w:val="00A312E2"/>
    <w:rsid w:val="00A33AFE"/>
    <w:rsid w:val="00A5646D"/>
    <w:rsid w:val="00A567A2"/>
    <w:rsid w:val="00A5770E"/>
    <w:rsid w:val="00A61637"/>
    <w:rsid w:val="00A85308"/>
    <w:rsid w:val="00AB2691"/>
    <w:rsid w:val="00AB56B7"/>
    <w:rsid w:val="00AC6AC3"/>
    <w:rsid w:val="00B11F30"/>
    <w:rsid w:val="00B233AE"/>
    <w:rsid w:val="00B2779A"/>
    <w:rsid w:val="00B31E74"/>
    <w:rsid w:val="00B653CC"/>
    <w:rsid w:val="00B66BDB"/>
    <w:rsid w:val="00B706C0"/>
    <w:rsid w:val="00B73682"/>
    <w:rsid w:val="00B76CA9"/>
    <w:rsid w:val="00BB6CF1"/>
    <w:rsid w:val="00BC6179"/>
    <w:rsid w:val="00C11945"/>
    <w:rsid w:val="00C25697"/>
    <w:rsid w:val="00C518EE"/>
    <w:rsid w:val="00C5492A"/>
    <w:rsid w:val="00C61F68"/>
    <w:rsid w:val="00C754C7"/>
    <w:rsid w:val="00C80C9B"/>
    <w:rsid w:val="00C84982"/>
    <w:rsid w:val="00CB4FF5"/>
    <w:rsid w:val="00CB6E95"/>
    <w:rsid w:val="00CB7710"/>
    <w:rsid w:val="00CC5213"/>
    <w:rsid w:val="00CE70C2"/>
    <w:rsid w:val="00D20FEB"/>
    <w:rsid w:val="00D51CBB"/>
    <w:rsid w:val="00D5670A"/>
    <w:rsid w:val="00D6120F"/>
    <w:rsid w:val="00D83922"/>
    <w:rsid w:val="00D96B98"/>
    <w:rsid w:val="00D97FE4"/>
    <w:rsid w:val="00DC211F"/>
    <w:rsid w:val="00DC3E85"/>
    <w:rsid w:val="00DD363B"/>
    <w:rsid w:val="00E43BB7"/>
    <w:rsid w:val="00E45859"/>
    <w:rsid w:val="00E613E6"/>
    <w:rsid w:val="00E93F07"/>
    <w:rsid w:val="00EA1CF0"/>
    <w:rsid w:val="00EA28DE"/>
    <w:rsid w:val="00EB1C04"/>
    <w:rsid w:val="00EB5F4D"/>
    <w:rsid w:val="00EB743B"/>
    <w:rsid w:val="00EC0136"/>
    <w:rsid w:val="00EC4937"/>
    <w:rsid w:val="00ED2493"/>
    <w:rsid w:val="00ED4695"/>
    <w:rsid w:val="00EF61F9"/>
    <w:rsid w:val="00F035E5"/>
    <w:rsid w:val="00F06573"/>
    <w:rsid w:val="00F202CC"/>
    <w:rsid w:val="00F369A5"/>
    <w:rsid w:val="00F66121"/>
    <w:rsid w:val="00F94B64"/>
    <w:rsid w:val="00F9548E"/>
    <w:rsid w:val="00FC5360"/>
    <w:rsid w:val="00FD386F"/>
    <w:rsid w:val="00FD7E4E"/>
    <w:rsid w:val="00FE1B02"/>
    <w:rsid w:val="00FE3DD2"/>
    <w:rsid w:val="00FE5D03"/>
    <w:rsid w:val="00FE6D8B"/>
    <w:rsid w:val="00FF32A6"/>
    <w:rsid w:val="0463A240"/>
    <w:rsid w:val="0E00DF77"/>
    <w:rsid w:val="0E6C4F28"/>
    <w:rsid w:val="122A505E"/>
    <w:rsid w:val="40930696"/>
    <w:rsid w:val="4EA236A1"/>
    <w:rsid w:val="56D6488A"/>
    <w:rsid w:val="588E2CF1"/>
    <w:rsid w:val="5E27CA31"/>
    <w:rsid w:val="677D7681"/>
    <w:rsid w:val="6827C85B"/>
    <w:rsid w:val="7E203EF8"/>
    <w:rsid w:val="7EB9A0C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E494E"/>
  <w15:chartTrackingRefBased/>
  <w15:docId w15:val="{3981C08F-FEE8-49A1-8498-E39D3E2FA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64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64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64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64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64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64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64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64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64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64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64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64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64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64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64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64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64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6495"/>
    <w:rPr>
      <w:rFonts w:eastAsiaTheme="majorEastAsia" w:cstheme="majorBidi"/>
      <w:color w:val="272727" w:themeColor="text1" w:themeTint="D8"/>
    </w:rPr>
  </w:style>
  <w:style w:type="paragraph" w:styleId="Title">
    <w:name w:val="Title"/>
    <w:basedOn w:val="Normal"/>
    <w:next w:val="Normal"/>
    <w:link w:val="TitleChar"/>
    <w:uiPriority w:val="10"/>
    <w:qFormat/>
    <w:rsid w:val="006B64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64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64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64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6495"/>
    <w:pPr>
      <w:spacing w:before="160"/>
      <w:jc w:val="center"/>
    </w:pPr>
    <w:rPr>
      <w:i/>
      <w:iCs/>
      <w:color w:val="404040" w:themeColor="text1" w:themeTint="BF"/>
    </w:rPr>
  </w:style>
  <w:style w:type="character" w:customStyle="1" w:styleId="QuoteChar">
    <w:name w:val="Quote Char"/>
    <w:basedOn w:val="DefaultParagraphFont"/>
    <w:link w:val="Quote"/>
    <w:uiPriority w:val="29"/>
    <w:rsid w:val="006B6495"/>
    <w:rPr>
      <w:i/>
      <w:iCs/>
      <w:color w:val="404040" w:themeColor="text1" w:themeTint="BF"/>
    </w:rPr>
  </w:style>
  <w:style w:type="paragraph" w:styleId="ListParagraph">
    <w:name w:val="List Paragraph"/>
    <w:basedOn w:val="Normal"/>
    <w:uiPriority w:val="34"/>
    <w:qFormat/>
    <w:rsid w:val="006B6495"/>
    <w:pPr>
      <w:ind w:left="720"/>
      <w:contextualSpacing/>
    </w:pPr>
  </w:style>
  <w:style w:type="character" w:styleId="IntenseEmphasis">
    <w:name w:val="Intense Emphasis"/>
    <w:basedOn w:val="DefaultParagraphFont"/>
    <w:uiPriority w:val="21"/>
    <w:qFormat/>
    <w:rsid w:val="006B6495"/>
    <w:rPr>
      <w:i/>
      <w:iCs/>
      <w:color w:val="0F4761" w:themeColor="accent1" w:themeShade="BF"/>
    </w:rPr>
  </w:style>
  <w:style w:type="paragraph" w:styleId="IntenseQuote">
    <w:name w:val="Intense Quote"/>
    <w:basedOn w:val="Normal"/>
    <w:next w:val="Normal"/>
    <w:link w:val="IntenseQuoteChar"/>
    <w:uiPriority w:val="30"/>
    <w:qFormat/>
    <w:rsid w:val="006B64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6495"/>
    <w:rPr>
      <w:i/>
      <w:iCs/>
      <w:color w:val="0F4761" w:themeColor="accent1" w:themeShade="BF"/>
    </w:rPr>
  </w:style>
  <w:style w:type="character" w:styleId="IntenseReference">
    <w:name w:val="Intense Reference"/>
    <w:basedOn w:val="DefaultParagraphFont"/>
    <w:uiPriority w:val="32"/>
    <w:qFormat/>
    <w:rsid w:val="006B6495"/>
    <w:rPr>
      <w:b/>
      <w:bCs/>
      <w:smallCaps/>
      <w:color w:val="0F4761" w:themeColor="accent1" w:themeShade="BF"/>
      <w:spacing w:val="5"/>
    </w:rPr>
  </w:style>
  <w:style w:type="character" w:styleId="Hyperlink">
    <w:name w:val="Hyperlink"/>
    <w:basedOn w:val="DefaultParagraphFont"/>
    <w:uiPriority w:val="99"/>
    <w:unhideWhenUsed/>
    <w:rsid w:val="006B6495"/>
    <w:rPr>
      <w:color w:val="467886" w:themeColor="hyperlink"/>
      <w:u w:val="single"/>
    </w:rPr>
  </w:style>
  <w:style w:type="character" w:styleId="UnresolvedMention">
    <w:name w:val="Unresolved Mention"/>
    <w:basedOn w:val="DefaultParagraphFont"/>
    <w:uiPriority w:val="99"/>
    <w:semiHidden/>
    <w:unhideWhenUsed/>
    <w:rsid w:val="006B6495"/>
    <w:rPr>
      <w:color w:val="605E5C"/>
      <w:shd w:val="clear" w:color="auto" w:fill="E1DFDD"/>
    </w:rPr>
  </w:style>
  <w:style w:type="paragraph" w:customStyle="1" w:styleId="paragraph">
    <w:name w:val="paragraph"/>
    <w:basedOn w:val="Normal"/>
    <w:rsid w:val="006B6495"/>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6B6495"/>
  </w:style>
  <w:style w:type="character" w:customStyle="1" w:styleId="eop">
    <w:name w:val="eop"/>
    <w:basedOn w:val="DefaultParagraphFont"/>
    <w:rsid w:val="006B6495"/>
  </w:style>
  <w:style w:type="character" w:customStyle="1" w:styleId="scxw4448616">
    <w:name w:val="scxw4448616"/>
    <w:basedOn w:val="DefaultParagraphFont"/>
    <w:rsid w:val="006B6495"/>
  </w:style>
  <w:style w:type="paragraph" w:styleId="NormalWeb">
    <w:name w:val="Normal (Web)"/>
    <w:basedOn w:val="Normal"/>
    <w:uiPriority w:val="99"/>
    <w:semiHidden/>
    <w:unhideWhenUsed/>
    <w:rsid w:val="00A33AFE"/>
    <w:rPr>
      <w:rFonts w:ascii="Times New Roman" w:hAnsi="Times New Roman" w:cs="Times New Roman"/>
    </w:rPr>
  </w:style>
  <w:style w:type="character" w:styleId="FollowedHyperlink">
    <w:name w:val="FollowedHyperlink"/>
    <w:basedOn w:val="DefaultParagraphFont"/>
    <w:uiPriority w:val="99"/>
    <w:semiHidden/>
    <w:unhideWhenUsed/>
    <w:rsid w:val="00EB5F4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insight-and-analysis/blogs/inequalities-mens-health-why-are-they-not-being-addressed." TargetMode="External"/><Relationship Id="rId13" Type="http://schemas.openxmlformats.org/officeDocument/2006/relationships/hyperlink" Target="https://naturalresources.wales/about-us/what-we-do/strategies-plans-and-policies/area-statements/south-west-wales-area-statement/reducing-health-inequalities/?lang=en" TargetMode="External"/><Relationship Id="rId18" Type="http://schemas.openxmlformats.org/officeDocument/2006/relationships/hyperlink" Target="https://mhfi.org/PromotingMentalHealth.pdf" TargetMode="External"/><Relationship Id="rId26" Type="http://schemas.openxmlformats.org/officeDocument/2006/relationships/hyperlink" Target="https://www.gov.wales/health-impact-assessment%20regulations" TargetMode="External"/><Relationship Id="rId3" Type="http://schemas.openxmlformats.org/officeDocument/2006/relationships/settings" Target="settings.xml"/><Relationship Id="rId21" Type="http://schemas.openxmlformats.org/officeDocument/2006/relationships/hyperlink" Target="https://www.health.org.uk/evidence-hub/health-inequalities/inequalities-in-life-expectancy-and-healthy-life-expectancy" TargetMode="External"/><Relationship Id="rId7" Type="http://schemas.openxmlformats.org/officeDocument/2006/relationships/hyperlink" Target="https://explore-education-statistics.service.gov.uk/find-statistics/widening-participation-in-higher-education/2023-24" TargetMode="External"/><Relationship Id="rId12" Type="http://schemas.openxmlformats.org/officeDocument/2006/relationships/hyperlink" Target="https://doi.org/10.1016/j.ejon.2017.04.005" TargetMode="External"/><Relationship Id="rId17" Type="http://schemas.openxmlformats.org/officeDocument/2006/relationships/hyperlink" Target="https://archpublichealth.biomedcentral.com/articles/10.1186/s13690-020-00402-5" TargetMode="External"/><Relationship Id="rId25" Type="http://schemas.openxmlformats.org/officeDocument/2006/relationships/hyperlink" Target="https://www.gov.wales/sites/default/%20f%20iles/pdf-versions/2023/8/2/1690888276/health-and-social-care-quality-and-engagement%20wales-act-summary.pdf" TargetMode="External"/><Relationship Id="rId2" Type="http://schemas.openxmlformats.org/officeDocument/2006/relationships/styles" Target="styles.xml"/><Relationship Id="rId16" Type="http://schemas.openxmlformats.org/officeDocument/2006/relationships/hyperlink" Target="https://www.shrn.org.uk/wp-content/uploads/2021/03/SHRN-NR-FINAL-23_03_21-en.pdf" TargetMode="External"/><Relationship Id="rId20" Type="http://schemas.openxmlformats.org/officeDocument/2006/relationships/hyperlink" Target="https://www.centreforsocialjustice.org.uk/wp-content/uploads/2025/03/CSJ-The_Lost_Boys.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newsroom.clevelandclinic.org/2019/09/04/cleveland-clinic-survey-men-will-do-almost-anything-to-avoid-going-to-thedoctor" TargetMode="External"/><Relationship Id="rId11" Type="http://schemas.openxmlformats.org/officeDocument/2006/relationships/hyperlink" Target="https://doi.org/10.1080/10920277.2019.1671874" TargetMode="External"/><Relationship Id="rId24" Type="http://schemas.openxmlformats.org/officeDocument/2006/relationships/hyperlink" Target="https://www.gov.wales/sites/default/files/%20publications/2021-03/a-more-equal-wales.pdf" TargetMode="External"/><Relationship Id="rId5" Type="http://schemas.openxmlformats.org/officeDocument/2006/relationships/hyperlink" Target="https://www.instituteofhealthequity.org/projects/a-social-determinants-based-approach-to-cvd-prevention-in-england" TargetMode="External"/><Relationship Id="rId15" Type="http://schemas.openxmlformats.org/officeDocument/2006/relationships/hyperlink" Target="https://osr.statisticsauthority.gov.uk/blog/tag/deprivation/" TargetMode="External"/><Relationship Id="rId23" Type="http://schemas.openxmlformats.org/officeDocument/2006/relationships/hyperlink" Target="https://gov.wales/%20sites/default/files/publications/2019-06/national-indicators-for-wales.pdf" TargetMode="External"/><Relationship Id="rId28" Type="http://schemas.openxmlformats.org/officeDocument/2006/relationships/fontTable" Target="fontTable.xml"/><Relationship Id="rId10" Type="http://schemas.openxmlformats.org/officeDocument/2006/relationships/hyperlink" Target="https://www.health.org.uk/reports-and-analysis/reports/health-equity-in-england-the-marmot-review-10-years-on-0" TargetMode="External"/><Relationship Id="rId19" Type="http://schemas.openxmlformats.org/officeDocument/2006/relationships/hyperlink" Target="https://www.healthactionresearch.org.uk/tackling-obesity/male-health-inequalities/" TargetMode="External"/><Relationship Id="rId4" Type="http://schemas.openxmlformats.org/officeDocument/2006/relationships/webSettings" Target="webSettings.xml"/><Relationship Id="rId9" Type="http://schemas.openxmlformats.org/officeDocument/2006/relationships/hyperlink" Target="https://www.gov.wales/written-statement-improving-mens-health-wales%20" TargetMode="External"/><Relationship Id="rId14" Type="http://schemas.openxmlformats.org/officeDocument/2006/relationships/hyperlink" Target="https://www.ons.gov.uk/peoplepopulationandcommunity/birthsdeathsandmarriages/deaths/bulletins/socioeconomicinequalitiesinavoidablemortalityinwales/2020" TargetMode="External"/><Relationship Id="rId22" Type="http://schemas.openxmlformats.org/officeDocument/2006/relationships/hyperlink" Target="https://www.gov.wales/sites/default/files/statistics-and-research/2021-11/review-of-evidence-on-socio-economic-disadvantage-and-inequalities-of-outcome-revised.pdf?utm_source=" TargetMode="External"/><Relationship Id="rId27" Type="http://schemas.openxmlformats.org/officeDocument/2006/relationships/hyperlink" Target="https://www.gov.wales/health-impact-assessment%20regul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11</Pages>
  <Words>3340</Words>
  <Characters>22279</Characters>
  <Application>Microsoft Office Word</Application>
  <DocSecurity>0</DocSecurity>
  <Lines>384</Lines>
  <Paragraphs>89</Paragraphs>
  <ScaleCrop>false</ScaleCrop>
  <Company>University of Wales Trinity Saint David</Company>
  <LinksUpToDate>false</LinksUpToDate>
  <CharactersWithSpaces>25530</CharactersWithSpaces>
  <SharedDoc>false</SharedDoc>
  <HLinks>
    <vt:vector size="84" baseType="variant">
      <vt:variant>
        <vt:i4>4784185</vt:i4>
      </vt:variant>
      <vt:variant>
        <vt:i4>39</vt:i4>
      </vt:variant>
      <vt:variant>
        <vt:i4>0</vt:i4>
      </vt:variant>
      <vt:variant>
        <vt:i4>5</vt:i4>
      </vt:variant>
      <vt:variant>
        <vt:lpwstr>https://www.gov.wales/sites/default/files/statistics-and-research/2021-11/review-of-evidence-on-socio-economic-disadvantage-and-inequalities-of-outcome-revised.pdf?utm_source=</vt:lpwstr>
      </vt:variant>
      <vt:variant>
        <vt:lpwstr/>
      </vt:variant>
      <vt:variant>
        <vt:i4>7536760</vt:i4>
      </vt:variant>
      <vt:variant>
        <vt:i4>36</vt:i4>
      </vt:variant>
      <vt:variant>
        <vt:i4>0</vt:i4>
      </vt:variant>
      <vt:variant>
        <vt:i4>5</vt:i4>
      </vt:variant>
      <vt:variant>
        <vt:lpwstr>https://www.health.org.uk/evidence-hub/health-inequalities/inequalities-in-life-expectancy-and-healthy-life-expectancy</vt:lpwstr>
      </vt:variant>
      <vt:variant>
        <vt:lpwstr/>
      </vt:variant>
      <vt:variant>
        <vt:i4>6553648</vt:i4>
      </vt:variant>
      <vt:variant>
        <vt:i4>33</vt:i4>
      </vt:variant>
      <vt:variant>
        <vt:i4>0</vt:i4>
      </vt:variant>
      <vt:variant>
        <vt:i4>5</vt:i4>
      </vt:variant>
      <vt:variant>
        <vt:lpwstr>https://www.shrn.org.uk/wp-content/uploads/2021/03/SHRN-NR-FINAL-23_03_21-en.pdf</vt:lpwstr>
      </vt:variant>
      <vt:variant>
        <vt:lpwstr/>
      </vt:variant>
      <vt:variant>
        <vt:i4>196627</vt:i4>
      </vt:variant>
      <vt:variant>
        <vt:i4>30</vt:i4>
      </vt:variant>
      <vt:variant>
        <vt:i4>0</vt:i4>
      </vt:variant>
      <vt:variant>
        <vt:i4>5</vt:i4>
      </vt:variant>
      <vt:variant>
        <vt:lpwstr>https://osr.statisticsauthority.gov.uk/blog/tag/deprivation/</vt:lpwstr>
      </vt:variant>
      <vt:variant>
        <vt:lpwstr/>
      </vt:variant>
      <vt:variant>
        <vt:i4>7471155</vt:i4>
      </vt:variant>
      <vt:variant>
        <vt:i4>27</vt:i4>
      </vt:variant>
      <vt:variant>
        <vt:i4>0</vt:i4>
      </vt:variant>
      <vt:variant>
        <vt:i4>5</vt:i4>
      </vt:variant>
      <vt:variant>
        <vt:lpwstr>https://www.ons.gov.uk/peoplepopulationandcommunity/birthsdeathsandmarriages/deaths/bulletins/socioeconomicinequalitiesinavoidablemortalityinwales/2020</vt:lpwstr>
      </vt:variant>
      <vt:variant>
        <vt:lpwstr/>
      </vt:variant>
      <vt:variant>
        <vt:i4>2359351</vt:i4>
      </vt:variant>
      <vt:variant>
        <vt:i4>24</vt:i4>
      </vt:variant>
      <vt:variant>
        <vt:i4>0</vt:i4>
      </vt:variant>
      <vt:variant>
        <vt:i4>5</vt:i4>
      </vt:variant>
      <vt:variant>
        <vt:lpwstr>https://naturalresources.wales/about-us/what-we-do/strategies-plans-and-policies/area-statements/south-west-wales-area-statement/reducing-health-inequalities/?lang=en</vt:lpwstr>
      </vt:variant>
      <vt:variant>
        <vt:lpwstr/>
      </vt:variant>
      <vt:variant>
        <vt:i4>65612</vt:i4>
      </vt:variant>
      <vt:variant>
        <vt:i4>21</vt:i4>
      </vt:variant>
      <vt:variant>
        <vt:i4>0</vt:i4>
      </vt:variant>
      <vt:variant>
        <vt:i4>5</vt:i4>
      </vt:variant>
      <vt:variant>
        <vt:lpwstr>https://doi.org/10.1080/10920277.2019.1671874</vt:lpwstr>
      </vt:variant>
      <vt:variant>
        <vt:lpwstr/>
      </vt:variant>
      <vt:variant>
        <vt:i4>7077992</vt:i4>
      </vt:variant>
      <vt:variant>
        <vt:i4>18</vt:i4>
      </vt:variant>
      <vt:variant>
        <vt:i4>0</vt:i4>
      </vt:variant>
      <vt:variant>
        <vt:i4>5</vt:i4>
      </vt:variant>
      <vt:variant>
        <vt:lpwstr>https://mhfi.org/PromotingMentalHealth.pdf</vt:lpwstr>
      </vt:variant>
      <vt:variant>
        <vt:lpwstr/>
      </vt:variant>
      <vt:variant>
        <vt:i4>2752631</vt:i4>
      </vt:variant>
      <vt:variant>
        <vt:i4>15</vt:i4>
      </vt:variant>
      <vt:variant>
        <vt:i4>0</vt:i4>
      </vt:variant>
      <vt:variant>
        <vt:i4>5</vt:i4>
      </vt:variant>
      <vt:variant>
        <vt:lpwstr>https://www.gov.wales/written-statement-improving-mens-health-wales</vt:lpwstr>
      </vt:variant>
      <vt:variant>
        <vt:lpwstr/>
      </vt:variant>
      <vt:variant>
        <vt:i4>7995449</vt:i4>
      </vt:variant>
      <vt:variant>
        <vt:i4>12</vt:i4>
      </vt:variant>
      <vt:variant>
        <vt:i4>0</vt:i4>
      </vt:variant>
      <vt:variant>
        <vt:i4>5</vt:i4>
      </vt:variant>
      <vt:variant>
        <vt:lpwstr>https://www.local.gov.uk/publications/mens-health-lives-men-our-communities</vt:lpwstr>
      </vt:variant>
      <vt:variant>
        <vt:lpwstr/>
      </vt:variant>
      <vt:variant>
        <vt:i4>3538980</vt:i4>
      </vt:variant>
      <vt:variant>
        <vt:i4>9</vt:i4>
      </vt:variant>
      <vt:variant>
        <vt:i4>0</vt:i4>
      </vt:variant>
      <vt:variant>
        <vt:i4>5</vt:i4>
      </vt:variant>
      <vt:variant>
        <vt:lpwstr>https://phwwhocc.co.uk/wp-content/uploads/2025/05/Identifying-policy-options-to-tackle-health-inequalities.pdf</vt:lpwstr>
      </vt:variant>
      <vt:variant>
        <vt:lpwstr/>
      </vt:variant>
      <vt:variant>
        <vt:i4>5242889</vt:i4>
      </vt:variant>
      <vt:variant>
        <vt:i4>6</vt:i4>
      </vt:variant>
      <vt:variant>
        <vt:i4>0</vt:i4>
      </vt:variant>
      <vt:variant>
        <vt:i4>5</vt:i4>
      </vt:variant>
      <vt:variant>
        <vt:lpwstr>https://www.kingsfund.org.uk/insight-and-analysis/blogs/inequalities-mens-health-why-are-they-not-being-addressed</vt:lpwstr>
      </vt:variant>
      <vt:variant>
        <vt:lpwstr/>
      </vt:variant>
      <vt:variant>
        <vt:i4>8192118</vt:i4>
      </vt:variant>
      <vt:variant>
        <vt:i4>3</vt:i4>
      </vt:variant>
      <vt:variant>
        <vt:i4>0</vt:i4>
      </vt:variant>
      <vt:variant>
        <vt:i4>5</vt:i4>
      </vt:variant>
      <vt:variant>
        <vt:lpwstr>https://www.healthactionresearch.org.uk/tackling-obesity/male-health-inequalities/</vt:lpwstr>
      </vt:variant>
      <vt:variant>
        <vt:lpwstr/>
      </vt:variant>
      <vt:variant>
        <vt:i4>5439578</vt:i4>
      </vt:variant>
      <vt:variant>
        <vt:i4>0</vt:i4>
      </vt:variant>
      <vt:variant>
        <vt:i4>0</vt:i4>
      </vt:variant>
      <vt:variant>
        <vt:i4>5</vt:i4>
      </vt:variant>
      <vt:variant>
        <vt:lpwstr>https://www.instituteofhealthequity.org/resources-reports/social-inequalities-in-the-leading-causes-of-early-death-a-life-course-approach/social-inequalities-in-the-leading-causes-of-early-death-a-life-course-approach.pdf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Afifa Zaman</dc:creator>
  <cp:keywords/>
  <dc:description/>
  <cp:lastModifiedBy>Caitlyn Davies (2200942)</cp:lastModifiedBy>
  <cp:revision>209</cp:revision>
  <dcterms:created xsi:type="dcterms:W3CDTF">2025-12-02T13:08:00Z</dcterms:created>
  <dcterms:modified xsi:type="dcterms:W3CDTF">2025-12-12T14:26:00Z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f4843902-0edc-4717-8d2b-a0cad3e3da27</vt:lpwstr>
  </property>
  <property fmtid="{D5CDD505-2E9C-101B-9397-08002B2CF9AE}" pid="3" name="ZOTERO_PREF_1">
    <vt:lpwstr>&lt;data data-version="3" zotero-version="7.0.30"&gt;&lt;session id="9Jrc9tc3"/&gt;&lt;style id="http://www.zotero.org/styles/harvard-cite-them-right" locale="en-GB" hasBibliography="1" bibliographyStyleHasBeenSet="0"/&gt;&lt;prefs&gt;&lt;pref name="fieldType" value="Field"/&gt;&lt;pref </vt:lpwstr>
  </property>
  <property fmtid="{D5CDD505-2E9C-101B-9397-08002B2CF9AE}" pid="4" name="ZOTERO_PREF_2">
    <vt:lpwstr>name="automaticJournalAbbreviations" value="true"/&gt;&lt;/prefs&gt;&lt;/data&gt;</vt:lpwstr>
  </property>
</Properties>
</file>