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drawings/drawing1.xml" ContentType="application/vnd.openxmlformats-officedocument.drawingml.chartshap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A665C" w14:textId="50E9C489" w:rsidR="0004172A" w:rsidRDefault="00757F06" w:rsidP="00524B51">
      <w:pPr>
        <w:pStyle w:val="Title"/>
      </w:pPr>
      <w:r>
        <w:t>Tensile Test</w:t>
      </w:r>
    </w:p>
    <w:p w14:paraId="33259503" w14:textId="3DC18831" w:rsidR="00AF2F72" w:rsidRDefault="00AF2F72" w:rsidP="00AF2F72">
      <w:pPr>
        <w:pStyle w:val="Heading2"/>
      </w:pPr>
      <w:r>
        <w:t>Test sample</w:t>
      </w:r>
    </w:p>
    <w:p w14:paraId="44929CA3" w14:textId="78B9CE43" w:rsidR="00AF2F72" w:rsidRDefault="00AF2F72" w:rsidP="00AF2F72">
      <w:r>
        <w:rPr>
          <w:noProof/>
        </w:rPr>
        <w:drawing>
          <wp:inline distT="0" distB="0" distL="0" distR="0" wp14:anchorId="0B2AE3EB" wp14:editId="07D368C9">
            <wp:extent cx="5731510" cy="1504315"/>
            <wp:effectExtent l="0" t="0" r="254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4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BE13B" w14:textId="149DAE32" w:rsidR="00AF2F72" w:rsidRDefault="003B37EB" w:rsidP="003B37EB">
      <w:pPr>
        <w:pStyle w:val="Heading2"/>
      </w:pPr>
      <w:r>
        <w:t>Test Results</w:t>
      </w:r>
    </w:p>
    <w:p w14:paraId="003073C8" w14:textId="427E7D55" w:rsidR="003B37EB" w:rsidRDefault="003B37EB" w:rsidP="003B37EB">
      <w:r>
        <w:rPr>
          <w:noProof/>
        </w:rPr>
        <w:drawing>
          <wp:inline distT="0" distB="0" distL="0" distR="0" wp14:anchorId="099B08A3" wp14:editId="20A21E6E">
            <wp:extent cx="5803274" cy="2794959"/>
            <wp:effectExtent l="0" t="0" r="6985" b="571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2810" cy="2799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502EF" w14:textId="51070C5E" w:rsidR="003B37EB" w:rsidRDefault="003B37EB" w:rsidP="003B37EB">
      <w:pPr>
        <w:pStyle w:val="Heading2"/>
      </w:pPr>
      <w:r>
        <w:t>Ductile failure</w:t>
      </w:r>
    </w:p>
    <w:p w14:paraId="1BFC188A" w14:textId="3C3B5F2A" w:rsidR="003B37EB" w:rsidRDefault="003B37EB" w:rsidP="003B37EB">
      <w:r>
        <w:rPr>
          <w:noProof/>
        </w:rPr>
        <w:drawing>
          <wp:inline distT="0" distB="0" distL="0" distR="0" wp14:anchorId="4CBEB057" wp14:editId="6C9F8264">
            <wp:extent cx="4667901" cy="28674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901" cy="286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42736" w14:textId="67239FA2" w:rsidR="003B37EB" w:rsidRDefault="003B37EB" w:rsidP="003B37EB">
      <w:pPr>
        <w:pStyle w:val="Heading2"/>
      </w:pPr>
      <w:r>
        <w:lastRenderedPageBreak/>
        <w:t>Brittle failure</w:t>
      </w:r>
    </w:p>
    <w:p w14:paraId="7F6DEBD9" w14:textId="7E5196A1" w:rsidR="003B37EB" w:rsidRPr="003B37EB" w:rsidRDefault="003B37EB" w:rsidP="003B37EB">
      <w:r>
        <w:rPr>
          <w:noProof/>
        </w:rPr>
        <w:drawing>
          <wp:inline distT="0" distB="0" distL="0" distR="0" wp14:anchorId="1B0C8AC3" wp14:editId="22054ABF">
            <wp:extent cx="4451230" cy="2425467"/>
            <wp:effectExtent l="0" t="0" r="698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4306" cy="2438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47E02" w14:textId="22F288EA" w:rsidR="00757F06" w:rsidRDefault="00757F06">
      <w:r>
        <w:rPr>
          <w:noProof/>
        </w:rPr>
        <w:drawing>
          <wp:inline distT="0" distB="0" distL="0" distR="0" wp14:anchorId="4D7B3A6B" wp14:editId="3ED8293E">
            <wp:extent cx="5846879" cy="3838755"/>
            <wp:effectExtent l="0" t="0" r="190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3CC687.tmp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6954" cy="3845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422F0" w14:textId="4AA188A9" w:rsidR="00757F06" w:rsidRDefault="00757F06">
      <w:r>
        <w:t>Yield point is the end of the proportional load extension.</w:t>
      </w:r>
    </w:p>
    <w:p w14:paraId="32048DBE" w14:textId="43C3B650" w:rsidR="00757F06" w:rsidRDefault="00757F06">
      <w:r>
        <w:t>For ferrous materials there is a marked drop or discontinuity in the graph.</w:t>
      </w:r>
    </w:p>
    <w:p w14:paraId="6DDDA7EA" w14:textId="27EBE4A5" w:rsidR="00757F06" w:rsidRDefault="00757F06">
      <w:r>
        <w:t xml:space="preserve">For </w:t>
      </w:r>
      <w:proofErr w:type="spellStart"/>
      <w:r>
        <w:t>non ferrous</w:t>
      </w:r>
      <w:proofErr w:type="spellEnd"/>
      <w:r>
        <w:t xml:space="preserve"> place a straight line on the graph.  Yield point is marked on the graph </w:t>
      </w:r>
      <w:r w:rsidR="00D823C9">
        <w:t xml:space="preserve">on the next page, </w:t>
      </w:r>
      <w:r>
        <w:t>as an example.</w:t>
      </w:r>
    </w:p>
    <w:p w14:paraId="1FAF5474" w14:textId="244796B2" w:rsidR="003B37EB" w:rsidRDefault="003B37EB"/>
    <w:p w14:paraId="696CF91D" w14:textId="77777777" w:rsidR="003B37EB" w:rsidRDefault="003B37EB"/>
    <w:p w14:paraId="5415140C" w14:textId="58308FAA" w:rsidR="0066775D" w:rsidRDefault="0066775D" w:rsidP="0066775D">
      <w:pPr>
        <w:pStyle w:val="Heading1"/>
      </w:pPr>
      <w:r>
        <w:lastRenderedPageBreak/>
        <w:t>Useful formulae:</w:t>
      </w:r>
    </w:p>
    <w:p w14:paraId="145A7B58" w14:textId="2A266773" w:rsidR="0066775D" w:rsidRDefault="0066775D" w:rsidP="0066775D">
      <w:pPr>
        <w:pStyle w:val="Heading2"/>
      </w:pPr>
      <w:r>
        <w:t>Stress N/m</w:t>
      </w:r>
      <w:r w:rsidRPr="0066775D">
        <w:rPr>
          <w:vertAlign w:val="superscript"/>
        </w:rPr>
        <w:t>2</w:t>
      </w:r>
    </w:p>
    <w:p w14:paraId="1E5B6C9D" w14:textId="3B17F386" w:rsidR="0066775D" w:rsidRPr="0066775D" w:rsidRDefault="0066775D" w:rsidP="0066775D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stress σ=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force f</m:t>
              </m:r>
            </m:num>
            <m:den>
              <m:r>
                <w:rPr>
                  <w:rFonts w:ascii="Cambria Math" w:hAnsi="Cambria Math"/>
                </w:rPr>
                <m:t>cross sectional area A</m:t>
              </m:r>
            </m:den>
          </m:f>
        </m:oMath>
      </m:oMathPara>
    </w:p>
    <w:p w14:paraId="20E63CB7" w14:textId="2E5CF7C5" w:rsidR="0066775D" w:rsidRDefault="0066775D" w:rsidP="0066775D">
      <w:pPr>
        <w:pStyle w:val="Heading2"/>
        <w:rPr>
          <w:rFonts w:eastAsiaTheme="minorEastAsia"/>
        </w:rPr>
      </w:pPr>
      <w:r>
        <w:rPr>
          <w:rFonts w:eastAsiaTheme="minorEastAsia"/>
        </w:rPr>
        <w:t xml:space="preserve">% </w:t>
      </w:r>
      <w:proofErr w:type="gramStart"/>
      <w:r>
        <w:rPr>
          <w:rFonts w:eastAsiaTheme="minorEastAsia"/>
        </w:rPr>
        <w:t>elongation</w:t>
      </w:r>
      <w:proofErr w:type="gramEnd"/>
    </w:p>
    <w:p w14:paraId="01BA78CF" w14:textId="35F207C5" w:rsidR="0066775D" w:rsidRPr="00AF2F72" w:rsidRDefault="0066775D" w:rsidP="0066775D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% elongation=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elongation</m:t>
              </m:r>
            </m:num>
            <m:den>
              <m:r>
                <w:rPr>
                  <w:rFonts w:ascii="Cambria Math" w:eastAsiaTheme="minorEastAsia" w:hAnsi="Cambria Math"/>
                </w:rPr>
                <m:t>original length</m:t>
              </m:r>
            </m:den>
          </m:f>
          <m:r>
            <w:rPr>
              <w:rFonts w:ascii="Cambria Math" w:eastAsiaTheme="minorEastAsia" w:hAnsi="Cambria Math"/>
            </w:rPr>
            <m:t>×100</m:t>
          </m:r>
        </m:oMath>
      </m:oMathPara>
    </w:p>
    <w:p w14:paraId="2120E550" w14:textId="7A9BBEFB" w:rsidR="00AF2F72" w:rsidRDefault="00AF2F72" w:rsidP="00AF2F72">
      <w:pPr>
        <w:pStyle w:val="Heading2"/>
        <w:rPr>
          <w:rFonts w:eastAsiaTheme="minorEastAsia"/>
        </w:rPr>
      </w:pPr>
      <w:r>
        <w:rPr>
          <w:rFonts w:eastAsiaTheme="minorEastAsia"/>
        </w:rPr>
        <w:t>Stiffness</w:t>
      </w:r>
    </w:p>
    <w:p w14:paraId="43FA9719" w14:textId="2DC28985" w:rsidR="00AF2F72" w:rsidRPr="0006793D" w:rsidRDefault="00AF2F72" w:rsidP="0066775D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extension x=stiffness k×force f</m:t>
          </m:r>
        </m:oMath>
      </m:oMathPara>
    </w:p>
    <w:p w14:paraId="1B22903B" w14:textId="1A383F1F" w:rsidR="0006793D" w:rsidRDefault="0006793D" w:rsidP="0006793D">
      <w:pPr>
        <w:pStyle w:val="Heading2"/>
        <w:rPr>
          <w:rFonts w:eastAsiaTheme="minorEastAsia"/>
        </w:rPr>
      </w:pPr>
      <w:r>
        <w:rPr>
          <w:rFonts w:eastAsiaTheme="minorEastAsia"/>
        </w:rPr>
        <w:t>Young’s Modulus or Modulus of Elasticity</w:t>
      </w:r>
    </w:p>
    <w:p w14:paraId="0A4240B1" w14:textId="13486938" w:rsidR="0006793D" w:rsidRPr="0006793D" w:rsidRDefault="0006793D" w:rsidP="0006793D">
      <m:oMathPara>
        <m:oMathParaPr>
          <m:jc m:val="left"/>
        </m:oMathParaPr>
        <m:oMath>
          <m:r>
            <w:rPr>
              <w:rFonts w:ascii="Cambria Math" w:hAnsi="Cambria Math"/>
            </w:rPr>
            <m:t>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direct stress</m:t>
              </m:r>
            </m:num>
            <m:den>
              <m:r>
                <w:rPr>
                  <w:rFonts w:ascii="Cambria Math" w:hAnsi="Cambria Math"/>
                </w:rPr>
                <m:t>direct strain</m:t>
              </m:r>
            </m:den>
          </m:f>
        </m:oMath>
      </m:oMathPara>
    </w:p>
    <w:p w14:paraId="7FE2D2F5" w14:textId="7C6AF4DC" w:rsidR="0006793D" w:rsidRPr="0006793D" w:rsidRDefault="000F610E" w:rsidP="000F610E">
      <w:pPr>
        <w:pStyle w:val="Heading2"/>
      </w:pPr>
      <w:r>
        <w:t>Finding the yield point non ferrous metals</w:t>
      </w:r>
    </w:p>
    <w:p w14:paraId="1B271C6F" w14:textId="69E487C5" w:rsidR="00757F06" w:rsidRDefault="00757F0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BD96DE" wp14:editId="6ECEC0D6">
                <wp:simplePos x="0" y="0"/>
                <wp:positionH relativeFrom="column">
                  <wp:posOffset>1073090</wp:posOffset>
                </wp:positionH>
                <wp:positionV relativeFrom="paragraph">
                  <wp:posOffset>2574445</wp:posOffset>
                </wp:positionV>
                <wp:extent cx="261257" cy="261257"/>
                <wp:effectExtent l="0" t="0" r="24765" b="2476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257" cy="261257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C286533" id="Oval 2" o:spid="_x0000_s1026" style="position:absolute;margin-left:84.5pt;margin-top:202.7pt;width:20.55pt;height:20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" filled="f" strokecolor="#1f3763 [1604]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3F43EAB4" wp14:editId="024B6B3F">
            <wp:extent cx="5633049" cy="5184140"/>
            <wp:effectExtent l="0" t="0" r="6350" b="1651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71F6993D-EC8B-4F24-87F1-4246C59FB25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93EF430" w14:textId="1DEA7999" w:rsidR="00757F06" w:rsidRDefault="00757F06"/>
    <w:p w14:paraId="47479EAD" w14:textId="04FBEFD5" w:rsidR="00AF2F72" w:rsidRDefault="00CE16A4" w:rsidP="0006793D">
      <w:pPr>
        <w:pStyle w:val="Heading2"/>
      </w:pPr>
      <w:r>
        <w:lastRenderedPageBreak/>
        <w:t xml:space="preserve">Example of </w:t>
      </w:r>
      <w:r w:rsidR="00AF2F72">
        <w:t>Results</w:t>
      </w:r>
    </w:p>
    <w:p w14:paraId="29496765" w14:textId="7D7C92BD" w:rsidR="00AF2F72" w:rsidRDefault="00CE16A4">
      <w:r>
        <w:t>A tensile test sample has a diameter of 8 mm and a gauge length of 50mm.</w:t>
      </w:r>
    </w:p>
    <w:p w14:paraId="2F164EDA" w14:textId="10ABBE47" w:rsidR="00CE16A4" w:rsidRDefault="00CE16A4">
      <w:r>
        <w:t xml:space="preserve">The force at the yield point was 950 N and the maximum force was 1.8 </w:t>
      </w:r>
      <w:proofErr w:type="spellStart"/>
      <w:r>
        <w:t>kN.</w:t>
      </w:r>
      <w:proofErr w:type="spellEnd"/>
    </w:p>
    <w:p w14:paraId="27AF563A" w14:textId="534F597C" w:rsidR="00CE16A4" w:rsidRDefault="00CE16A4">
      <w:r>
        <w:t>At a point in the elastic deformation of the test sample an extension of 0.05 mm was measured for a load of 800 N.</w:t>
      </w:r>
    </w:p>
    <w:p w14:paraId="2628CF80" w14:textId="3FE26F72" w:rsidR="00CE16A4" w:rsidRDefault="00283375">
      <w:r>
        <w:t xml:space="preserve">After fracture the diameter of the test sample at the break point was found to be 5.8 mm and the length of the fractured sample </w:t>
      </w:r>
      <w:proofErr w:type="gramStart"/>
      <w:r>
        <w:t>was  56.2</w:t>
      </w:r>
      <w:proofErr w:type="gramEnd"/>
      <w:r>
        <w:t xml:space="preserve"> mm.</w:t>
      </w:r>
    </w:p>
    <w:p w14:paraId="70A50313" w14:textId="089E7B2A" w:rsidR="00AF2F72" w:rsidRDefault="00283375">
      <w:r>
        <w:t>Calculate:</w:t>
      </w:r>
    </w:p>
    <w:p w14:paraId="42E79FCC" w14:textId="34BBB6E4" w:rsidR="00283375" w:rsidRDefault="00283375">
      <w:r>
        <w:t>Yield stress</w:t>
      </w:r>
    </w:p>
    <w:p w14:paraId="206405F9" w14:textId="1F580D6D" w:rsidR="00283375" w:rsidRDefault="00283375">
      <w:r>
        <w:t>Ultimate tensile stress</w:t>
      </w:r>
    </w:p>
    <w:p w14:paraId="1007E18C" w14:textId="243CA102" w:rsidR="00283375" w:rsidRDefault="00283375">
      <w:r>
        <w:t>Stiffness</w:t>
      </w:r>
    </w:p>
    <w:p w14:paraId="44F992B5" w14:textId="01349812" w:rsidR="00283375" w:rsidRDefault="00283375">
      <w:r>
        <w:t>Young’s Modulus</w:t>
      </w:r>
    </w:p>
    <w:p w14:paraId="59BA9AF1" w14:textId="45600401" w:rsidR="00283375" w:rsidRDefault="00283375">
      <w:r>
        <w:t>% Reduction in cross sectional area</w:t>
      </w:r>
    </w:p>
    <w:p w14:paraId="0F8674F4" w14:textId="1072840A" w:rsidR="00283375" w:rsidRDefault="00283375">
      <w:r>
        <w:t>% Elongation</w:t>
      </w:r>
    </w:p>
    <w:sectPr w:rsidR="002833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dugi">
    <w:panose1 w:val="020B0502040204020203"/>
    <w:charset w:val="00"/>
    <w:family w:val="swiss"/>
    <w:pitch w:val="variable"/>
    <w:sig w:usb0="80000003" w:usb1="02000000" w:usb2="00003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F06"/>
    <w:rsid w:val="0004172A"/>
    <w:rsid w:val="0006793D"/>
    <w:rsid w:val="000F610E"/>
    <w:rsid w:val="00283375"/>
    <w:rsid w:val="00397DA3"/>
    <w:rsid w:val="003B37EB"/>
    <w:rsid w:val="00524B51"/>
    <w:rsid w:val="0066775D"/>
    <w:rsid w:val="00694AE4"/>
    <w:rsid w:val="00757F06"/>
    <w:rsid w:val="009A5CBA"/>
    <w:rsid w:val="00A53087"/>
    <w:rsid w:val="00AF2F72"/>
    <w:rsid w:val="00CE16A4"/>
    <w:rsid w:val="00D823C9"/>
    <w:rsid w:val="00F17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342C3"/>
  <w15:chartTrackingRefBased/>
  <w15:docId w15:val="{68AB3280-C1B4-456C-B006-A227FAD124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Gadugi" w:eastAsiaTheme="minorHAnsi" w:hAnsi="Gadug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77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677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57F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524B5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4B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66775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66775D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66775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A530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230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tmp"/><Relationship Id="rId3" Type="http://schemas.openxmlformats.org/officeDocument/2006/relationships/settings" Target="settings.xml"/><Relationship Id="rId7" Type="http://schemas.openxmlformats.org/officeDocument/2006/relationships/image" Target="media/image3.tmp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tmp"/><Relationship Id="rId11" Type="http://schemas.openxmlformats.org/officeDocument/2006/relationships/fontTable" Target="fontTable.xml"/><Relationship Id="rId5" Type="http://schemas.openxmlformats.org/officeDocument/2006/relationships/image" Target="media/image1.tmp"/><Relationship Id="rId10" Type="http://schemas.openxmlformats.org/officeDocument/2006/relationships/chart" Target="charts/chart1.xml"/><Relationship Id="rId4" Type="http://schemas.openxmlformats.org/officeDocument/2006/relationships/webSettings" Target="webSettings.xml"/><Relationship Id="rId9" Type="http://schemas.openxmlformats.org/officeDocument/2006/relationships/image" Target="media/image5.tmp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\\GR-STAFF\PRIVATE\CHRISDAV\My%20Documents\Chris\My%20Documents\Chris\Bsc%20and%20HND%20Admin\General\Test%20data%20for%20Adam.xlsx" TargetMode="Externa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chartUserShapes" Target="../drawings/drawing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ln>
                  <a:solidFill>
                    <a:schemeClr val="accent1"/>
                  </a:solidFill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Annealed Copper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ln>
                <a:solidFill>
                  <a:schemeClr val="accent1"/>
                </a:solidFill>
              </a:ln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Sheet1!$Q$6:$Q$28</c:f>
              <c:numCache>
                <c:formatCode>General</c:formatCode>
                <c:ptCount val="23"/>
                <c:pt idx="0">
                  <c:v>0</c:v>
                </c:pt>
                <c:pt idx="1">
                  <c:v>0.44</c:v>
                </c:pt>
                <c:pt idx="2">
                  <c:v>0.64</c:v>
                </c:pt>
                <c:pt idx="3">
                  <c:v>0.9</c:v>
                </c:pt>
                <c:pt idx="4">
                  <c:v>1.17</c:v>
                </c:pt>
                <c:pt idx="5">
                  <c:v>1.6</c:v>
                </c:pt>
                <c:pt idx="6">
                  <c:v>2</c:v>
                </c:pt>
                <c:pt idx="7">
                  <c:v>2.5</c:v>
                </c:pt>
                <c:pt idx="8">
                  <c:v>3.1</c:v>
                </c:pt>
                <c:pt idx="9">
                  <c:v>3.7</c:v>
                </c:pt>
                <c:pt idx="10">
                  <c:v>4.4000000000000004</c:v>
                </c:pt>
                <c:pt idx="11">
                  <c:v>5.3</c:v>
                </c:pt>
                <c:pt idx="12">
                  <c:v>6.1</c:v>
                </c:pt>
                <c:pt idx="13">
                  <c:v>7.4</c:v>
                </c:pt>
                <c:pt idx="14">
                  <c:v>8.4</c:v>
                </c:pt>
                <c:pt idx="15">
                  <c:v>9.4</c:v>
                </c:pt>
                <c:pt idx="16">
                  <c:v>10.6</c:v>
                </c:pt>
                <c:pt idx="17">
                  <c:v>11.6</c:v>
                </c:pt>
                <c:pt idx="18">
                  <c:v>13.2</c:v>
                </c:pt>
                <c:pt idx="19">
                  <c:v>14.3</c:v>
                </c:pt>
                <c:pt idx="20">
                  <c:v>14.9</c:v>
                </c:pt>
                <c:pt idx="21">
                  <c:v>15.3</c:v>
                </c:pt>
                <c:pt idx="22">
                  <c:v>15.8</c:v>
                </c:pt>
              </c:numCache>
            </c:numRef>
          </c:xVal>
          <c:yVal>
            <c:numRef>
              <c:f>Sheet1!$P$6:$P$28</c:f>
              <c:numCache>
                <c:formatCode>General</c:formatCode>
                <c:ptCount val="23"/>
                <c:pt idx="0">
                  <c:v>0</c:v>
                </c:pt>
                <c:pt idx="1">
                  <c:v>340</c:v>
                </c:pt>
                <c:pt idx="2">
                  <c:v>870</c:v>
                </c:pt>
                <c:pt idx="3">
                  <c:v>1300</c:v>
                </c:pt>
                <c:pt idx="4">
                  <c:v>1570</c:v>
                </c:pt>
                <c:pt idx="5">
                  <c:v>2000</c:v>
                </c:pt>
                <c:pt idx="6">
                  <c:v>2400</c:v>
                </c:pt>
                <c:pt idx="7">
                  <c:v>2700</c:v>
                </c:pt>
                <c:pt idx="8">
                  <c:v>3100</c:v>
                </c:pt>
                <c:pt idx="9">
                  <c:v>3400</c:v>
                </c:pt>
                <c:pt idx="10">
                  <c:v>3700</c:v>
                </c:pt>
                <c:pt idx="11">
                  <c:v>4000</c:v>
                </c:pt>
                <c:pt idx="12">
                  <c:v>4200</c:v>
                </c:pt>
                <c:pt idx="13">
                  <c:v>4400</c:v>
                </c:pt>
                <c:pt idx="14">
                  <c:v>4500</c:v>
                </c:pt>
                <c:pt idx="15">
                  <c:v>4550</c:v>
                </c:pt>
                <c:pt idx="16">
                  <c:v>4580</c:v>
                </c:pt>
                <c:pt idx="17">
                  <c:v>4570</c:v>
                </c:pt>
                <c:pt idx="18">
                  <c:v>4500</c:v>
                </c:pt>
                <c:pt idx="19">
                  <c:v>4300</c:v>
                </c:pt>
                <c:pt idx="20">
                  <c:v>4000</c:v>
                </c:pt>
                <c:pt idx="21">
                  <c:v>3600</c:v>
                </c:pt>
                <c:pt idx="22">
                  <c:v>3000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414-422B-AB02-C672C4EC881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89757679"/>
        <c:axId val="1918390143"/>
      </c:scatterChart>
      <c:valAx>
        <c:axId val="178975767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ln>
                      <a:solidFill>
                        <a:schemeClr val="accent1"/>
                      </a:solidFill>
                    </a:ln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Ext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ln>
                    <a:solidFill>
                      <a:schemeClr val="accent1"/>
                    </a:solidFill>
                  </a:ln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solidFill>
                    <a:schemeClr val="accent1"/>
                  </a:solidFill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18390143"/>
        <c:crosses val="autoZero"/>
        <c:crossBetween val="midCat"/>
      </c:valAx>
      <c:valAx>
        <c:axId val="19183901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ln>
                      <a:solidFill>
                        <a:schemeClr val="accent1"/>
                      </a:solidFill>
                    </a:ln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Load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ln>
                    <a:solidFill>
                      <a:schemeClr val="accent1"/>
                    </a:solidFill>
                  </a:ln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solidFill>
                    <a:schemeClr val="accent1"/>
                  </a:solidFill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9757679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n>
            <a:solidFill>
              <a:schemeClr val="accent1"/>
            </a:solidFill>
          </a:ln>
        </a:defRPr>
      </a:pPr>
      <a:endParaRPr lang="en-US"/>
    </a:p>
  </c:txPr>
  <c:externalData r:id="rId3">
    <c:autoUpdate val="0"/>
  </c:externalData>
  <c:userShapes r:id="rId4"/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0.12138</cdr:x>
      <cdr:y>0.03499</cdr:y>
    </cdr:from>
    <cdr:to>
      <cdr:x>0.31477</cdr:x>
      <cdr:y>0.91527</cdr:y>
    </cdr:to>
    <cdr:cxnSp macro="">
      <cdr:nvCxnSpPr>
        <cdr:cNvPr id="3" name="Straight Connector 2"/>
        <cdr:cNvCxnSpPr/>
      </cdr:nvCxnSpPr>
      <cdr:spPr>
        <a:xfrm xmlns:a="http://schemas.openxmlformats.org/drawingml/2006/main" flipV="1">
          <a:off x="700645" y="225630"/>
          <a:ext cx="1116280" cy="5676405"/>
        </a:xfrm>
        <a:prstGeom xmlns:a="http://schemas.openxmlformats.org/drawingml/2006/main" prst="line">
          <a:avLst/>
        </a:prstGeom>
        <a:ln xmlns:a="http://schemas.openxmlformats.org/drawingml/2006/main" w="19050">
          <a:solidFill>
            <a:srgbClr val="FF0000"/>
          </a:solidFill>
        </a:ln>
      </cdr:spPr>
      <cdr:style>
        <a:lnRef xmlns:a="http://schemas.openxmlformats.org/drawingml/2006/main" idx="1">
          <a:schemeClr val="accent1"/>
        </a:lnRef>
        <a:fillRef xmlns:a="http://schemas.openxmlformats.org/drawingml/2006/main" idx="0">
          <a:schemeClr val="accent1"/>
        </a:fillRef>
        <a:effectRef xmlns:a="http://schemas.openxmlformats.org/drawingml/2006/main" idx="0">
          <a:schemeClr val="accent1"/>
        </a:effectRef>
        <a:fontRef xmlns:a="http://schemas.openxmlformats.org/drawingml/2006/main" idx="minor">
          <a:schemeClr val="tx1"/>
        </a:fontRef>
      </cdr:style>
    </cdr:cxn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00036F-37D7-440D-BD36-C363E9F0BD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4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Cullen</dc:creator>
  <cp:keywords/>
  <dc:description/>
  <cp:lastModifiedBy>Paul Cullen</cp:lastModifiedBy>
  <cp:revision>5</cp:revision>
  <dcterms:created xsi:type="dcterms:W3CDTF">2022-01-25T18:17:00Z</dcterms:created>
  <dcterms:modified xsi:type="dcterms:W3CDTF">2022-01-25T21:29:00Z</dcterms:modified>
</cp:coreProperties>
</file>