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8E3588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F01A0">
              <w:rPr>
                <w:rFonts w:ascii="Times New Roman" w:hAnsi="Times New Roman" w:cs="Times New Roman"/>
                <w:b/>
                <w:color w:val="auto"/>
                <w:sz w:val="48"/>
              </w:rPr>
              <w:t>Ceri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0DA979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F01A0">
              <w:rPr>
                <w:rFonts w:ascii="Times New Roman" w:hAnsi="Times New Roman" w:cs="Times New Roman"/>
                <w:b/>
                <w:color w:val="auto"/>
                <w:sz w:val="48"/>
              </w:rPr>
              <w:t xml:space="preserve"> cerij459@hotmail.co.uk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BC4E4D6" w14:textId="77777777" w:rsidR="00EF01A0" w:rsidRDefault="0085230E" w:rsidP="00EF01A0">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F01A0">
              <w:rPr>
                <w:rFonts w:ascii="Times New Roman" w:hAnsi="Times New Roman" w:cs="Times New Roman"/>
                <w:b/>
                <w:color w:val="auto"/>
                <w:sz w:val="48"/>
              </w:rPr>
              <w:t xml:space="preserve"> </w:t>
            </w:r>
          </w:p>
          <w:p w14:paraId="466FD6D9" w14:textId="4B9218B3" w:rsidR="00EF01A0" w:rsidRPr="00EF01A0" w:rsidRDefault="00EF01A0" w:rsidP="00EF01A0">
            <w:pPr>
              <w:ind w:right="-957"/>
              <w:rPr>
                <w:rFonts w:ascii="Times New Roman" w:hAnsi="Times New Roman" w:cs="Times New Roman"/>
                <w:b/>
                <w:sz w:val="48"/>
              </w:rPr>
            </w:pPr>
            <w:r>
              <w:rPr>
                <w:rFonts w:ascii="Times New Roman" w:hAnsi="Times New Roman" w:cs="Times New Roman"/>
                <w:b/>
                <w:sz w:val="48"/>
              </w:rPr>
              <w:t>2320476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4C9E638" w14:textId="77777777" w:rsidR="00EF01A0" w:rsidRPr="00EF01A0" w:rsidRDefault="00EF01A0" w:rsidP="00EF01A0">
            <w:pPr>
              <w:rPr>
                <w:sz w:val="24"/>
                <w:szCs w:val="24"/>
              </w:rPr>
            </w:pPr>
            <w:r w:rsidRPr="00EF01A0">
              <w:rPr>
                <w:sz w:val="24"/>
                <w:szCs w:val="24"/>
              </w:rPr>
              <w:t>The assignment below critically reflects on a case that I co-worked with another social worker within my team which involved various safeguarding procedures for a child. For confidentially reasons the child will be referred to as 4 throughout.</w:t>
            </w:r>
          </w:p>
          <w:p w14:paraId="6091E488" w14:textId="77777777" w:rsidR="00EF01A0" w:rsidRPr="00EF01A0" w:rsidRDefault="00EF01A0" w:rsidP="00EF01A0">
            <w:pPr>
              <w:rPr>
                <w:sz w:val="24"/>
                <w:szCs w:val="24"/>
              </w:rPr>
            </w:pPr>
          </w:p>
          <w:p w14:paraId="57F92EB7" w14:textId="77777777" w:rsidR="00EF01A0" w:rsidRPr="00EF01A0" w:rsidRDefault="00EF01A0" w:rsidP="00EF01A0">
            <w:pPr>
              <w:rPr>
                <w:sz w:val="24"/>
                <w:szCs w:val="24"/>
              </w:rPr>
            </w:pPr>
            <w:r w:rsidRPr="00EF01A0">
              <w:rPr>
                <w:sz w:val="24"/>
                <w:szCs w:val="24"/>
              </w:rPr>
              <w:t xml:space="preserve">4 lives in a small town in XX </w:t>
            </w:r>
            <w:proofErr w:type="spellStart"/>
            <w:r w:rsidRPr="00EF01A0">
              <w:rPr>
                <w:sz w:val="24"/>
                <w:szCs w:val="24"/>
              </w:rPr>
              <w:t>XX</w:t>
            </w:r>
            <w:proofErr w:type="spellEnd"/>
            <w:r w:rsidRPr="00EF01A0">
              <w:rPr>
                <w:sz w:val="24"/>
                <w:szCs w:val="24"/>
              </w:rPr>
              <w:t xml:space="preserve">, with their mum, dad and siblings. 4 was under the age of 10 and had additional needs and complex health needs. 4 was non-verbal, however the family’s preferred language was English. 4 was firstly escalated to child protection, due to neglect. Concerns were raised due to 4’s poor attendance and presentation in school. 4 had also lost weight which needed to be continued to be monitored and consistency with food supplement shakes. Home conditions were also poor, and 4’s wheelchair had poor cleanliness. There was a risk to 4’s development as 4 was not accessing social activities. 4 had various health appointments to attend due to their complex health needs, these appointments were not being attended and 4 had not been seen in clinic for a significant amount of time. Appointments were being sent by letters and texts, along with reminders but were still not being attended. Additionally, there was inconsistency in the reporting of 4’s health and possible evidence of disguised compliance. Therefore, 4’s health needs were being neglected. Neglect is defined as an individual not meeting a child’s needs </w:t>
            </w:r>
            <w:proofErr w:type="gramStart"/>
            <w:r w:rsidRPr="00EF01A0">
              <w:rPr>
                <w:sz w:val="24"/>
                <w:szCs w:val="24"/>
              </w:rPr>
              <w:t>in regard to</w:t>
            </w:r>
            <w:proofErr w:type="gramEnd"/>
            <w:r w:rsidRPr="00EF01A0">
              <w:rPr>
                <w:sz w:val="24"/>
                <w:szCs w:val="24"/>
              </w:rPr>
              <w:t xml:space="preserve"> physical, emotional or physiology which can result in harm a child’s health or development. Disguised compliance is when parents portray to be working collaboratively with professionals to attempt to lessen concerns and to decrease professionals being involved (XX </w:t>
            </w:r>
            <w:proofErr w:type="spellStart"/>
            <w:r w:rsidRPr="00EF01A0">
              <w:rPr>
                <w:sz w:val="24"/>
                <w:szCs w:val="24"/>
              </w:rPr>
              <w:t>XX</w:t>
            </w:r>
            <w:proofErr w:type="spellEnd"/>
            <w:r w:rsidRPr="00EF01A0">
              <w:rPr>
                <w:sz w:val="24"/>
                <w:szCs w:val="24"/>
              </w:rPr>
              <w:t xml:space="preserve"> Safeguarding Board, 2020).</w:t>
            </w:r>
          </w:p>
          <w:p w14:paraId="0D81FF3F" w14:textId="77777777" w:rsidR="00EF01A0" w:rsidRPr="00EF01A0" w:rsidRDefault="00EF01A0" w:rsidP="00EF01A0">
            <w:pPr>
              <w:rPr>
                <w:sz w:val="24"/>
                <w:szCs w:val="24"/>
              </w:rPr>
            </w:pPr>
          </w:p>
          <w:p w14:paraId="4F29C26B" w14:textId="77777777" w:rsidR="00EF01A0" w:rsidRPr="00EF01A0" w:rsidRDefault="00EF01A0" w:rsidP="00EF01A0">
            <w:pPr>
              <w:rPr>
                <w:sz w:val="24"/>
                <w:szCs w:val="24"/>
              </w:rPr>
            </w:pPr>
            <w:r w:rsidRPr="00EF01A0">
              <w:rPr>
                <w:sz w:val="24"/>
                <w:szCs w:val="24"/>
              </w:rPr>
              <w:lastRenderedPageBreak/>
              <w:t xml:space="preserve">The XX </w:t>
            </w:r>
            <w:proofErr w:type="spellStart"/>
            <w:r w:rsidRPr="00EF01A0">
              <w:rPr>
                <w:sz w:val="24"/>
                <w:szCs w:val="24"/>
              </w:rPr>
              <w:t>XX</w:t>
            </w:r>
            <w:proofErr w:type="spellEnd"/>
            <w:r w:rsidRPr="00EF01A0">
              <w:rPr>
                <w:sz w:val="24"/>
                <w:szCs w:val="24"/>
              </w:rPr>
              <w:t xml:space="preserve"> Safeguarding Board sets out a guide on working with disguised compliance in XX </w:t>
            </w:r>
            <w:proofErr w:type="spellStart"/>
            <w:r w:rsidRPr="00EF01A0">
              <w:rPr>
                <w:sz w:val="24"/>
                <w:szCs w:val="24"/>
              </w:rPr>
              <w:t>XX</w:t>
            </w:r>
            <w:proofErr w:type="spellEnd"/>
            <w:r w:rsidRPr="00EF01A0">
              <w:rPr>
                <w:sz w:val="24"/>
                <w:szCs w:val="24"/>
              </w:rPr>
              <w:t xml:space="preserve">. The report states to be aware of a risk of deception, and to make sure to gain the child’s views and to see the child (XX </w:t>
            </w:r>
            <w:proofErr w:type="spellStart"/>
            <w:r w:rsidRPr="00EF01A0">
              <w:rPr>
                <w:sz w:val="24"/>
                <w:szCs w:val="24"/>
              </w:rPr>
              <w:t>XX</w:t>
            </w:r>
            <w:proofErr w:type="spellEnd"/>
            <w:r w:rsidRPr="00EF01A0">
              <w:rPr>
                <w:sz w:val="24"/>
                <w:szCs w:val="24"/>
              </w:rPr>
              <w:t xml:space="preserve"> Safeguarding Board, 2020). This is difficult due to 4’s disability and being non-verbal, 4 was not seen alone during visits. You should also share progress with other professionals and to look for proof of developments through assessment and contacting other professionals, and not just solely trust what the parents convey (XX </w:t>
            </w:r>
            <w:proofErr w:type="spellStart"/>
            <w:r w:rsidRPr="00EF01A0">
              <w:rPr>
                <w:sz w:val="24"/>
                <w:szCs w:val="24"/>
              </w:rPr>
              <w:t>XX</w:t>
            </w:r>
            <w:proofErr w:type="spellEnd"/>
            <w:r w:rsidRPr="00EF01A0">
              <w:rPr>
                <w:sz w:val="24"/>
                <w:szCs w:val="24"/>
              </w:rPr>
              <w:t xml:space="preserve"> Safeguarding Board, 2020). This shows via regular emails and phone calls with professionals, additionally, through core groups. Core groups allow for information sharing from all professionals in the same meetings, therefore all professionals are aware of the progress. </w:t>
            </w:r>
          </w:p>
          <w:p w14:paraId="101454FF" w14:textId="77777777" w:rsidR="00EF01A0" w:rsidRPr="00EF01A0" w:rsidRDefault="00EF01A0" w:rsidP="00EF01A0">
            <w:pPr>
              <w:rPr>
                <w:sz w:val="24"/>
                <w:szCs w:val="24"/>
              </w:rPr>
            </w:pPr>
          </w:p>
          <w:p w14:paraId="770D711B" w14:textId="6EE50166" w:rsidR="00EF01A0" w:rsidRPr="00EF01A0" w:rsidRDefault="00EF01A0" w:rsidP="00EF01A0">
            <w:pPr>
              <w:rPr>
                <w:sz w:val="24"/>
                <w:szCs w:val="24"/>
              </w:rPr>
            </w:pPr>
            <w:r w:rsidRPr="00EF01A0">
              <w:rPr>
                <w:sz w:val="24"/>
                <w:szCs w:val="24"/>
              </w:rPr>
              <w:t xml:space="preserve">Parental engagement with social services is often a barrier in child protection. Parents can feel that power is held by the social worker and parents can feel judged (Forrester, 2012). Supporting this the XX </w:t>
            </w:r>
            <w:proofErr w:type="spellStart"/>
            <w:r w:rsidRPr="00EF01A0">
              <w:rPr>
                <w:sz w:val="24"/>
                <w:szCs w:val="24"/>
              </w:rPr>
              <w:t>XX</w:t>
            </w:r>
            <w:proofErr w:type="spellEnd"/>
            <w:r w:rsidRPr="00EF01A0">
              <w:rPr>
                <w:sz w:val="24"/>
                <w:szCs w:val="24"/>
              </w:rPr>
              <w:t xml:space="preserve"> Safeguarding Board (2020) also states that parents can be reluctant due to professionals not being supportive and feeling professionals use their power excessively. Practice should be respectful, judgement free and comments should not be made on parents drive and actions (XX </w:t>
            </w:r>
            <w:proofErr w:type="spellStart"/>
            <w:r w:rsidRPr="00EF01A0">
              <w:rPr>
                <w:sz w:val="24"/>
                <w:szCs w:val="24"/>
              </w:rPr>
              <w:t>XX</w:t>
            </w:r>
            <w:proofErr w:type="spellEnd"/>
            <w:r w:rsidRPr="00EF01A0">
              <w:rPr>
                <w:sz w:val="24"/>
                <w:szCs w:val="24"/>
              </w:rPr>
              <w:t xml:space="preserve"> Safeguarding Board, 2020). The importance of adopting anti-oppressive values in practice. Research demonstrates to increase engagement is to focus on the child’s wellbeing, as the social worker and parents are likely to want the best for the child (Hamer, 2005). Therefore, working in the child’s best interest and a child-centred approach. A child-centred approach involves keeping the focus on the child when making decisions (Carter </w:t>
            </w:r>
            <w:r w:rsidR="008B2DBD">
              <w:rPr>
                <w:sz w:val="24"/>
                <w:szCs w:val="24"/>
              </w:rPr>
              <w:t>and</w:t>
            </w:r>
            <w:r w:rsidRPr="00EF01A0">
              <w:rPr>
                <w:sz w:val="24"/>
                <w:szCs w:val="24"/>
              </w:rPr>
              <w:t xml:space="preserve"> Ford, 2013). Therefore, giving the child voice and control to help them reach their personal outcomes and wellbeing (</w:t>
            </w:r>
            <w:r w:rsidR="008B2DBD" w:rsidRPr="008B2DBD">
              <w:rPr>
                <w:i/>
                <w:iCs/>
                <w:sz w:val="24"/>
                <w:szCs w:val="24"/>
              </w:rPr>
              <w:t>Social Services and Wellbeing (Wales) Act</w:t>
            </w:r>
            <w:r w:rsidRPr="008B2DBD">
              <w:rPr>
                <w:i/>
                <w:iCs/>
                <w:sz w:val="24"/>
                <w:szCs w:val="24"/>
              </w:rPr>
              <w:t xml:space="preserve"> 2014</w:t>
            </w:r>
            <w:r w:rsidRPr="00EF01A0">
              <w:rPr>
                <w:sz w:val="24"/>
                <w:szCs w:val="24"/>
              </w:rPr>
              <w:t>)</w:t>
            </w:r>
            <w:r w:rsidR="008B2DBD">
              <w:rPr>
                <w:sz w:val="24"/>
                <w:szCs w:val="24"/>
              </w:rPr>
              <w:t xml:space="preserve"> (SSWBA)</w:t>
            </w:r>
            <w:r w:rsidRPr="00EF01A0">
              <w:rPr>
                <w:sz w:val="24"/>
                <w:szCs w:val="24"/>
              </w:rPr>
              <w:t xml:space="preserve">. The Code of Professional Practice also states the importance of keeping individuals safe whilst supporting the wellbeing and voice and control of individuals (Social Care Wales, 2017). This is particularly, important with 4, as due to their disability and being non-verbal they cannot communicate their wishes. Therefore, it is important to work in their best interest to achieve their outcomes which have also been developed in their best interest with 4’s family. Additionally, as 4 had many professionals involved, this can cause difficulty with engagement and who to contact. Too many professionals can cause conflict and overlap (Salford Safeguarding </w:t>
            </w:r>
            <w:r w:rsidR="0028006E">
              <w:rPr>
                <w:sz w:val="24"/>
                <w:szCs w:val="24"/>
              </w:rPr>
              <w:t xml:space="preserve">Children </w:t>
            </w:r>
            <w:r w:rsidRPr="00EF01A0">
              <w:rPr>
                <w:sz w:val="24"/>
                <w:szCs w:val="24"/>
              </w:rPr>
              <w:t xml:space="preserve">Board, 2019). It can be overwhelming for individuals and can be too many goals for individuals (Crittenden, 2016). Having a lead professional, being a point of contact can eliminate the risk of low engagement, conflict and overlap (Salford Safeguarding Board, 2019). This was implemented to 4’s family to encourage partnership working. 4’s family’s main point of contact was me, 4’s social worker; additionally, the health point of contact. </w:t>
            </w:r>
          </w:p>
          <w:p w14:paraId="59B91B08" w14:textId="77777777" w:rsidR="00EF01A0" w:rsidRPr="00EF01A0" w:rsidRDefault="00EF01A0" w:rsidP="00EF01A0">
            <w:pPr>
              <w:rPr>
                <w:sz w:val="24"/>
                <w:szCs w:val="24"/>
              </w:rPr>
            </w:pPr>
          </w:p>
          <w:p w14:paraId="2D4EF66C" w14:textId="49CF1866" w:rsidR="00EF01A0" w:rsidRPr="00EF01A0" w:rsidRDefault="00EF01A0" w:rsidP="00EF01A0">
            <w:pPr>
              <w:rPr>
                <w:sz w:val="24"/>
                <w:szCs w:val="24"/>
              </w:rPr>
            </w:pPr>
            <w:r w:rsidRPr="00EF01A0">
              <w:rPr>
                <w:sz w:val="24"/>
                <w:szCs w:val="24"/>
              </w:rPr>
              <w:t>Also, with being child-centred, it was also important to consider parent’s needs. 4’s mum also has problems with her mental health and would did not receive any support with this. In the care and support protection plan, it highlighted mum’s need to receive support from the GP with her mental health. There has been key learning from serious case reviews regarding parents with mental health; 55% of serious case reviews in 2017 and 2019 had parents with mental health problems (Dickens</w:t>
            </w:r>
            <w:r w:rsidR="00A0799A">
              <w:rPr>
                <w:sz w:val="24"/>
                <w:szCs w:val="24"/>
              </w:rPr>
              <w:t xml:space="preserve"> et al., </w:t>
            </w:r>
            <w:r w:rsidRPr="00EF01A0">
              <w:rPr>
                <w:sz w:val="24"/>
                <w:szCs w:val="24"/>
              </w:rPr>
              <w:t xml:space="preserve">2022). Therefore, highlightening this is a key issue. It involved professionals not understanding the impact of mental health problems on the parent or child. Additionally, professionals not understanding how complex mental health can be (NSPCC Learning, 2023). Within 4’s assessment it is highlighted that </w:t>
            </w:r>
            <w:r w:rsidRPr="00EF01A0">
              <w:rPr>
                <w:sz w:val="24"/>
                <w:szCs w:val="24"/>
              </w:rPr>
              <w:lastRenderedPageBreak/>
              <w:t xml:space="preserve">mum’s medication can have a sedentary affect, therefore this can impact mum’s motivation. Therefore, professionals are aware of mum’s mental health and I check-in with mum during visits. </w:t>
            </w:r>
          </w:p>
          <w:p w14:paraId="49505205" w14:textId="77777777" w:rsidR="00EF01A0" w:rsidRPr="00EF01A0" w:rsidRDefault="00EF01A0" w:rsidP="00EF01A0">
            <w:pPr>
              <w:rPr>
                <w:sz w:val="24"/>
                <w:szCs w:val="24"/>
              </w:rPr>
            </w:pPr>
          </w:p>
          <w:p w14:paraId="296759EB" w14:textId="0E1C1DFF" w:rsidR="00EF01A0" w:rsidRPr="00EF01A0" w:rsidRDefault="00EF01A0" w:rsidP="00EF01A0">
            <w:pPr>
              <w:rPr>
                <w:sz w:val="24"/>
                <w:szCs w:val="24"/>
              </w:rPr>
            </w:pPr>
            <w:r w:rsidRPr="00EF01A0">
              <w:rPr>
                <w:sz w:val="24"/>
                <w:szCs w:val="24"/>
              </w:rPr>
              <w:t xml:space="preserve">4’s siblings were not under child protection, only 4 as it was only thought the risks would impact 4. Due to 4’s disability, they required care above and beyond what 4’s siblings </w:t>
            </w:r>
            <w:proofErr w:type="gramStart"/>
            <w:r w:rsidRPr="00EF01A0">
              <w:rPr>
                <w:sz w:val="24"/>
                <w:szCs w:val="24"/>
              </w:rPr>
              <w:t>needs</w:t>
            </w:r>
            <w:proofErr w:type="gramEnd"/>
            <w:r w:rsidRPr="00EF01A0">
              <w:rPr>
                <w:sz w:val="24"/>
                <w:szCs w:val="24"/>
              </w:rPr>
              <w:t>. Caring for a child with a disability can be challenging, it can also be overwhelming and tiring for parents, and have an impact on their health (NHS, 202</w:t>
            </w:r>
            <w:r w:rsidR="00F35165">
              <w:rPr>
                <w:sz w:val="24"/>
                <w:szCs w:val="24"/>
              </w:rPr>
              <w:t>2</w:t>
            </w:r>
            <w:r w:rsidRPr="00EF01A0">
              <w:rPr>
                <w:sz w:val="24"/>
                <w:szCs w:val="24"/>
              </w:rPr>
              <w:t xml:space="preserve">). 4 has also previously been on the child protection register due to similar reasons. As a Local Authority we have a due to promote a child’s wellbeing who are in need, this is a key principle </w:t>
            </w:r>
            <w:r w:rsidR="008B2DBD">
              <w:rPr>
                <w:sz w:val="24"/>
                <w:szCs w:val="24"/>
              </w:rPr>
              <w:t xml:space="preserve">under the </w:t>
            </w:r>
            <w:r w:rsidRPr="00EF01A0">
              <w:rPr>
                <w:sz w:val="24"/>
                <w:szCs w:val="24"/>
              </w:rPr>
              <w:t>SSWBA</w:t>
            </w:r>
            <w:r w:rsidR="008B2DBD">
              <w:rPr>
                <w:sz w:val="24"/>
                <w:szCs w:val="24"/>
              </w:rPr>
              <w:t xml:space="preserve"> 2014.</w:t>
            </w:r>
            <w:r w:rsidRPr="00EF01A0">
              <w:rPr>
                <w:sz w:val="24"/>
                <w:szCs w:val="24"/>
              </w:rPr>
              <w:t xml:space="preserve"> The SSWBA </w:t>
            </w:r>
            <w:r w:rsidR="00EE1E60">
              <w:rPr>
                <w:sz w:val="24"/>
                <w:szCs w:val="24"/>
              </w:rPr>
              <w:t xml:space="preserve">2014 </w:t>
            </w:r>
            <w:r w:rsidRPr="00EF01A0">
              <w:rPr>
                <w:sz w:val="24"/>
                <w:szCs w:val="24"/>
              </w:rPr>
              <w:t xml:space="preserve">is the legislation followed during practice in Wales. The SSWBA </w:t>
            </w:r>
            <w:r w:rsidR="00EE1E60">
              <w:rPr>
                <w:sz w:val="24"/>
                <w:szCs w:val="24"/>
              </w:rPr>
              <w:t xml:space="preserve">2014 </w:t>
            </w:r>
            <w:r w:rsidRPr="00EF01A0">
              <w:rPr>
                <w:sz w:val="24"/>
                <w:szCs w:val="24"/>
              </w:rPr>
              <w:t xml:space="preserve">has 5 key safeguarding principles to follow in Wales including wellbeing, voice and control, prevention and early intervention, co-production and multi-agency, whilst in England the </w:t>
            </w:r>
            <w:r w:rsidRPr="00F35165">
              <w:rPr>
                <w:i/>
                <w:iCs/>
                <w:sz w:val="24"/>
                <w:szCs w:val="24"/>
              </w:rPr>
              <w:t>Care Act 2014</w:t>
            </w:r>
            <w:r w:rsidRPr="00EF01A0">
              <w:rPr>
                <w:sz w:val="24"/>
                <w:szCs w:val="24"/>
              </w:rPr>
              <w:t xml:space="preserve"> has 6 key safeguarding principles relating to empowerment, prevention, proportionality, protection, and accountability. Safeguarding puts responsibility and duty on all individuals and agencies and not just the Social Worker such as education and health services (</w:t>
            </w:r>
            <w:r w:rsidRPr="00F35165">
              <w:rPr>
                <w:i/>
                <w:iCs/>
                <w:sz w:val="24"/>
                <w:szCs w:val="24"/>
              </w:rPr>
              <w:t>Children Act 2014</w:t>
            </w:r>
            <w:r w:rsidRPr="00EF01A0">
              <w:rPr>
                <w:sz w:val="24"/>
                <w:szCs w:val="24"/>
              </w:rPr>
              <w:t xml:space="preserve">). Additionally, all individuals have a duty to report safeguarding concerns. The duty for all individuals to report safeguarding concerns are reported by other countries in the EU such as Switzerland (Zurich International School, 2023). Additionally, in Sweden if referrals are received </w:t>
            </w:r>
            <w:proofErr w:type="gramStart"/>
            <w:r w:rsidRPr="00EF01A0">
              <w:rPr>
                <w:sz w:val="24"/>
                <w:szCs w:val="24"/>
              </w:rPr>
              <w:t>in regard to</w:t>
            </w:r>
            <w:proofErr w:type="gramEnd"/>
            <w:r w:rsidRPr="00EF01A0">
              <w:rPr>
                <w:sz w:val="24"/>
                <w:szCs w:val="24"/>
              </w:rPr>
              <w:t xml:space="preserve"> a child being at risk, a social work must investigate this, and voluntary measures are firstly used to support families which is in agreement with families (Government Offices of Sweden, 2023). If the voluntary measure is ineffective, then further measures are put in place under their care of young person act (LVU in Sweden) to remove a child from the home (Government Office of Sweden, 2023).</w:t>
            </w:r>
          </w:p>
          <w:p w14:paraId="7CF14683" w14:textId="77777777" w:rsidR="00EF01A0" w:rsidRPr="00EF01A0" w:rsidRDefault="00EF01A0" w:rsidP="00EF01A0">
            <w:pPr>
              <w:rPr>
                <w:sz w:val="24"/>
                <w:szCs w:val="24"/>
              </w:rPr>
            </w:pPr>
          </w:p>
          <w:p w14:paraId="41C4B399" w14:textId="7291EEBF" w:rsidR="00EF01A0" w:rsidRPr="00EF01A0" w:rsidRDefault="00EF01A0" w:rsidP="00EF01A0">
            <w:pPr>
              <w:rPr>
                <w:sz w:val="24"/>
                <w:szCs w:val="24"/>
              </w:rPr>
            </w:pPr>
            <w:r w:rsidRPr="00EF01A0">
              <w:rPr>
                <w:sz w:val="24"/>
                <w:szCs w:val="24"/>
              </w:rPr>
              <w:t xml:space="preserve">Additionally, a country outside of the EU, the United States follows </w:t>
            </w:r>
            <w:r w:rsidRPr="005A182B">
              <w:rPr>
                <w:i/>
                <w:iCs/>
                <w:sz w:val="24"/>
                <w:szCs w:val="24"/>
              </w:rPr>
              <w:t>The Child Abuse Prevention and Treatment Act 197</w:t>
            </w:r>
            <w:r w:rsidR="005A182B">
              <w:rPr>
                <w:i/>
                <w:iCs/>
                <w:sz w:val="24"/>
                <w:szCs w:val="24"/>
              </w:rPr>
              <w:t>4</w:t>
            </w:r>
            <w:r w:rsidRPr="00EF01A0">
              <w:rPr>
                <w:sz w:val="24"/>
                <w:szCs w:val="24"/>
              </w:rPr>
              <w:t xml:space="preserve"> within social work practice, it provides funding to support management, recognition and prevention for children experiencing abuse and neglect in different states.</w:t>
            </w:r>
            <w:r w:rsidR="00984C69">
              <w:rPr>
                <w:sz w:val="24"/>
                <w:szCs w:val="24"/>
              </w:rPr>
              <w:t xml:space="preserve"> </w:t>
            </w:r>
            <w:r w:rsidRPr="00EF01A0">
              <w:rPr>
                <w:sz w:val="24"/>
                <w:szCs w:val="24"/>
              </w:rPr>
              <w:t xml:space="preserve">Similarly, the United States put the preparators of abuse or neglect on a state child maltreatment register rather than the child (Child Welfare Information Gateway, 2020). Each state has their own frameworks and legislations to follow. Similarly, to the UK, as even though we have general legislations and frameworks to follow, we also have frameworks specific to Wales and XX </w:t>
            </w:r>
            <w:proofErr w:type="spellStart"/>
            <w:r w:rsidRPr="00EF01A0">
              <w:rPr>
                <w:sz w:val="24"/>
                <w:szCs w:val="24"/>
              </w:rPr>
              <w:t>XX</w:t>
            </w:r>
            <w:proofErr w:type="spellEnd"/>
            <w:r w:rsidRPr="00EF01A0">
              <w:rPr>
                <w:sz w:val="24"/>
                <w:szCs w:val="24"/>
              </w:rPr>
              <w:t xml:space="preserve"> such as the XX </w:t>
            </w:r>
            <w:proofErr w:type="spellStart"/>
            <w:r w:rsidRPr="00EF01A0">
              <w:rPr>
                <w:sz w:val="24"/>
                <w:szCs w:val="24"/>
              </w:rPr>
              <w:t>XX</w:t>
            </w:r>
            <w:proofErr w:type="spellEnd"/>
            <w:r w:rsidRPr="00EF01A0">
              <w:rPr>
                <w:sz w:val="24"/>
                <w:szCs w:val="24"/>
              </w:rPr>
              <w:t xml:space="preserve"> Safeguarding Board and SSWBA 2014. In the United States abuse and neglect is assessed by child protective services on levels of risk, social workers may refer families to voluntary local services, such as case management, respite and training services to address safety if the risk is low to moderate (Child Welfare Information Gateway, 2020). Moderate to high risk if services offered are refused, the family may be referred to court for further intervention to assist the family to cooperate with the services or if high risk the child may be placed in care (Child Welfare Information Gateway, 2020). Safeguarding concerns are reported to social services Local Authorities in the UK or to the police is a child is at immediate risk of significant harm.</w:t>
            </w:r>
          </w:p>
          <w:p w14:paraId="322AC4C2" w14:textId="77777777" w:rsidR="00EF01A0" w:rsidRPr="00EF01A0" w:rsidRDefault="00EF01A0" w:rsidP="00EF01A0">
            <w:pPr>
              <w:rPr>
                <w:sz w:val="24"/>
                <w:szCs w:val="24"/>
              </w:rPr>
            </w:pPr>
          </w:p>
          <w:p w14:paraId="2DCB0797" w14:textId="77777777" w:rsidR="00EF01A0" w:rsidRPr="00EF01A0" w:rsidRDefault="00EF01A0" w:rsidP="00EF01A0">
            <w:pPr>
              <w:rPr>
                <w:sz w:val="24"/>
                <w:szCs w:val="24"/>
              </w:rPr>
            </w:pPr>
            <w:r w:rsidRPr="00EF01A0">
              <w:rPr>
                <w:sz w:val="24"/>
                <w:szCs w:val="24"/>
              </w:rPr>
              <w:t xml:space="preserve">4 had been under Child Protection for over a year. 4’s case required further action and escalated to PLO as the necessary changes were not being made (Family Law Group, 2020). During my involvement, we had a PLO review meeting within 8 weeks of the last </w:t>
            </w:r>
            <w:r w:rsidRPr="00EF01A0">
              <w:rPr>
                <w:sz w:val="24"/>
                <w:szCs w:val="24"/>
              </w:rPr>
              <w:lastRenderedPageBreak/>
              <w:t xml:space="preserve">review, with legal representatives for the Local Authority and 4’s parents. In the meeting, it was decided for 4 to be stepped from PLO but to remain on the child protection register. PLO is initiated when an insufficient progress has been made </w:t>
            </w:r>
            <w:proofErr w:type="gramStart"/>
            <w:r w:rsidRPr="00EF01A0">
              <w:rPr>
                <w:sz w:val="24"/>
                <w:szCs w:val="24"/>
              </w:rPr>
              <w:t>in regards to</w:t>
            </w:r>
            <w:proofErr w:type="gramEnd"/>
            <w:r w:rsidRPr="00EF01A0">
              <w:rPr>
                <w:sz w:val="24"/>
                <w:szCs w:val="24"/>
              </w:rPr>
              <w:t xml:space="preserve"> the child’s care and support protection plan and there were concerns in regards to 4’s wellbeing. Therefore, consideration is being given to make an application to the court for a care order or supervision order and is the final opportunity for change before these care proceedings are issued. There is a pre-proceeding meeting where the concerns are raised, and support and actions are determined. There is a ‘period of change’ to allow the individuals with parental responsibility to make the necessary changes (Family Group Law, 2020). There are pre-proceeding reviews held within two months of the review. PLO normally last approximately 3 months, the child is then either stepped down from PLO or care proceedings take place (Family Law Group, 2020). The PLO process lasted approximately 7 months for 4. This is unusual for a family to be on PLO for this length of time. It was thought for care proceedings to take place, this would not be in the best interest of 4. During, the visits 4’s parents clearly loved 4, and do show warmth and care towards 4. Therefore, an additional period was added twice during the PLO reviews for 4’s family to make the necessary changes. </w:t>
            </w:r>
          </w:p>
          <w:p w14:paraId="60EEFFC6" w14:textId="77777777" w:rsidR="00EF01A0" w:rsidRPr="00EF01A0" w:rsidRDefault="00EF01A0" w:rsidP="00EF01A0">
            <w:pPr>
              <w:rPr>
                <w:sz w:val="24"/>
                <w:szCs w:val="24"/>
              </w:rPr>
            </w:pPr>
          </w:p>
          <w:p w14:paraId="4BD7398D" w14:textId="79660304" w:rsidR="00EF01A0" w:rsidRPr="00EF01A0" w:rsidRDefault="00EF01A0" w:rsidP="00EF01A0">
            <w:pPr>
              <w:rPr>
                <w:sz w:val="24"/>
                <w:szCs w:val="24"/>
              </w:rPr>
            </w:pPr>
            <w:r w:rsidRPr="00EF01A0">
              <w:rPr>
                <w:sz w:val="24"/>
                <w:szCs w:val="24"/>
              </w:rPr>
              <w:t>Due to 4’s complex health needs, they had a variety of health professionals working with them. Therefore, involved the multi-agency principle under the SSWBA 2014. Key to multi-agency is good communication by sharing information with other professionals involved (</w:t>
            </w:r>
            <w:proofErr w:type="spellStart"/>
            <w:r w:rsidRPr="00EF01A0">
              <w:rPr>
                <w:sz w:val="24"/>
                <w:szCs w:val="24"/>
              </w:rPr>
              <w:t>Ndoro</w:t>
            </w:r>
            <w:proofErr w:type="spellEnd"/>
            <w:r w:rsidRPr="00EF01A0">
              <w:rPr>
                <w:sz w:val="24"/>
                <w:szCs w:val="24"/>
              </w:rPr>
              <w:t>, 2014). This can give clarity on circumstances and responsibilities. Multi-agency also allows to have individuals who are expertise in different areas which is beneficial for ideas and information, but can involve different views (Frost et al., 2</w:t>
            </w:r>
            <w:r w:rsidR="00864660">
              <w:rPr>
                <w:sz w:val="24"/>
                <w:szCs w:val="24"/>
              </w:rPr>
              <w:t>005</w:t>
            </w:r>
            <w:r w:rsidRPr="00EF01A0">
              <w:rPr>
                <w:sz w:val="24"/>
                <w:szCs w:val="24"/>
              </w:rPr>
              <w:t>). However, it is important professionals work toward the same actions, aims and objectives to ensure effective practice (Frost et al. 200</w:t>
            </w:r>
            <w:r w:rsidR="00864660">
              <w:rPr>
                <w:sz w:val="24"/>
                <w:szCs w:val="24"/>
              </w:rPr>
              <w:t>5</w:t>
            </w:r>
            <w:r w:rsidRPr="00EF01A0">
              <w:rPr>
                <w:sz w:val="24"/>
                <w:szCs w:val="24"/>
              </w:rPr>
              <w:t>).  Working in a multi-agency can also be difficult when individuals do not complete their actions (</w:t>
            </w:r>
            <w:proofErr w:type="spellStart"/>
            <w:r w:rsidRPr="00EF01A0">
              <w:rPr>
                <w:sz w:val="24"/>
                <w:szCs w:val="24"/>
              </w:rPr>
              <w:t>Nodor</w:t>
            </w:r>
            <w:proofErr w:type="spellEnd"/>
            <w:r w:rsidRPr="00EF01A0">
              <w:rPr>
                <w:sz w:val="24"/>
                <w:szCs w:val="24"/>
              </w:rPr>
              <w:t xml:space="preserve">, 2014). For example, 4 was meant to have another health professionals involved who can support with emotional, behaviour and developmental needs. </w:t>
            </w:r>
            <w:proofErr w:type="gramStart"/>
            <w:r w:rsidRPr="00EF01A0">
              <w:rPr>
                <w:sz w:val="24"/>
                <w:szCs w:val="24"/>
              </w:rPr>
              <w:t>However</w:t>
            </w:r>
            <w:proofErr w:type="gramEnd"/>
            <w:r w:rsidRPr="00EF01A0">
              <w:rPr>
                <w:sz w:val="24"/>
                <w:szCs w:val="24"/>
              </w:rPr>
              <w:t xml:space="preserve"> they were off work for a significant amount of weeks, and their caseload was not allocated to another worker. This made it difficult to co-work with the professional. Therefore, this action of having another health professional becoming involved could not be completed, this was no fault of 4’s family. Additionally, this was recorded. </w:t>
            </w:r>
          </w:p>
          <w:p w14:paraId="1AC7C246" w14:textId="77777777" w:rsidR="00EF01A0" w:rsidRPr="00EF01A0" w:rsidRDefault="00EF01A0" w:rsidP="00EF01A0">
            <w:pPr>
              <w:rPr>
                <w:sz w:val="24"/>
                <w:szCs w:val="24"/>
              </w:rPr>
            </w:pPr>
          </w:p>
          <w:p w14:paraId="7C74A80E" w14:textId="77777777" w:rsidR="00EF01A0" w:rsidRPr="00EF01A0" w:rsidRDefault="00EF01A0" w:rsidP="00EF01A0">
            <w:pPr>
              <w:rPr>
                <w:sz w:val="24"/>
                <w:szCs w:val="24"/>
              </w:rPr>
            </w:pPr>
            <w:r w:rsidRPr="00EF01A0">
              <w:rPr>
                <w:sz w:val="24"/>
                <w:szCs w:val="24"/>
              </w:rPr>
              <w:t>I attended core group meetings for 4 every 4 weeks in line with statutory requirements for core group meetings to take place. A statutory requirement is for a core group meeting to take place every 6 weeks (Wales Safeguarding Procedures, 2019). A core group is responsible for reviewing 4’s care and support protection plan and making sure 4’s needs are being met. A variety of professionals were involved including health and education. I chaired a core group meeting. Therefore, I asked professionals for updates. During the core groups, I provided updates from my involvement and visits to see 4 and their family including my professional opinion. We agreed actions to be completed before the next meeting. I took the minutes for some of the core groups to record the meetings. I had to make sure I was actively listening to other professionals. I shared the meeting notes with the other social worker involved with the case, and this was circulated to the other professionals. Recording notes was beneficial for child protection visits, as I was aware of the circumstances and what needs to be covered during the visits.</w:t>
            </w:r>
          </w:p>
          <w:p w14:paraId="22601CDF" w14:textId="77777777" w:rsidR="00EF01A0" w:rsidRPr="00EF01A0" w:rsidRDefault="00EF01A0" w:rsidP="00EF01A0">
            <w:pPr>
              <w:rPr>
                <w:sz w:val="24"/>
                <w:szCs w:val="24"/>
              </w:rPr>
            </w:pPr>
          </w:p>
          <w:p w14:paraId="5C404D2F" w14:textId="09BA5B87" w:rsidR="00EF01A0" w:rsidRPr="00EF01A0" w:rsidRDefault="00EF01A0" w:rsidP="00EF01A0">
            <w:pPr>
              <w:rPr>
                <w:sz w:val="24"/>
                <w:szCs w:val="24"/>
              </w:rPr>
            </w:pPr>
            <w:r w:rsidRPr="00EF01A0">
              <w:rPr>
                <w:sz w:val="24"/>
                <w:szCs w:val="24"/>
              </w:rPr>
              <w:lastRenderedPageBreak/>
              <w:t>I assessed during the core group, parents’ engagement, as at times they did lack engagement. I noticed, parents did not put their camera on during the core groups, dad did not contribute much to the meetings as much as mum. During the core groups I attended, 4’s parents did not attend one core group meeting again due to illness. The group did attempt to be accommodating for 4’s parents, by being on teams. Parents also did often cancel visits, and asked to reschedule to the following day, due to various reasons such as illness. This could be due to illness and mum’s mental health, or it could be due to nerves/ anxieties of child protection (Waterhouse</w:t>
            </w:r>
            <w:r w:rsidR="00BB2F74">
              <w:rPr>
                <w:sz w:val="24"/>
                <w:szCs w:val="24"/>
              </w:rPr>
              <w:t xml:space="preserve"> and McGhee,</w:t>
            </w:r>
            <w:r w:rsidRPr="00EF01A0">
              <w:rPr>
                <w:sz w:val="24"/>
                <w:szCs w:val="24"/>
              </w:rPr>
              <w:t xml:space="preserve"> 2009). I tried to accommodate parents needs and to be flexible. However, also being aware of disguised compliance and I made sure to visit 4 each working work and rescheduled the visit within the timescale. To ensure better partnership working I took a strengths-based approach. This involves looking at individuals’ strengths. Also, at the solutions and focusing on abilities and capacities to change (Oliver </w:t>
            </w:r>
            <w:r w:rsidR="00A56284">
              <w:rPr>
                <w:sz w:val="24"/>
                <w:szCs w:val="24"/>
              </w:rPr>
              <w:t>and</w:t>
            </w:r>
            <w:r w:rsidRPr="00EF01A0">
              <w:rPr>
                <w:sz w:val="24"/>
                <w:szCs w:val="24"/>
              </w:rPr>
              <w:t xml:space="preserve"> Charles, 2016). I focused on what went well during the visits, such as if 4 had been doing well in school, and 4’s health improving. Also, mum and dad’s strengths such as when they had attended an appointment with 4, if they had picked up 4’s medication and been out to do activities with 4. It has been researched that individual can make changes, if support and resources are given (Berg </w:t>
            </w:r>
            <w:r w:rsidR="00A56284">
              <w:rPr>
                <w:sz w:val="24"/>
                <w:szCs w:val="24"/>
              </w:rPr>
              <w:t>and</w:t>
            </w:r>
            <w:r w:rsidRPr="00EF01A0">
              <w:rPr>
                <w:sz w:val="24"/>
                <w:szCs w:val="24"/>
              </w:rPr>
              <w:t xml:space="preserve"> Kelly, 2000). Empowerment is an important aspect of anti-oppressive practice. It involves working in partnership with families, allowing individuals to be involved in the decision making (SSWB, 2014). Additionally, respecting their wishes and views (Social Care Wales, 2017). Empowerment provides individuals with the tools and opportunities to make changes, as often it is lack of opportunities to take control which can lead to neglect (Jorgensen, 1992). A variety of opportunities and tools were provided to 4’s family to make changes, such as 4 was accepted to attend an activities group under our team. They were provided with a point of contact for any health concerns and health appointments. They had an individual who would come to the home to solely support with home conditions. Overnight respite was also offered and accepted. They also had me and another social worker for a point of contact for any concerns or whenever was needed. </w:t>
            </w:r>
          </w:p>
          <w:p w14:paraId="29DDEA6E" w14:textId="77777777" w:rsidR="00EF01A0" w:rsidRPr="00EF01A0" w:rsidRDefault="00EF01A0" w:rsidP="00EF01A0">
            <w:pPr>
              <w:rPr>
                <w:sz w:val="24"/>
                <w:szCs w:val="24"/>
              </w:rPr>
            </w:pPr>
          </w:p>
          <w:p w14:paraId="41773615" w14:textId="77777777" w:rsidR="00EF01A0" w:rsidRPr="00EF01A0" w:rsidRDefault="00EF01A0" w:rsidP="00EF01A0">
            <w:pPr>
              <w:rPr>
                <w:sz w:val="24"/>
                <w:szCs w:val="24"/>
              </w:rPr>
            </w:pPr>
            <w:r w:rsidRPr="00EF01A0">
              <w:rPr>
                <w:sz w:val="24"/>
                <w:szCs w:val="24"/>
              </w:rPr>
              <w:t xml:space="preserve">Anti-oppressive practice can be difficult in child protection, as a social worker you essentially use your ‘power’ to escalate concerns to child protection if you think it is necessary. We also </w:t>
            </w:r>
            <w:proofErr w:type="gramStart"/>
            <w:r w:rsidRPr="00EF01A0">
              <w:rPr>
                <w:sz w:val="24"/>
                <w:szCs w:val="24"/>
              </w:rPr>
              <w:t>have to</w:t>
            </w:r>
            <w:proofErr w:type="gramEnd"/>
            <w:r w:rsidRPr="00EF01A0">
              <w:rPr>
                <w:sz w:val="24"/>
                <w:szCs w:val="24"/>
              </w:rPr>
              <w:t xml:space="preserve"> make professional judgements in regard to child protection and the progress made. However, these are necessary for safeguarding reasons and to keep the child safe. Additionally, actions are put on families during the review conference, core group and child protections visits to work towards/ complete to be able to come off child protection. It is important to be honest about concerns (</w:t>
            </w:r>
            <w:proofErr w:type="spellStart"/>
            <w:r w:rsidRPr="00EF01A0">
              <w:rPr>
                <w:sz w:val="24"/>
                <w:szCs w:val="24"/>
              </w:rPr>
              <w:t>Turnell</w:t>
            </w:r>
            <w:proofErr w:type="spellEnd"/>
            <w:r w:rsidRPr="00EF01A0">
              <w:rPr>
                <w:sz w:val="24"/>
                <w:szCs w:val="24"/>
              </w:rPr>
              <w:t xml:space="preserve"> &amp; Edwards, 1999). Being transparent, as it has been researched </w:t>
            </w:r>
            <w:proofErr w:type="gramStart"/>
            <w:r w:rsidRPr="00EF01A0">
              <w:rPr>
                <w:sz w:val="24"/>
                <w:szCs w:val="24"/>
              </w:rPr>
              <w:t>that individuals</w:t>
            </w:r>
            <w:proofErr w:type="gramEnd"/>
            <w:r w:rsidRPr="00EF01A0">
              <w:rPr>
                <w:sz w:val="24"/>
                <w:szCs w:val="24"/>
              </w:rPr>
              <w:t xml:space="preserve"> see this as supportive as you’re being honest (</w:t>
            </w:r>
            <w:proofErr w:type="spellStart"/>
            <w:r w:rsidRPr="00EF01A0">
              <w:rPr>
                <w:sz w:val="24"/>
                <w:szCs w:val="24"/>
              </w:rPr>
              <w:t>Svensson</w:t>
            </w:r>
            <w:proofErr w:type="spellEnd"/>
            <w:r w:rsidRPr="00EF01A0">
              <w:rPr>
                <w:sz w:val="24"/>
                <w:szCs w:val="24"/>
              </w:rPr>
              <w:t xml:space="preserve">, 2003). It also helps an individual to make appropriate changes (Rooney, 2009). Therefore, building the partnership working between myself and 4’s parents. Under the Code of Practice, individuals can then uphold trust within your practice as a professional (Social Care Wales, 2017). During visits, I used my professional judgement to judge whether 4 was safe and not at risk during the visits, and the progress made was satisfactory. I checked in regarding 4’s health, education, medication and health appointments needing to be attending. I received updates for 4’s social worker prior to visits, so I was up-to-date and found out appropriate information during the visits. I assessed the progress was satisfactory during visits. However, one visit I was concerned regarding 4 running out of medication, and </w:t>
            </w:r>
            <w:r w:rsidRPr="00EF01A0">
              <w:rPr>
                <w:sz w:val="24"/>
                <w:szCs w:val="24"/>
              </w:rPr>
              <w:lastRenderedPageBreak/>
              <w:t>this needing to be picked up in the evening. I followed up with 4’s parents the next day and asked for a picture of the medication for evidence of the medication. This was provided from parents. Therefore, I could assess parents were meeting 4’s health needs and not showing disguised compliance.</w:t>
            </w:r>
          </w:p>
          <w:p w14:paraId="15629F58" w14:textId="77777777" w:rsidR="00EF01A0" w:rsidRPr="00EF01A0" w:rsidRDefault="00EF01A0" w:rsidP="00EF01A0">
            <w:pPr>
              <w:rPr>
                <w:sz w:val="24"/>
                <w:szCs w:val="24"/>
              </w:rPr>
            </w:pPr>
          </w:p>
          <w:p w14:paraId="0387B309" w14:textId="5351B93E" w:rsidR="00EF01A0" w:rsidRPr="00EF01A0" w:rsidRDefault="00EF01A0" w:rsidP="00EF01A0">
            <w:pPr>
              <w:rPr>
                <w:sz w:val="24"/>
                <w:szCs w:val="24"/>
              </w:rPr>
            </w:pPr>
            <w:r w:rsidRPr="00EF01A0">
              <w:rPr>
                <w:sz w:val="24"/>
                <w:szCs w:val="24"/>
              </w:rPr>
              <w:t xml:space="preserve">I went on regular child protection visits to see 4 and their family. I made sure to read 4’s care and support protection plan. Therefore, this could inform my child protection visits to 4 and what I would need to assess during the visits to ensure the care and support protection plan is being followed and progress is being made. These child protection visits took place every working week, which in line with statutory requirements of a visit taking place within 10 days (Wales Safeguarding Procedure, 2019). I recorded these visits on an appropriate casenote and update the social worker involved with 4 after the visit. Therefore, I was information sharing with another professional to update them on the circumstances. Also, I could check the information provided from the family with another professional, as parents often stated during visits, they had let the other social worker know if they had problems with things such as 4’s medication. The casenotes included information discussion and my professional analysis of the circumstances. For example, how the home conditions </w:t>
            </w:r>
            <w:proofErr w:type="gramStart"/>
            <w:r w:rsidRPr="00EF01A0">
              <w:rPr>
                <w:sz w:val="24"/>
                <w:szCs w:val="24"/>
              </w:rPr>
              <w:t>were</w:t>
            </w:r>
            <w:proofErr w:type="gramEnd"/>
            <w:r w:rsidRPr="00EF01A0">
              <w:rPr>
                <w:sz w:val="24"/>
                <w:szCs w:val="24"/>
              </w:rPr>
              <w:t xml:space="preserve"> and advice given, and how 4 presented during the visit, as 4 could not verbal state their wishes and feelings. Therefore, this was done off my professional observation and interactions during the visit. Furthermore, I made sure to see I saw 4’s bedroom during the visits. 4’s bed was made during the visits, the bedding also looked clean and in appropriate condition.</w:t>
            </w:r>
          </w:p>
          <w:p w14:paraId="07EC1F5D" w14:textId="77777777" w:rsidR="00EF01A0" w:rsidRPr="00EF01A0" w:rsidRDefault="00EF01A0" w:rsidP="00EF01A0">
            <w:pPr>
              <w:rPr>
                <w:sz w:val="24"/>
                <w:szCs w:val="24"/>
              </w:rPr>
            </w:pPr>
          </w:p>
          <w:p w14:paraId="087BE404" w14:textId="77777777" w:rsidR="00EF01A0" w:rsidRPr="00EF01A0" w:rsidRDefault="00EF01A0" w:rsidP="00EF01A0">
            <w:pPr>
              <w:rPr>
                <w:sz w:val="24"/>
                <w:szCs w:val="24"/>
              </w:rPr>
            </w:pPr>
            <w:r w:rsidRPr="00EF01A0">
              <w:rPr>
                <w:sz w:val="24"/>
                <w:szCs w:val="24"/>
              </w:rPr>
              <w:t xml:space="preserve">In the XX </w:t>
            </w:r>
            <w:proofErr w:type="spellStart"/>
            <w:r w:rsidRPr="00EF01A0">
              <w:rPr>
                <w:sz w:val="24"/>
                <w:szCs w:val="24"/>
              </w:rPr>
              <w:t>XX</w:t>
            </w:r>
            <w:proofErr w:type="spellEnd"/>
            <w:r w:rsidRPr="00EF01A0">
              <w:rPr>
                <w:sz w:val="24"/>
                <w:szCs w:val="24"/>
              </w:rPr>
              <w:t xml:space="preserve"> Safeguarding Disabled Children Policy, it comments how children with disabilities may not recognised significant harm as children without disabilities (XX </w:t>
            </w:r>
            <w:proofErr w:type="spellStart"/>
            <w:r w:rsidRPr="00EF01A0">
              <w:rPr>
                <w:sz w:val="24"/>
                <w:szCs w:val="24"/>
              </w:rPr>
              <w:t>XX</w:t>
            </w:r>
            <w:proofErr w:type="spellEnd"/>
            <w:r w:rsidRPr="00EF01A0">
              <w:rPr>
                <w:sz w:val="24"/>
                <w:szCs w:val="24"/>
              </w:rPr>
              <w:t xml:space="preserve"> Safeguarding Board, 2019). Additionally, 4 is non-verbal which increases the risk as 4 is not being able to communicate abuse or neglect. Furthermore, during the child protection visits you could not see 4 alone and ask how things are going due to 4’s needs. This is something you would be able to do with a child who does not have a disability. Reflecting on this, it may have been beneficial to speak to 4’s siblings alone during the visit when they were present. As they could have provided more of insight on how things were going during the child protection period. This is something I will take forward for future practice. </w:t>
            </w:r>
          </w:p>
          <w:p w14:paraId="13E72DE5" w14:textId="77777777" w:rsidR="00EF01A0" w:rsidRPr="00EF01A0" w:rsidRDefault="00EF01A0" w:rsidP="00EF01A0">
            <w:pPr>
              <w:rPr>
                <w:sz w:val="24"/>
                <w:szCs w:val="24"/>
              </w:rPr>
            </w:pPr>
          </w:p>
          <w:p w14:paraId="26D865C3" w14:textId="77777777" w:rsidR="00EF01A0" w:rsidRPr="00EF01A0" w:rsidRDefault="00EF01A0" w:rsidP="00EF01A0">
            <w:pPr>
              <w:rPr>
                <w:sz w:val="24"/>
                <w:szCs w:val="24"/>
              </w:rPr>
            </w:pPr>
            <w:r w:rsidRPr="00EF01A0">
              <w:rPr>
                <w:sz w:val="24"/>
                <w:szCs w:val="24"/>
              </w:rPr>
              <w:t xml:space="preserve">A child protection review conference was requested by 4’s social worker and brought forward, due to not wanting 4 to be on the child protection register when it is not necessary. A care and support needs assessment were completed prior to the final Child Protection Review Conference Review. The care and support needs assessment involve the assessment framework triangle. This looks at areas of the child’s development needs, parenting capacity, and family and environmental factors to assess whether a care and support protection plan is needed. Therefore, analysing the current circumstances. It was felt, 4’s parents had made significant progress in regards ability to sustain change over the past 3 months since the last conference review. The conference 3 months prior to this was positive, and it was felt 4 was no longer experiencing neglect. Since, I had been involved with 4, from reading past documents, I could see significant change in 4’s parents, as their engagement increased in visits, less visits were cancelled, 4’s health was also being appropriately monitored and parents were attending appointments. However, due to parent’s fluctuation in engagement and being 4’s seconds period of registration it was felt a period to </w:t>
            </w:r>
            <w:r w:rsidRPr="00EF01A0">
              <w:rPr>
                <w:sz w:val="24"/>
                <w:szCs w:val="24"/>
              </w:rPr>
              <w:lastRenderedPageBreak/>
              <w:t xml:space="preserve">see parents’ ability to maintain change was needed. They can meet 4’s basic care needs, particularly in 4’s circumstances they have sustained 4’s weight, appropriate clothing and reported 4’s health needs. They have ensured safety for 4, having appropriate wheelchair, improving home conditions. They provide emotional warmth, and age-appropriate boundaries for the children through play and toys. 4’s routine has become more structured with a bedtime routine and times for meals. I have observed these during visits. </w:t>
            </w:r>
          </w:p>
          <w:p w14:paraId="56C4ACD3" w14:textId="77777777" w:rsidR="00EF01A0" w:rsidRPr="00EF01A0" w:rsidRDefault="00EF01A0" w:rsidP="00EF01A0">
            <w:pPr>
              <w:rPr>
                <w:sz w:val="24"/>
                <w:szCs w:val="24"/>
              </w:rPr>
            </w:pPr>
          </w:p>
          <w:p w14:paraId="52270354" w14:textId="77777777" w:rsidR="00EF01A0" w:rsidRPr="00EF01A0" w:rsidRDefault="00EF01A0" w:rsidP="00EF01A0">
            <w:pPr>
              <w:rPr>
                <w:sz w:val="24"/>
                <w:szCs w:val="24"/>
              </w:rPr>
            </w:pPr>
            <w:r w:rsidRPr="00EF01A0">
              <w:rPr>
                <w:sz w:val="24"/>
                <w:szCs w:val="24"/>
              </w:rPr>
              <w:t>This case involved the attachment theory. Attachment theory reports that children develop an emotional bond from a caregiver meeting their individual needs (Bowlby, 1997). Secure attachment has a positive influence on children as it develops their emotional, physical, psychological and neurological development (Howe, 2011). During the child protection visits, mum was warm, loving and responsive towards 4’s needs. 4 was smiling and often went to mum for a hug, which was positive to observe. As for example, if 4 was to show insecure attachment ambivalent, they may become distressed when a caregiver is not in proximity (National Library of Medicine, 2015). They can also be insecure avoidant and may avoid the caregiver (National Library of Medicine, 2015). This impacts behaviours and mental health problems (Howe, 2011), as it impacts children’s beliefs on individuals being undependable (Bowlby, 1997). Positively, I did not observe these during my visits. However, I am aware I was only with 4’s family for a short period of time when I visited. Therefore, reflecting on this I was not able to observe all of 4’s or the family’s behaviours. Additionally, 4’s dad was not present during the child protection visits due to various reasons of not being in the household at the time of the visit; therefore, I could not observe dad with 4. I made sure to record this. This also demonstrates the importance of collaborative working, as other professionals see 4 and their family at different times such as school and health appointments. I was kept up to date with other professionals’ involvements via email updates, and during core groups to ensure collaborative working.</w:t>
            </w:r>
          </w:p>
          <w:p w14:paraId="3DB77DD7" w14:textId="77777777" w:rsidR="00EF01A0" w:rsidRPr="00EF01A0" w:rsidRDefault="00EF01A0" w:rsidP="00EF01A0">
            <w:pPr>
              <w:rPr>
                <w:sz w:val="24"/>
                <w:szCs w:val="24"/>
              </w:rPr>
            </w:pPr>
          </w:p>
          <w:p w14:paraId="43637028" w14:textId="2A2E0815" w:rsidR="00EF01A0" w:rsidRPr="00EF01A0" w:rsidRDefault="00EF01A0" w:rsidP="00EF01A0">
            <w:pPr>
              <w:rPr>
                <w:sz w:val="24"/>
                <w:szCs w:val="24"/>
              </w:rPr>
            </w:pPr>
            <w:r w:rsidRPr="00EF01A0">
              <w:rPr>
                <w:sz w:val="24"/>
                <w:szCs w:val="24"/>
              </w:rPr>
              <w:t>Furthermore, the attachment theory is related to a primary caregiver’s motivation to meet the child’s needs in relation to internal factors such as pain and illness and external factors such as fear (</w:t>
            </w:r>
            <w:proofErr w:type="spellStart"/>
            <w:r w:rsidRPr="00EF01A0">
              <w:rPr>
                <w:sz w:val="24"/>
                <w:szCs w:val="24"/>
              </w:rPr>
              <w:t>Forslund</w:t>
            </w:r>
            <w:proofErr w:type="spellEnd"/>
            <w:r w:rsidR="00433650">
              <w:rPr>
                <w:sz w:val="24"/>
                <w:szCs w:val="24"/>
              </w:rPr>
              <w:t xml:space="preserve"> et al.,</w:t>
            </w:r>
            <w:r w:rsidRPr="00EF01A0">
              <w:rPr>
                <w:sz w:val="24"/>
                <w:szCs w:val="24"/>
              </w:rPr>
              <w:t xml:space="preserve"> 202</w:t>
            </w:r>
            <w:r w:rsidR="00433650">
              <w:rPr>
                <w:sz w:val="24"/>
                <w:szCs w:val="24"/>
              </w:rPr>
              <w:t>2</w:t>
            </w:r>
            <w:r w:rsidRPr="00EF01A0">
              <w:rPr>
                <w:sz w:val="24"/>
                <w:szCs w:val="24"/>
              </w:rPr>
              <w:t>). 4 was put on the child protection register due to his health needs being neglected. Therefore, their individual needs were not being met to essential have a secure attachment with a care giver. However, attachment can also be repaired in children. For example, this can be done with tasks such as receiving support, taking care of yourself, having a set routine, spending time with your child, doing things they enjoy and feeling loved and responding to emotions (Norfolk</w:t>
            </w:r>
            <w:r w:rsidR="00184AFF">
              <w:rPr>
                <w:sz w:val="24"/>
                <w:szCs w:val="24"/>
              </w:rPr>
              <w:t xml:space="preserve"> County Council</w:t>
            </w:r>
            <w:r w:rsidRPr="00EF01A0">
              <w:rPr>
                <w:sz w:val="24"/>
                <w:szCs w:val="24"/>
              </w:rPr>
              <w:t>, 2017). However, as stated above, it was felt that 4 did not show unsecure attachment and during 4’s care and support needs assessment, 4’s parents demonstrated emotional warmth and the ability to meet 4’s safety, basic care needs and stimulation.</w:t>
            </w:r>
          </w:p>
          <w:p w14:paraId="58D27A35" w14:textId="77777777" w:rsidR="00EF01A0" w:rsidRPr="00EF01A0" w:rsidRDefault="00EF01A0" w:rsidP="00EF01A0">
            <w:pPr>
              <w:rPr>
                <w:sz w:val="24"/>
                <w:szCs w:val="24"/>
              </w:rPr>
            </w:pPr>
          </w:p>
          <w:p w14:paraId="1DA72EA1" w14:textId="0B88F198" w:rsidR="00EF01A0" w:rsidRPr="00EF01A0" w:rsidRDefault="00EF01A0" w:rsidP="00EF01A0">
            <w:pPr>
              <w:rPr>
                <w:sz w:val="24"/>
                <w:szCs w:val="24"/>
              </w:rPr>
            </w:pPr>
            <w:r w:rsidRPr="00EF01A0">
              <w:rPr>
                <w:sz w:val="24"/>
                <w:szCs w:val="24"/>
              </w:rPr>
              <w:t xml:space="preserve">The Child Protection Review Conference was attended by parents, socials worker, independent reviewing officer and other professionals working with 4, and they were involved in voicing their opinion and a part of the decision process (XX </w:t>
            </w:r>
            <w:proofErr w:type="spellStart"/>
            <w:r w:rsidRPr="00EF01A0">
              <w:rPr>
                <w:sz w:val="24"/>
                <w:szCs w:val="24"/>
              </w:rPr>
              <w:t>XX</w:t>
            </w:r>
            <w:proofErr w:type="spellEnd"/>
            <w:r w:rsidRPr="00EF01A0">
              <w:rPr>
                <w:sz w:val="24"/>
                <w:szCs w:val="24"/>
              </w:rPr>
              <w:t xml:space="preserve"> Safeguarding Board, 2020). Fortunately, due to the progress made and agreement from all professionals involved with 4 that was longer at risk or experiencing significant harm and 4 no longer needed to be supported under child protection under the SSWBA (2014). I was a part of the conference and agreed with the decision, due to parents showing engagement with myself, </w:t>
            </w:r>
            <w:r w:rsidRPr="00EF01A0">
              <w:rPr>
                <w:sz w:val="24"/>
                <w:szCs w:val="24"/>
              </w:rPr>
              <w:lastRenderedPageBreak/>
              <w:t>4’s health needs were being met and appointments were being attended. For example, I assessed this during visits, as during one of my final visits to the family, 4’s family had already reported health concerns to the paediatrician and a review had been appointed. This demonstrates to me change, compared with parents not attending and missing appointments. Also, if appointments were missed parents would reschedule these in a timely manner. Additionally, there was a circumstance where 4’s mum also messaged me for support to help receive funding for a new white goods item that had broken. It is positive, they contact me for support and felt they could. Therefore, showing their improved engagement and suggesting I had built a professional relationship with them. Overall, 4 was safe and not a risk. It was concluded for 4 to be de-registered from the child protection register and to continue to be opened to the team under Care and Support Needs under part 4 of the SSWBA 2014. I continued to be a point of contact after the child protection review conference and went out on a visit the following week to monitor the circumstances, as 4 still has needs for care and support. From the visit, an action for me was to liaise with orthotics and set up an appointment for 4, as they needed new shoes. This was completed.</w:t>
            </w:r>
          </w:p>
          <w:p w14:paraId="31B49521" w14:textId="77777777" w:rsidR="00EF01A0" w:rsidRPr="00EF01A0" w:rsidRDefault="00EF01A0" w:rsidP="00EF01A0">
            <w:pPr>
              <w:rPr>
                <w:sz w:val="24"/>
                <w:szCs w:val="24"/>
              </w:rPr>
            </w:pPr>
          </w:p>
          <w:p w14:paraId="77C9E721" w14:textId="59556C2F" w:rsidR="00EF01A0" w:rsidRPr="00EF01A0" w:rsidRDefault="00EF01A0" w:rsidP="00EF01A0">
            <w:pPr>
              <w:rPr>
                <w:sz w:val="24"/>
                <w:szCs w:val="24"/>
              </w:rPr>
            </w:pPr>
            <w:r w:rsidRPr="00EF01A0">
              <w:rPr>
                <w:sz w:val="24"/>
                <w:szCs w:val="24"/>
              </w:rPr>
              <w:t>I received feedback from 4’s social worker after charring the core group meeting, as 4’s social worker also attended the meeting. Feedback helps an individual to understand their practice and to keep a high quality of care (Community Care, 2019). It also supports areas for development of practice and learning (</w:t>
            </w:r>
            <w:proofErr w:type="spellStart"/>
            <w:r w:rsidRPr="00EF01A0">
              <w:rPr>
                <w:sz w:val="24"/>
                <w:szCs w:val="24"/>
              </w:rPr>
              <w:t>Szwarc</w:t>
            </w:r>
            <w:proofErr w:type="spellEnd"/>
            <w:r w:rsidRPr="00EF01A0">
              <w:rPr>
                <w:sz w:val="24"/>
                <w:szCs w:val="24"/>
              </w:rPr>
              <w:t xml:space="preserve"> </w:t>
            </w:r>
            <w:r w:rsidR="00C049CB">
              <w:rPr>
                <w:sz w:val="24"/>
                <w:szCs w:val="24"/>
              </w:rPr>
              <w:t>and</w:t>
            </w:r>
            <w:r w:rsidRPr="00EF01A0">
              <w:rPr>
                <w:sz w:val="24"/>
                <w:szCs w:val="24"/>
              </w:rPr>
              <w:t xml:space="preserve"> Lindsay, 2017). This is an important area of the code of professional practice, as it is up to the social worker to keep up to knowledge and maintain a high quality of care (Social care Wales, 2017). The received feedback was positive but to not apologise after asking individuals if I could come to them for an update, as my role is to ask everyone in the core group regarding a progress update. This is important feedback that I will take forward to the next core group I chair in the future. Feedback also allows for me to reflective on my social work practice.</w:t>
            </w:r>
          </w:p>
          <w:p w14:paraId="17B4DC85" w14:textId="77777777" w:rsidR="00EF01A0" w:rsidRPr="00EF01A0" w:rsidRDefault="00EF01A0" w:rsidP="00EF01A0">
            <w:pPr>
              <w:rPr>
                <w:sz w:val="24"/>
                <w:szCs w:val="24"/>
              </w:rPr>
            </w:pPr>
          </w:p>
          <w:p w14:paraId="107C93CA" w14:textId="77777777" w:rsidR="00EF01A0" w:rsidRPr="00EF01A0" w:rsidRDefault="00EF01A0" w:rsidP="00EF01A0">
            <w:pPr>
              <w:rPr>
                <w:sz w:val="24"/>
                <w:szCs w:val="24"/>
              </w:rPr>
            </w:pPr>
            <w:r w:rsidRPr="00EF01A0">
              <w:rPr>
                <w:sz w:val="24"/>
                <w:szCs w:val="24"/>
              </w:rPr>
              <w:t>Overall, this case work involved a variety of safeguarding procedures. From this case, I feel I have broadened my knowledge on children safeguarding procedures and been involved in a variety of processes. I am now more particularly aware of PLO proceedings. Additionally, information needing to be discussed during core group meetings.</w:t>
            </w:r>
          </w:p>
          <w:p w14:paraId="163E6C13" w14:textId="77777777" w:rsidR="00EF01A0" w:rsidRPr="00EF01A0" w:rsidRDefault="00EF01A0" w:rsidP="00EF01A0">
            <w:pPr>
              <w:rPr>
                <w:sz w:val="24"/>
                <w:szCs w:val="24"/>
              </w:rPr>
            </w:pPr>
          </w:p>
          <w:p w14:paraId="73C4D783" w14:textId="15F22B5B" w:rsidR="00EF01A0" w:rsidRPr="00EF01A0" w:rsidRDefault="00EF01A0" w:rsidP="00EF01A0">
            <w:pPr>
              <w:rPr>
                <w:sz w:val="24"/>
                <w:szCs w:val="24"/>
              </w:rPr>
            </w:pPr>
            <w:r w:rsidRPr="00EF01A0">
              <w:rPr>
                <w:sz w:val="24"/>
                <w:szCs w:val="24"/>
              </w:rPr>
              <w:t>(Word Count: 43</w:t>
            </w:r>
            <w:r w:rsidR="00EE1E60">
              <w:rPr>
                <w:sz w:val="24"/>
                <w:szCs w:val="24"/>
              </w:rPr>
              <w:t>90</w:t>
            </w:r>
            <w:r w:rsidRPr="00EF01A0">
              <w:rPr>
                <w:sz w:val="24"/>
                <w:szCs w:val="24"/>
              </w:rPr>
              <w:t>)</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60FFD" w14:textId="77777777" w:rsidR="00FD47F2" w:rsidRDefault="00FD47F2">
      <w:r>
        <w:separator/>
      </w:r>
    </w:p>
  </w:endnote>
  <w:endnote w:type="continuationSeparator" w:id="0">
    <w:p w14:paraId="0ECCE692" w14:textId="77777777" w:rsidR="00FD47F2" w:rsidRDefault="00FD47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9A5BD" w14:textId="77777777" w:rsidR="00FD47F2" w:rsidRDefault="00FD47F2">
      <w:r>
        <w:separator/>
      </w:r>
    </w:p>
  </w:footnote>
  <w:footnote w:type="continuationSeparator" w:id="0">
    <w:p w14:paraId="52685FC9" w14:textId="77777777" w:rsidR="00FD47F2" w:rsidRDefault="00FD47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4AFF"/>
    <w:rsid w:val="0019496C"/>
    <w:rsid w:val="001961CF"/>
    <w:rsid w:val="00197AA5"/>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006E"/>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73F"/>
    <w:rsid w:val="002E517E"/>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3650"/>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DB0"/>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82B"/>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660"/>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2DBD"/>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4C69"/>
    <w:rsid w:val="00986B43"/>
    <w:rsid w:val="00986C0B"/>
    <w:rsid w:val="00986D46"/>
    <w:rsid w:val="00991FDA"/>
    <w:rsid w:val="00992ACA"/>
    <w:rsid w:val="009A5F3B"/>
    <w:rsid w:val="009A5F79"/>
    <w:rsid w:val="009A6F87"/>
    <w:rsid w:val="009B0B61"/>
    <w:rsid w:val="009B28C0"/>
    <w:rsid w:val="009B3178"/>
    <w:rsid w:val="009B3E46"/>
    <w:rsid w:val="009B410E"/>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799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284"/>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2F74"/>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49CB"/>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4C6"/>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1E60"/>
    <w:rsid w:val="00EE39D6"/>
    <w:rsid w:val="00EE52AD"/>
    <w:rsid w:val="00EE5BC3"/>
    <w:rsid w:val="00EE6FAB"/>
    <w:rsid w:val="00EF01A0"/>
    <w:rsid w:val="00EF328C"/>
    <w:rsid w:val="00EF68BB"/>
    <w:rsid w:val="00F01F92"/>
    <w:rsid w:val="00F030D4"/>
    <w:rsid w:val="00F04053"/>
    <w:rsid w:val="00F06573"/>
    <w:rsid w:val="00F10A08"/>
    <w:rsid w:val="00F15354"/>
    <w:rsid w:val="00F22AC5"/>
    <w:rsid w:val="00F254D1"/>
    <w:rsid w:val="00F32B82"/>
    <w:rsid w:val="00F34C86"/>
    <w:rsid w:val="00F35165"/>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7F2"/>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4265</Words>
  <Characters>24314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Jones</cp:lastModifiedBy>
  <cp:revision>2</cp:revision>
  <cp:lastPrinted>2020-02-11T19:20:00Z</cp:lastPrinted>
  <dcterms:created xsi:type="dcterms:W3CDTF">2024-10-07T22:26:00Z</dcterms:created>
  <dcterms:modified xsi:type="dcterms:W3CDTF">2024-10-07T22:26:00Z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