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E9C" w:rsidRPr="00A90EF8" w:rsidRDefault="00673009" w:rsidP="00A90EF8">
      <w:pPr>
        <w:spacing w:before="360" w:after="180"/>
        <w:rPr>
          <w:rFonts w:eastAsia="Times New Roman" w:cs="Arial"/>
          <w:b/>
          <w:sz w:val="28"/>
        </w:rPr>
      </w:pPr>
      <w:r w:rsidRPr="00A90EF8">
        <w:rPr>
          <w:rFonts w:eastAsia="Times New Roman" w:cs="Arial"/>
          <w:b/>
          <w:sz w:val="28"/>
        </w:rPr>
        <w:t xml:space="preserve">Module Element </w:t>
      </w:r>
      <w:bookmarkStart w:id="0" w:name="_GoBack"/>
      <w:bookmarkEnd w:id="0"/>
      <w:r w:rsidRPr="00A90EF8">
        <w:rPr>
          <w:rFonts w:eastAsia="Times New Roman" w:cs="Arial"/>
          <w:b/>
          <w:sz w:val="28"/>
        </w:rPr>
        <w:t xml:space="preserve">Guidance Notes </w:t>
      </w:r>
    </w:p>
    <w:p w:rsidR="00465E9C" w:rsidRPr="00A90EF8" w:rsidRDefault="00465E9C" w:rsidP="00A90EF8"/>
    <w:p w:rsidR="00673009" w:rsidRPr="000A7A1E" w:rsidRDefault="00673009" w:rsidP="000A7A1E">
      <w:pPr>
        <w:spacing w:after="240"/>
        <w:rPr>
          <w:b/>
          <w:sz w:val="28"/>
        </w:rPr>
      </w:pPr>
      <w:r w:rsidRPr="000A7A1E">
        <w:rPr>
          <w:b/>
          <w:sz w:val="28"/>
        </w:rPr>
        <w:t>Part One: Heritage and the Built Environment</w:t>
      </w:r>
    </w:p>
    <w:p w:rsidR="00CB40D9" w:rsidRPr="00A90EF8" w:rsidRDefault="00CB40D9" w:rsidP="004B3CD6">
      <w:pPr>
        <w:spacing w:after="240"/>
        <w:rPr>
          <w:i/>
          <w:sz w:val="24"/>
        </w:rPr>
      </w:pPr>
      <w:r w:rsidRPr="00A90EF8">
        <w:rPr>
          <w:i/>
          <w:sz w:val="24"/>
        </w:rPr>
        <w:t xml:space="preserve">The ethical, conceptual and methodological issues which underpin the theory and practice of architectural and built environment conservation.  </w:t>
      </w:r>
    </w:p>
    <w:p w:rsidR="00673009" w:rsidRPr="00A90EF8" w:rsidRDefault="005815F2" w:rsidP="00A90EF8">
      <w:r w:rsidRPr="00A90EF8">
        <w:t xml:space="preserve">The key ethical and conceptual issues are largely explored through an examination of </w:t>
      </w:r>
      <w:r w:rsidR="00673009" w:rsidRPr="00A90EF8">
        <w:t>the origins and development of conservation practice</w:t>
      </w:r>
      <w:r w:rsidRPr="00A90EF8">
        <w:t xml:space="preserve">. The key methodological issues are largely explored through </w:t>
      </w:r>
      <w:r w:rsidR="00673009" w:rsidRPr="00A90EF8">
        <w:t>discussion of the concept of the conservation cycle and the conservation gateway.</w:t>
      </w:r>
      <w:r w:rsidRPr="00A90EF8">
        <w:t xml:space="preserve"> There is</w:t>
      </w:r>
      <w:r w:rsidR="00CD4E2C">
        <w:t>,</w:t>
      </w:r>
      <w:r w:rsidRPr="00A90EF8">
        <w:t xml:space="preserve"> of course</w:t>
      </w:r>
      <w:r w:rsidR="00CD4E2C">
        <w:t>,</w:t>
      </w:r>
      <w:r w:rsidRPr="00A90EF8">
        <w:t xml:space="preserve"> </w:t>
      </w:r>
      <w:r w:rsidR="00CD4E2C">
        <w:t xml:space="preserve">considerable </w:t>
      </w:r>
      <w:r w:rsidRPr="00A90EF8">
        <w:t>overlap.</w:t>
      </w:r>
    </w:p>
    <w:p w:rsidR="00673009" w:rsidRPr="00A90EF8" w:rsidRDefault="00673009" w:rsidP="00A90EF8">
      <w:pPr>
        <w:spacing w:before="180"/>
        <w:rPr>
          <w:u w:val="single"/>
        </w:rPr>
      </w:pPr>
      <w:r w:rsidRPr="00A90EF8">
        <w:rPr>
          <w:u w:val="single"/>
        </w:rPr>
        <w:t>(1) The Origins and Development of Conservation Practice</w:t>
      </w:r>
    </w:p>
    <w:p w:rsidR="00673009" w:rsidRPr="00A90EF8" w:rsidRDefault="00673009" w:rsidP="00A90EF8">
      <w:r w:rsidRPr="00A90EF8">
        <w:t>Heritage, Conservation and Architectural History – the problems of preserving the “built past” – the diversity of that past, issues of aesthetics and the range of actors and stakeholders – each with their own perspectives.  Too many labels or strength in diversity?   To explore this issue we will examine the ways in which the concepts and ethics of Building Conservation have changed and developed over time:</w:t>
      </w:r>
    </w:p>
    <w:p w:rsidR="00673009" w:rsidRPr="00A90EF8" w:rsidRDefault="00673009" w:rsidP="00A90EF8">
      <w:pPr>
        <w:spacing w:after="0"/>
        <w:ind w:left="720"/>
      </w:pPr>
      <w:r w:rsidRPr="00A90EF8">
        <w:t>Fashion, Taste and Whim – the Origins of Building Conservation in the UK</w:t>
      </w:r>
    </w:p>
    <w:p w:rsidR="00673009" w:rsidRPr="00A90EF8" w:rsidRDefault="00673009" w:rsidP="00A90EF8">
      <w:pPr>
        <w:spacing w:after="0"/>
        <w:ind w:left="720" w:firstLine="720"/>
      </w:pPr>
      <w:r w:rsidRPr="00A90EF8">
        <w:t xml:space="preserve">“Restoration” – Carcassonne, Cardiff Castle, Castel </w:t>
      </w:r>
      <w:proofErr w:type="spellStart"/>
      <w:r w:rsidRPr="00A90EF8">
        <w:t>Coch</w:t>
      </w:r>
      <w:proofErr w:type="spellEnd"/>
    </w:p>
    <w:p w:rsidR="00673009" w:rsidRPr="00A90EF8" w:rsidRDefault="00673009" w:rsidP="00A90EF8">
      <w:pPr>
        <w:spacing w:after="0"/>
        <w:ind w:left="720" w:firstLine="720"/>
      </w:pPr>
      <w:r w:rsidRPr="00A90EF8">
        <w:t>“Protection” – SPAB and the cult of benign neglect</w:t>
      </w:r>
    </w:p>
    <w:p w:rsidR="00673009" w:rsidRPr="00A90EF8" w:rsidRDefault="00673009" w:rsidP="00A90EF8">
      <w:pPr>
        <w:spacing w:after="0"/>
        <w:ind w:left="720"/>
      </w:pPr>
      <w:r w:rsidRPr="00A90EF8">
        <w:t>A National Collection of Buildings – In situ or in Museums?  Official channels and alternative avenues of development:</w:t>
      </w:r>
    </w:p>
    <w:p w:rsidR="00673009" w:rsidRPr="00A90EF8" w:rsidRDefault="00673009" w:rsidP="00A90EF8">
      <w:pPr>
        <w:spacing w:after="0"/>
        <w:ind w:left="720" w:firstLine="720"/>
      </w:pPr>
      <w:r w:rsidRPr="00A90EF8">
        <w:t>Listing and Scheduling, Church Exemption</w:t>
      </w:r>
    </w:p>
    <w:p w:rsidR="00673009" w:rsidRPr="00A90EF8" w:rsidRDefault="00673009" w:rsidP="00A90EF8">
      <w:pPr>
        <w:spacing w:after="0"/>
        <w:ind w:left="720" w:firstLine="720"/>
      </w:pPr>
      <w:r w:rsidRPr="00A90EF8">
        <w:t xml:space="preserve">Folk Museum Movement – St. </w:t>
      </w:r>
      <w:proofErr w:type="spellStart"/>
      <w:r w:rsidRPr="00A90EF8">
        <w:t>Fagans</w:t>
      </w:r>
      <w:proofErr w:type="spellEnd"/>
      <w:r w:rsidRPr="00A90EF8">
        <w:t xml:space="preserve">, </w:t>
      </w:r>
      <w:proofErr w:type="spellStart"/>
      <w:r w:rsidRPr="00A90EF8">
        <w:t>Avoncroft</w:t>
      </w:r>
      <w:proofErr w:type="spellEnd"/>
      <w:r w:rsidRPr="00A90EF8">
        <w:t>, Weald &amp; Down, etc.</w:t>
      </w:r>
    </w:p>
    <w:p w:rsidR="00673009" w:rsidRPr="00A90EF8" w:rsidRDefault="00673009" w:rsidP="00A90EF8">
      <w:pPr>
        <w:spacing w:after="0"/>
        <w:ind w:left="720" w:firstLine="720"/>
      </w:pPr>
      <w:r w:rsidRPr="00A90EF8">
        <w:t>Partial and Pastiche – Portmeirion, architectural salvage.</w:t>
      </w:r>
    </w:p>
    <w:p w:rsidR="00673009" w:rsidRPr="00A90EF8" w:rsidRDefault="00673009" w:rsidP="00A90EF8">
      <w:pPr>
        <w:spacing w:after="0"/>
        <w:ind w:left="720"/>
      </w:pPr>
      <w:r w:rsidRPr="00A90EF8">
        <w:t>Conservation of Historic Areas</w:t>
      </w:r>
    </w:p>
    <w:p w:rsidR="00673009" w:rsidRPr="00A90EF8" w:rsidRDefault="00673009" w:rsidP="00A90EF8">
      <w:pPr>
        <w:spacing w:after="0"/>
        <w:ind w:left="720"/>
      </w:pPr>
      <w:r w:rsidRPr="00A90EF8">
        <w:tab/>
        <w:t>From Conservation Area to Place</w:t>
      </w:r>
    </w:p>
    <w:p w:rsidR="00673009" w:rsidRPr="00A90EF8" w:rsidRDefault="00673009" w:rsidP="00A90EF8">
      <w:pPr>
        <w:spacing w:after="0"/>
        <w:ind w:left="720"/>
      </w:pPr>
      <w:r w:rsidRPr="00A90EF8">
        <w:t>Conservation Planning and Dynamic Places</w:t>
      </w:r>
    </w:p>
    <w:p w:rsidR="00673009" w:rsidRPr="00A90EF8" w:rsidRDefault="00673009" w:rsidP="00A90EF8">
      <w:pPr>
        <w:spacing w:after="0"/>
        <w:ind w:left="720"/>
      </w:pPr>
      <w:r w:rsidRPr="00A90EF8">
        <w:tab/>
        <w:t xml:space="preserve">Capturing the Historic Environment without fossilisation </w:t>
      </w:r>
    </w:p>
    <w:p w:rsidR="00673009" w:rsidRPr="00A90EF8" w:rsidRDefault="00673009" w:rsidP="00A90EF8">
      <w:pPr>
        <w:spacing w:after="0"/>
        <w:ind w:left="720"/>
      </w:pPr>
      <w:r w:rsidRPr="00A90EF8">
        <w:tab/>
        <w:t>Growth of adaptive re-use and shell-only conservation</w:t>
      </w:r>
    </w:p>
    <w:p w:rsidR="00673009" w:rsidRPr="00A90EF8" w:rsidRDefault="00673009" w:rsidP="00A90EF8">
      <w:pPr>
        <w:spacing w:after="0"/>
        <w:ind w:left="720"/>
      </w:pPr>
      <w:r w:rsidRPr="00A90EF8">
        <w:tab/>
        <w:t>Backlash and reform</w:t>
      </w:r>
    </w:p>
    <w:p w:rsidR="00673009" w:rsidRPr="00A90EF8" w:rsidRDefault="00673009" w:rsidP="00A90EF8">
      <w:pPr>
        <w:spacing w:after="0"/>
        <w:ind w:left="720"/>
      </w:pPr>
      <w:r w:rsidRPr="00A90EF8">
        <w:t>Heritage Protection Reform</w:t>
      </w:r>
    </w:p>
    <w:p w:rsidR="00673009" w:rsidRPr="00A90EF8" w:rsidRDefault="00673009" w:rsidP="00A90EF8">
      <w:pPr>
        <w:spacing w:after="0"/>
        <w:ind w:left="720" w:firstLine="720"/>
      </w:pPr>
      <w:r w:rsidRPr="00A90EF8">
        <w:t>Paying our Way – Adaptive reuse, the Presumption for development</w:t>
      </w:r>
    </w:p>
    <w:p w:rsidR="00673009" w:rsidRPr="00A90EF8" w:rsidRDefault="00673009" w:rsidP="00A90EF8"/>
    <w:p w:rsidR="00673009" w:rsidRPr="00A90EF8" w:rsidRDefault="00673009" w:rsidP="00A90EF8">
      <w:pPr>
        <w:rPr>
          <w:u w:val="single"/>
        </w:rPr>
      </w:pPr>
      <w:r w:rsidRPr="00A90EF8">
        <w:rPr>
          <w:u w:val="single"/>
        </w:rPr>
        <w:t>(2) The Concept of the Conservation Cycle and the Conservation Gateway</w:t>
      </w:r>
    </w:p>
    <w:p w:rsidR="00673009" w:rsidRPr="00A90EF8" w:rsidRDefault="00673009" w:rsidP="00A90EF8">
      <w:r w:rsidRPr="00A90EF8">
        <w:t>Current conservation practice illustrates current concern</w:t>
      </w:r>
      <w:r w:rsidR="001D08F4" w:rsidRPr="00A90EF8">
        <w:t>s</w:t>
      </w:r>
      <w:r w:rsidRPr="00A90EF8">
        <w:t xml:space="preserve"> with managerial approaches and control of interventions in structures.  The Cycle </w:t>
      </w:r>
      <w:r w:rsidR="00BC43DB" w:rsidRPr="00A90EF8">
        <w:t>describes the conservation process:</w:t>
      </w:r>
    </w:p>
    <w:p w:rsidR="00BC43DB" w:rsidRPr="00A90EF8" w:rsidRDefault="00BC43DB" w:rsidP="00A90EF8">
      <w:r w:rsidRPr="00A90EF8">
        <w:t>Assessment – examination of the building or structure to record and assess its condition and the survival of architectural or archaeogical evidence for past activity, exploration of archives to determine its history, engagement with the community to determine its community value and expert opinion to seek its Aesthetic value.</w:t>
      </w:r>
    </w:p>
    <w:p w:rsidR="00BC43DB" w:rsidRPr="00A90EF8" w:rsidRDefault="00BC43DB" w:rsidP="00A90EF8">
      <w:r w:rsidRPr="00A90EF8">
        <w:t xml:space="preserve">Evaluation – of the evidence to determine its significance (in terms of Evidential, Historical, Communal and Aesthetic Value).  </w:t>
      </w:r>
    </w:p>
    <w:p w:rsidR="00BC43DB" w:rsidRPr="00A90EF8" w:rsidRDefault="00BC43DB" w:rsidP="00A90EF8">
      <w:r w:rsidRPr="00A90EF8">
        <w:lastRenderedPageBreak/>
        <w:t xml:space="preserve">Management – setting out a conservation management strategy and a conservation management plan to maintain the building or to undertake necessary interventions to prevent damage, repair damage or to make the building fit for modern uses.  </w:t>
      </w:r>
    </w:p>
    <w:p w:rsidR="0014644F" w:rsidRPr="00A90EF8" w:rsidRDefault="0014644F" w:rsidP="00A90EF8">
      <w:r w:rsidRPr="00A90EF8">
        <w:t xml:space="preserve">Management Actions and / or Interventions in the building or structure.  These are monitored during the action or intervention and then for a period following the action or intervention.  In some cases monitoring (for example of temperature, light and humidity levels inside a building) will continue indefinite and will form part of the ongoing management strategy.  Changes in conditions will then prompt a further cycle of assessment and evaluation to determine if the action or intervention is the cause and if so how it might be modified or ameliorated.  </w:t>
      </w:r>
    </w:p>
    <w:p w:rsidR="0014644F" w:rsidRPr="00A90EF8" w:rsidRDefault="0014644F" w:rsidP="00A90EF8">
      <w:r w:rsidRPr="00A90EF8">
        <w:t>This process is sometimes referred to as “monitoring informs action”.</w:t>
      </w:r>
      <w:r w:rsidR="001D08F4" w:rsidRPr="00A90EF8">
        <w:t xml:space="preserve">  A useful extended summary of the nominal stages involved can be found in McCaig </w:t>
      </w:r>
      <w:r w:rsidR="001D08F4" w:rsidRPr="00A90EF8">
        <w:rPr>
          <w:i/>
        </w:rPr>
        <w:t>et al</w:t>
      </w:r>
      <w:r w:rsidR="001D08F4" w:rsidRPr="00A90EF8">
        <w:t xml:space="preserve"> 2013, pages 97-98.</w:t>
      </w:r>
    </w:p>
    <w:p w:rsidR="0014644F" w:rsidRPr="00A90EF8" w:rsidRDefault="0014644F" w:rsidP="00A90EF8">
      <w:r w:rsidRPr="00A90EF8">
        <w:t xml:space="preserve">The “heritage gateway” or “conservation gateway” is a useful way of describing the issues which should be considered when deciding upon a particular course of intervention.  Most commonly used with engineering structures and with large mechanical objects (pumping engineers, ships etc.) it is a technique which has value (and potential for further development) in conventional building conservation.  For a good example of this approach </w:t>
      </w:r>
      <w:r w:rsidR="00470231" w:rsidRPr="00A90EF8">
        <w:t xml:space="preserve">see Prescott 2010.  </w:t>
      </w:r>
      <w:r w:rsidRPr="00A90EF8">
        <w:t xml:space="preserve"> </w:t>
      </w:r>
    </w:p>
    <w:p w:rsidR="00D84378" w:rsidRPr="00A90EF8" w:rsidRDefault="00D84378" w:rsidP="00A90EF8">
      <w:pPr>
        <w:spacing w:before="360"/>
        <w:ind w:left="720" w:hanging="720"/>
        <w:rPr>
          <w:rFonts w:cs="Arial"/>
          <w:color w:val="000000" w:themeColor="text1"/>
        </w:rPr>
      </w:pPr>
      <w:r w:rsidRPr="00A90EF8">
        <w:rPr>
          <w:rFonts w:cs="Arial"/>
          <w:color w:val="000000" w:themeColor="text1"/>
          <w:u w:val="single"/>
        </w:rPr>
        <w:t>Recommended Reading for this Part</w:t>
      </w:r>
      <w:r w:rsidRPr="00A90EF8">
        <w:rPr>
          <w:rFonts w:cs="Arial"/>
          <w:color w:val="000000" w:themeColor="text1"/>
        </w:rPr>
        <w:t>:  (if only part reference – full reference is in the bibliography)</w:t>
      </w:r>
    </w:p>
    <w:p w:rsidR="005E27B7" w:rsidRPr="005E27B7" w:rsidRDefault="005E27B7" w:rsidP="005E27B7">
      <w:pPr>
        <w:spacing w:after="180"/>
      </w:pPr>
      <w:r>
        <w:t xml:space="preserve">CADW 2011 Conservation Principles for the sustainable management of the historic environment in Wales.  CDAW, </w:t>
      </w:r>
      <w:proofErr w:type="spellStart"/>
      <w:r>
        <w:t>Nantgarw</w:t>
      </w:r>
      <w:proofErr w:type="spellEnd"/>
      <w:r>
        <w:t>.</w:t>
      </w:r>
    </w:p>
    <w:p w:rsidR="00D84378" w:rsidRPr="00A90EF8" w:rsidRDefault="00D84378" w:rsidP="005E27B7">
      <w:pPr>
        <w:spacing w:after="180"/>
      </w:pPr>
      <w:r w:rsidRPr="00A90EF8">
        <w:rPr>
          <w:rFonts w:cs="Arial"/>
          <w:color w:val="000000" w:themeColor="text1"/>
        </w:rPr>
        <w:t xml:space="preserve">Cherry, M. “Architectural history and conservation” Chapter 2 in </w:t>
      </w:r>
      <w:r w:rsidRPr="00A90EF8">
        <w:t>Forsyth, M. (ed.) 2007a.</w:t>
      </w:r>
    </w:p>
    <w:p w:rsidR="00D84378" w:rsidRPr="00A90EF8" w:rsidRDefault="00D84378" w:rsidP="005E27B7">
      <w:pPr>
        <w:spacing w:after="180"/>
      </w:pPr>
      <w:r w:rsidRPr="00A90EF8">
        <w:t xml:space="preserve">McCaig, I. </w:t>
      </w:r>
      <w:r w:rsidRPr="00A90EF8">
        <w:rPr>
          <w:i/>
        </w:rPr>
        <w:t xml:space="preserve">et </w:t>
      </w:r>
      <w:proofErr w:type="gramStart"/>
      <w:r w:rsidRPr="00A90EF8">
        <w:rPr>
          <w:i/>
        </w:rPr>
        <w:t>al</w:t>
      </w:r>
      <w:r w:rsidRPr="00A90EF8">
        <w:t xml:space="preserve">  “</w:t>
      </w:r>
      <w:proofErr w:type="gramEnd"/>
      <w:r w:rsidRPr="00A90EF8">
        <w:t>The Evolving Concept of Building Conservation” (pages 1 to 60) in McCaig, I. (ed.) 2013.</w:t>
      </w:r>
    </w:p>
    <w:p w:rsidR="00D84378" w:rsidRPr="00A90EF8" w:rsidRDefault="00D84378" w:rsidP="005E27B7">
      <w:pPr>
        <w:spacing w:after="180"/>
      </w:pPr>
      <w:r w:rsidRPr="00A90EF8">
        <w:t xml:space="preserve">Prescott, R. (ed.) 2010 </w:t>
      </w:r>
      <w:r w:rsidRPr="00A90EF8">
        <w:rPr>
          <w:u w:val="single"/>
        </w:rPr>
        <w:t>Conserving Historic Vessels (Understanding Historic Vessels Volume 3)</w:t>
      </w:r>
      <w:r w:rsidRPr="00A90EF8">
        <w:t>.  The Advisory Committee on National Historic Ships.  National Historic Ships, Greenwich. [</w:t>
      </w:r>
      <w:proofErr w:type="gramStart"/>
      <w:r w:rsidRPr="00A90EF8">
        <w:t>see</w:t>
      </w:r>
      <w:proofErr w:type="gramEnd"/>
      <w:r w:rsidRPr="00A90EF8">
        <w:t xml:space="preserve"> section conservation gateway in particular]</w:t>
      </w:r>
    </w:p>
    <w:p w:rsidR="00D84378" w:rsidRPr="00A90EF8" w:rsidRDefault="00D84378" w:rsidP="005E27B7">
      <w:pPr>
        <w:spacing w:after="180"/>
      </w:pPr>
      <w:r w:rsidRPr="00A90EF8">
        <w:rPr>
          <w:rFonts w:cs="Arial"/>
          <w:color w:val="000000" w:themeColor="text1"/>
        </w:rPr>
        <w:t xml:space="preserve">Robinson, M. “Conservation and authenticity” Chapter 3 in </w:t>
      </w:r>
      <w:r w:rsidRPr="00A90EF8">
        <w:t xml:space="preserve">Forsyth, M. (ed.) 2007a. </w:t>
      </w:r>
    </w:p>
    <w:p w:rsidR="002C2117" w:rsidRPr="000A7A1E" w:rsidRDefault="002C2117" w:rsidP="009A5991">
      <w:pPr>
        <w:spacing w:before="600" w:after="240"/>
        <w:rPr>
          <w:b/>
          <w:sz w:val="28"/>
        </w:rPr>
      </w:pPr>
      <w:r w:rsidRPr="000A7A1E">
        <w:rPr>
          <w:b/>
          <w:sz w:val="28"/>
        </w:rPr>
        <w:t xml:space="preserve">Part Two: </w:t>
      </w:r>
      <w:r w:rsidR="005815F2" w:rsidRPr="000A7A1E">
        <w:rPr>
          <w:b/>
          <w:sz w:val="28"/>
        </w:rPr>
        <w:t xml:space="preserve">The Management of Built Heritage: </w:t>
      </w:r>
      <w:r w:rsidRPr="000A7A1E">
        <w:rPr>
          <w:b/>
          <w:sz w:val="28"/>
        </w:rPr>
        <w:t xml:space="preserve">Heritage Bodies, Legal Instruments </w:t>
      </w:r>
      <w:r w:rsidR="000A7A1E">
        <w:rPr>
          <w:b/>
          <w:sz w:val="28"/>
        </w:rPr>
        <w:t>&amp;</w:t>
      </w:r>
      <w:r w:rsidRPr="000A7A1E">
        <w:rPr>
          <w:b/>
          <w:sz w:val="28"/>
        </w:rPr>
        <w:t xml:space="preserve"> Mechanisms for </w:t>
      </w:r>
      <w:r w:rsidR="005815F2" w:rsidRPr="000A7A1E">
        <w:rPr>
          <w:b/>
          <w:sz w:val="28"/>
        </w:rPr>
        <w:t xml:space="preserve">the </w:t>
      </w:r>
      <w:r w:rsidRPr="000A7A1E">
        <w:rPr>
          <w:b/>
          <w:sz w:val="28"/>
        </w:rPr>
        <w:t>Conservation</w:t>
      </w:r>
      <w:r w:rsidR="005815F2" w:rsidRPr="000A7A1E">
        <w:rPr>
          <w:b/>
          <w:sz w:val="28"/>
        </w:rPr>
        <w:t xml:space="preserve"> of Buildings, Structures &amp; Place</w:t>
      </w:r>
    </w:p>
    <w:p w:rsidR="002C2117" w:rsidRPr="00A90EF8" w:rsidRDefault="002C2117" w:rsidP="009A5991">
      <w:pPr>
        <w:spacing w:after="240"/>
        <w:rPr>
          <w:i/>
          <w:sz w:val="24"/>
        </w:rPr>
      </w:pPr>
      <w:r w:rsidRPr="00A90EF8">
        <w:rPr>
          <w:i/>
          <w:sz w:val="24"/>
        </w:rPr>
        <w:t>The relevant bodies, organisations, legal instruments and mechanisms (and the criteria used) engaged in the protection and conservation of historic buildings and structures.</w:t>
      </w:r>
    </w:p>
    <w:p w:rsidR="008B023C" w:rsidRDefault="008B023C" w:rsidP="00A90EF8">
      <w:pPr>
        <w:ind w:left="720" w:hanging="720"/>
        <w:rPr>
          <w:rFonts w:cs="Arial"/>
          <w:color w:val="000000" w:themeColor="text1"/>
        </w:rPr>
      </w:pPr>
      <w:r>
        <w:rPr>
          <w:rFonts w:cs="Arial"/>
          <w:color w:val="000000" w:themeColor="text1"/>
        </w:rPr>
        <w:t>This part considers:</w:t>
      </w:r>
    </w:p>
    <w:p w:rsidR="005815F2" w:rsidRPr="00A90EF8" w:rsidRDefault="005815F2" w:rsidP="00A90EF8">
      <w:pPr>
        <w:ind w:left="720" w:hanging="720"/>
        <w:rPr>
          <w:rFonts w:cs="Arial"/>
          <w:color w:val="000000" w:themeColor="text1"/>
        </w:rPr>
      </w:pPr>
      <w:r w:rsidRPr="00A90EF8">
        <w:rPr>
          <w:rFonts w:cs="Arial"/>
          <w:color w:val="000000" w:themeColor="text1"/>
        </w:rPr>
        <w:t xml:space="preserve">Who are the Stakeholders in the Management of Built Heritage? </w:t>
      </w:r>
    </w:p>
    <w:p w:rsidR="005815F2" w:rsidRPr="00A90EF8" w:rsidRDefault="005815F2" w:rsidP="00A90EF8">
      <w:pPr>
        <w:ind w:left="720" w:hanging="720"/>
        <w:rPr>
          <w:rFonts w:cs="Arial"/>
          <w:color w:val="000000" w:themeColor="text1"/>
        </w:rPr>
      </w:pPr>
      <w:r w:rsidRPr="00A90EF8">
        <w:rPr>
          <w:rFonts w:cs="Arial"/>
          <w:color w:val="000000" w:themeColor="text1"/>
        </w:rPr>
        <w:t>Who does what? The form and role of the key institutions involved in the preservation, conservation and representation of the built environment in the UK.</w:t>
      </w:r>
    </w:p>
    <w:p w:rsidR="005E27B7" w:rsidRDefault="005815F2" w:rsidP="005E27B7">
      <w:pPr>
        <w:ind w:left="720" w:hanging="720"/>
        <w:rPr>
          <w:rFonts w:cs="Arial"/>
          <w:color w:val="000000" w:themeColor="text1"/>
        </w:rPr>
      </w:pPr>
      <w:r w:rsidRPr="00A90EF8">
        <w:rPr>
          <w:rFonts w:cs="Arial"/>
          <w:color w:val="000000" w:themeColor="text1"/>
        </w:rPr>
        <w:t>The origins and history of legislation (see handout for earlier years)</w:t>
      </w:r>
      <w:r w:rsidR="005E27B7">
        <w:rPr>
          <w:rFonts w:cs="Arial"/>
          <w:color w:val="000000" w:themeColor="text1"/>
        </w:rPr>
        <w:t>.</w:t>
      </w:r>
      <w:r w:rsidRPr="00A90EF8">
        <w:rPr>
          <w:rFonts w:cs="Arial"/>
          <w:color w:val="000000" w:themeColor="text1"/>
        </w:rPr>
        <w:t xml:space="preserve"> </w:t>
      </w:r>
    </w:p>
    <w:p w:rsidR="005815F2" w:rsidRDefault="005E27B7" w:rsidP="00A90EF8">
      <w:pPr>
        <w:ind w:left="720" w:hanging="720"/>
        <w:rPr>
          <w:rFonts w:cs="Arial"/>
          <w:color w:val="000000" w:themeColor="text1"/>
        </w:rPr>
      </w:pPr>
      <w:r>
        <w:rPr>
          <w:rFonts w:cs="Arial"/>
          <w:color w:val="000000" w:themeColor="text1"/>
        </w:rPr>
        <w:t xml:space="preserve">Current Law, Policy &amp; Guidance. </w:t>
      </w:r>
    </w:p>
    <w:p w:rsidR="005815F2" w:rsidRDefault="005815F2" w:rsidP="009A5991">
      <w:pPr>
        <w:spacing w:before="240"/>
        <w:ind w:left="720" w:hanging="720"/>
        <w:rPr>
          <w:rFonts w:cs="Arial"/>
          <w:color w:val="000000" w:themeColor="text1"/>
        </w:rPr>
      </w:pPr>
      <w:r w:rsidRPr="00A90EF8">
        <w:rPr>
          <w:rFonts w:cs="Arial"/>
          <w:color w:val="000000" w:themeColor="text1"/>
          <w:u w:val="single"/>
        </w:rPr>
        <w:lastRenderedPageBreak/>
        <w:t>Recommended Reading for this Part</w:t>
      </w:r>
      <w:r w:rsidRPr="00A90EF8">
        <w:rPr>
          <w:rFonts w:cs="Arial"/>
          <w:color w:val="000000" w:themeColor="text1"/>
        </w:rPr>
        <w:t>:</w:t>
      </w:r>
    </w:p>
    <w:p w:rsidR="005E27B7" w:rsidRDefault="005E27B7" w:rsidP="005E27B7">
      <w:pPr>
        <w:ind w:left="720" w:hanging="720"/>
        <w:rPr>
          <w:rFonts w:cs="Arial"/>
          <w:color w:val="000000" w:themeColor="text1"/>
        </w:rPr>
      </w:pPr>
      <w:r>
        <w:rPr>
          <w:rFonts w:cs="Arial"/>
          <w:color w:val="000000" w:themeColor="text1"/>
        </w:rPr>
        <w:t>Handout (appended as file): Outline of Heritage Legislation 1873 to 2005.</w:t>
      </w:r>
    </w:p>
    <w:p w:rsidR="005E27B7" w:rsidRDefault="005E27B7" w:rsidP="005E27B7">
      <w:r w:rsidRPr="00A90EF8">
        <w:t xml:space="preserve">McCaig, I. </w:t>
      </w:r>
      <w:r w:rsidRPr="00A90EF8">
        <w:rPr>
          <w:i/>
        </w:rPr>
        <w:t xml:space="preserve">et </w:t>
      </w:r>
      <w:proofErr w:type="gramStart"/>
      <w:r w:rsidRPr="00A90EF8">
        <w:rPr>
          <w:i/>
        </w:rPr>
        <w:t>al</w:t>
      </w:r>
      <w:r>
        <w:t xml:space="preserve">  </w:t>
      </w:r>
      <w:r w:rsidRPr="00A90EF8">
        <w:t>C</w:t>
      </w:r>
      <w:r>
        <w:t>urrent</w:t>
      </w:r>
      <w:proofErr w:type="gramEnd"/>
      <w:r>
        <w:t xml:space="preserve"> Law, Policy and Guidance</w:t>
      </w:r>
      <w:r w:rsidRPr="00A90EF8">
        <w:t xml:space="preserve"> (pages 61 to 88) in McCaig, I. (ed.) 2013.</w:t>
      </w:r>
    </w:p>
    <w:p w:rsidR="005E27B7" w:rsidRPr="00A90EF8" w:rsidRDefault="005E27B7" w:rsidP="005E27B7">
      <w:r>
        <w:t xml:space="preserve">CADW 2011 Conservation Principles for the sustainable management of the historic environment in Wales.  CDAW, </w:t>
      </w:r>
      <w:proofErr w:type="spellStart"/>
      <w:r>
        <w:t>Nantgarw</w:t>
      </w:r>
      <w:proofErr w:type="spellEnd"/>
      <w:r>
        <w:t>.</w:t>
      </w:r>
    </w:p>
    <w:p w:rsidR="005E27B7" w:rsidRPr="005E27B7" w:rsidRDefault="005E27B7" w:rsidP="005E27B7">
      <w:proofErr w:type="spellStart"/>
      <w:r w:rsidRPr="005E27B7">
        <w:rPr>
          <w:rFonts w:cs="Arial"/>
          <w:color w:val="000000" w:themeColor="text1"/>
        </w:rPr>
        <w:t>Whitbourn</w:t>
      </w:r>
      <w:proofErr w:type="spellEnd"/>
      <w:r w:rsidRPr="005E27B7">
        <w:rPr>
          <w:rFonts w:cs="Arial"/>
          <w:color w:val="000000" w:themeColor="text1"/>
        </w:rPr>
        <w:t xml:space="preserve">, P. 2007 </w:t>
      </w:r>
      <w:r w:rsidR="005815F2" w:rsidRPr="005E27B7">
        <w:rPr>
          <w:rFonts w:cs="Arial"/>
          <w:color w:val="000000" w:themeColor="text1"/>
        </w:rPr>
        <w:t>International Standards &amp; Charters</w:t>
      </w:r>
      <w:r w:rsidRPr="005E27B7">
        <w:rPr>
          <w:rFonts w:cs="Arial"/>
          <w:color w:val="000000" w:themeColor="text1"/>
        </w:rPr>
        <w:t xml:space="preserve">. Chapter </w:t>
      </w:r>
      <w:proofErr w:type="gramStart"/>
      <w:r w:rsidR="005815F2" w:rsidRPr="005E27B7">
        <w:rPr>
          <w:rFonts w:cs="Arial"/>
          <w:color w:val="000000" w:themeColor="text1"/>
        </w:rPr>
        <w:t>10</w:t>
      </w:r>
      <w:r w:rsidRPr="005E27B7">
        <w:rPr>
          <w:rFonts w:cs="Arial"/>
          <w:color w:val="000000" w:themeColor="text1"/>
        </w:rPr>
        <w:t xml:space="preserve"> </w:t>
      </w:r>
      <w:r w:rsidR="005815F2" w:rsidRPr="005E27B7">
        <w:rPr>
          <w:rFonts w:cs="Arial"/>
          <w:color w:val="000000" w:themeColor="text1"/>
        </w:rPr>
        <w:t xml:space="preserve"> </w:t>
      </w:r>
      <w:r w:rsidRPr="005E27B7">
        <w:rPr>
          <w:rFonts w:cs="Arial"/>
          <w:color w:val="000000" w:themeColor="text1"/>
        </w:rPr>
        <w:t>in</w:t>
      </w:r>
      <w:proofErr w:type="gramEnd"/>
      <w:r w:rsidRPr="005E27B7">
        <w:rPr>
          <w:rFonts w:cs="Arial"/>
          <w:color w:val="000000" w:themeColor="text1"/>
        </w:rPr>
        <w:t xml:space="preserve"> </w:t>
      </w:r>
      <w:r w:rsidRPr="005E27B7">
        <w:t>Forsyth, M. (ed.) 2007a.</w:t>
      </w:r>
    </w:p>
    <w:p w:rsidR="005E27B7" w:rsidRPr="005E27B7" w:rsidRDefault="005E27B7" w:rsidP="005E27B7">
      <w:r w:rsidRPr="005E27B7">
        <w:rPr>
          <w:rFonts w:cs="Arial"/>
          <w:color w:val="000000" w:themeColor="text1"/>
        </w:rPr>
        <w:t xml:space="preserve">Johns, C. </w:t>
      </w:r>
      <w:proofErr w:type="gramStart"/>
      <w:r w:rsidRPr="005E27B7">
        <w:rPr>
          <w:rFonts w:cs="Arial"/>
          <w:color w:val="000000" w:themeColor="text1"/>
        </w:rPr>
        <w:t xml:space="preserve">2007  </w:t>
      </w:r>
      <w:r w:rsidR="005815F2" w:rsidRPr="005E27B7">
        <w:rPr>
          <w:rFonts w:cs="Arial"/>
          <w:color w:val="000000" w:themeColor="text1"/>
        </w:rPr>
        <w:t>Conservation</w:t>
      </w:r>
      <w:proofErr w:type="gramEnd"/>
      <w:r w:rsidR="005815F2" w:rsidRPr="005E27B7">
        <w:rPr>
          <w:rFonts w:cs="Arial"/>
          <w:color w:val="000000" w:themeColor="text1"/>
        </w:rPr>
        <w:t xml:space="preserve"> legislation in the United Kingdom: A Brief History</w:t>
      </w:r>
      <w:r w:rsidRPr="005E27B7">
        <w:rPr>
          <w:rFonts w:cs="Arial"/>
          <w:color w:val="000000" w:themeColor="text1"/>
        </w:rPr>
        <w:t xml:space="preserve">.  Chapter </w:t>
      </w:r>
      <w:r w:rsidR="005815F2" w:rsidRPr="005E27B7">
        <w:rPr>
          <w:rFonts w:cs="Arial"/>
          <w:color w:val="000000" w:themeColor="text1"/>
        </w:rPr>
        <w:t>11</w:t>
      </w:r>
      <w:r w:rsidRPr="005E27B7">
        <w:rPr>
          <w:rFonts w:cs="Arial"/>
          <w:color w:val="000000" w:themeColor="text1"/>
        </w:rPr>
        <w:t xml:space="preserve"> in </w:t>
      </w:r>
      <w:r w:rsidRPr="005E27B7">
        <w:t>Forsyth, M. (ed.) 2007a.</w:t>
      </w:r>
    </w:p>
    <w:p w:rsidR="005E27B7" w:rsidRPr="00A90EF8" w:rsidRDefault="005E27B7" w:rsidP="005E27B7">
      <w:pPr>
        <w:spacing w:after="60"/>
      </w:pPr>
      <w:r w:rsidRPr="005E27B7">
        <w:rPr>
          <w:rFonts w:cs="Arial"/>
          <w:color w:val="000000" w:themeColor="text1"/>
        </w:rPr>
        <w:t xml:space="preserve">Johns, C. </w:t>
      </w:r>
      <w:proofErr w:type="gramStart"/>
      <w:r w:rsidRPr="005E27B7">
        <w:rPr>
          <w:rFonts w:cs="Arial"/>
          <w:color w:val="000000" w:themeColor="text1"/>
        </w:rPr>
        <w:t xml:space="preserve">2007  </w:t>
      </w:r>
      <w:r w:rsidR="005815F2" w:rsidRPr="005E27B7">
        <w:rPr>
          <w:rFonts w:cs="Arial"/>
          <w:color w:val="000000" w:themeColor="text1"/>
        </w:rPr>
        <w:t>Conservation</w:t>
      </w:r>
      <w:proofErr w:type="gramEnd"/>
      <w:r w:rsidR="005815F2" w:rsidRPr="005E27B7">
        <w:rPr>
          <w:rFonts w:cs="Arial"/>
          <w:color w:val="000000" w:themeColor="text1"/>
        </w:rPr>
        <w:t xml:space="preserve"> legislation in the United Kingdom: Looking Ahead</w:t>
      </w:r>
      <w:r w:rsidRPr="005E27B7">
        <w:rPr>
          <w:rFonts w:cs="Arial"/>
          <w:color w:val="000000" w:themeColor="text1"/>
        </w:rPr>
        <w:t xml:space="preserve">. Chapter 12 in </w:t>
      </w:r>
      <w:r w:rsidRPr="005E27B7">
        <w:t>Forsyth, M. (ed.) 2007a.</w:t>
      </w:r>
    </w:p>
    <w:p w:rsidR="005815F2" w:rsidRPr="00A90EF8" w:rsidRDefault="005E27B7" w:rsidP="008B023C">
      <w:pPr>
        <w:spacing w:before="240"/>
        <w:ind w:left="720" w:hanging="720"/>
        <w:rPr>
          <w:rFonts w:cs="Arial"/>
          <w:color w:val="000000" w:themeColor="text1"/>
        </w:rPr>
      </w:pPr>
      <w:r>
        <w:rPr>
          <w:rFonts w:cs="Arial"/>
          <w:color w:val="000000" w:themeColor="text1"/>
        </w:rPr>
        <w:t xml:space="preserve">For Updates please also see:  </w:t>
      </w:r>
    </w:p>
    <w:p w:rsidR="00673009" w:rsidRDefault="00A751FA" w:rsidP="00A90EF8">
      <w:hyperlink r:id="rId5" w:history="1">
        <w:r w:rsidR="005E27B7" w:rsidRPr="00C86E8E">
          <w:rPr>
            <w:rStyle w:val="Hyperlink"/>
          </w:rPr>
          <w:t>https://historicengland.org.uk/advice/latest-guidance/</w:t>
        </w:r>
      </w:hyperlink>
    </w:p>
    <w:p w:rsidR="00B50D51" w:rsidRPr="000A7A1E" w:rsidRDefault="00936E6F" w:rsidP="009A5991">
      <w:pPr>
        <w:spacing w:before="600" w:after="240"/>
        <w:rPr>
          <w:b/>
          <w:sz w:val="28"/>
        </w:rPr>
      </w:pPr>
      <w:r w:rsidRPr="000A7A1E">
        <w:rPr>
          <w:b/>
          <w:sz w:val="28"/>
        </w:rPr>
        <w:t>Part Three:</w:t>
      </w:r>
      <w:r w:rsidR="00B50D51" w:rsidRPr="000A7A1E">
        <w:rPr>
          <w:b/>
          <w:sz w:val="28"/>
        </w:rPr>
        <w:t xml:space="preserve"> Making Sense of an Historic Building: The Reading of Form, Fabric &amp; Technique</w:t>
      </w:r>
    </w:p>
    <w:p w:rsidR="008D7067" w:rsidRPr="008D7067" w:rsidRDefault="008D7067" w:rsidP="008D7067">
      <w:pPr>
        <w:rPr>
          <w:i/>
          <w:color w:val="000000" w:themeColor="text1"/>
          <w:sz w:val="24"/>
        </w:rPr>
      </w:pPr>
      <w:r w:rsidRPr="008D7067">
        <w:rPr>
          <w:i/>
          <w:color w:val="000000" w:themeColor="text1"/>
          <w:sz w:val="24"/>
        </w:rPr>
        <w:t>The characteristics of structures and structural elements (roofs, walls, etc.), the nature and properties of building materials and the techniques used in building construction.</w:t>
      </w:r>
    </w:p>
    <w:p w:rsidR="008D7067" w:rsidRDefault="008D7067" w:rsidP="008D7067">
      <w:r w:rsidRPr="006A6E96">
        <w:t xml:space="preserve">The UK has an extremely varied and diverse architectural heritage – both vernacular and formally designed.  This </w:t>
      </w:r>
      <w:r>
        <w:t>part is a brief introduction to how to analyse and describe each element of a building or structure using language that is understandable by other heritage professionals.  In so doing it will introduce some of the common building techniques and materials used in construction – a description of which is an essential part of any building record.</w:t>
      </w:r>
    </w:p>
    <w:p w:rsidR="008D7067" w:rsidRDefault="008D7067" w:rsidP="008D7067">
      <w:r>
        <w:t>The use of building terminology only becomes natural with practice – a good technique is to draw quick sketches of buildings and label each element or component – where you do not know an appropriate term look it up.</w:t>
      </w:r>
    </w:p>
    <w:p w:rsidR="008D7067" w:rsidRDefault="008D7067" w:rsidP="008D7067">
      <w:r>
        <w:t xml:space="preserve">A good quick introduction to architectural styles in a very general sense is xx.  The best introduction to describing building elements is still Brunskill (2000 and earlier editions) which has copious illustrations.  For a more detailed discussion of the technicalities of description see </w:t>
      </w:r>
      <w:r w:rsidR="0068189A">
        <w:t xml:space="preserve">Part 5 (and </w:t>
      </w:r>
      <w:r>
        <w:t xml:space="preserve">Watt </w:t>
      </w:r>
      <w:r w:rsidR="0068189A">
        <w:t>2015</w:t>
      </w:r>
      <w:r>
        <w:t>).</w:t>
      </w:r>
    </w:p>
    <w:p w:rsidR="000A7A1E" w:rsidRDefault="008D7067" w:rsidP="008D7067">
      <w:r>
        <w:t xml:space="preserve">Note that the terminology used in some areas – such as the description of a barn – will not apply to others – such as the description of a church.  It is important to understand the building context and use the appropriate terminology or lexicon.   </w:t>
      </w:r>
    </w:p>
    <w:p w:rsidR="009A5991" w:rsidRPr="0068189A" w:rsidRDefault="009A5991" w:rsidP="009A5991">
      <w:pPr>
        <w:rPr>
          <w:b/>
          <w:sz w:val="24"/>
        </w:rPr>
      </w:pPr>
      <w:r w:rsidRPr="0068189A">
        <w:rPr>
          <w:b/>
          <w:sz w:val="24"/>
        </w:rPr>
        <w:t>Note:</w:t>
      </w:r>
    </w:p>
    <w:p w:rsidR="009A5991" w:rsidRDefault="009A5991" w:rsidP="009A5991">
      <w:pPr>
        <w:shd w:val="clear" w:color="auto" w:fill="D9D9D9" w:themeFill="background1" w:themeFillShade="D9"/>
        <w:rPr>
          <w:color w:val="000000" w:themeColor="text1"/>
        </w:rPr>
      </w:pPr>
      <w:r>
        <w:rPr>
          <w:color w:val="000000" w:themeColor="text1"/>
        </w:rPr>
        <w:t>Understanding of building elements and terminology is critical to understanding the recording, evaluation and assessment of buildings and structures in Part Five, below.</w:t>
      </w:r>
    </w:p>
    <w:p w:rsidR="008D7067" w:rsidRDefault="008D7067" w:rsidP="008D7067">
      <w:r>
        <w:t xml:space="preserve">Some </w:t>
      </w:r>
      <w:r w:rsidR="00CD4E2C">
        <w:t xml:space="preserve">key </w:t>
      </w:r>
      <w:r>
        <w:t>sources might be:</w:t>
      </w:r>
    </w:p>
    <w:p w:rsidR="00CD4E2C" w:rsidRPr="00A90EF8" w:rsidRDefault="00CD4E2C" w:rsidP="00CD4E2C">
      <w:proofErr w:type="spellStart"/>
      <w:r w:rsidRPr="00A90EF8">
        <w:t>Brunskill</w:t>
      </w:r>
      <w:proofErr w:type="spellEnd"/>
      <w:r w:rsidRPr="00A90EF8">
        <w:t xml:space="preserve">, R.W.  </w:t>
      </w:r>
      <w:r w:rsidRPr="00A90EF8">
        <w:tab/>
        <w:t>2000 (4</w:t>
      </w:r>
      <w:r w:rsidRPr="00A90EF8">
        <w:rPr>
          <w:vertAlign w:val="superscript"/>
        </w:rPr>
        <w:t>th</w:t>
      </w:r>
      <w:r w:rsidRPr="00A90EF8">
        <w:t xml:space="preserve"> Edition).  </w:t>
      </w:r>
      <w:r w:rsidRPr="00A90EF8">
        <w:rPr>
          <w:u w:val="single"/>
        </w:rPr>
        <w:t>Vernacular Architecture: an Illustrated Handbook</w:t>
      </w:r>
      <w:r w:rsidRPr="00A90EF8">
        <w:t>.  Faber and Faber, London.</w:t>
      </w:r>
      <w:r>
        <w:t xml:space="preserve"> [</w:t>
      </w:r>
      <w:r w:rsidR="001A4B53">
        <w:t>The</w:t>
      </w:r>
      <w:r>
        <w:t xml:space="preserve"> essential text - if you are only going to read one book…] </w:t>
      </w:r>
    </w:p>
    <w:p w:rsidR="00CD4E2C" w:rsidRPr="00A90EF8" w:rsidRDefault="00CD4E2C" w:rsidP="00CD4E2C">
      <w:proofErr w:type="spellStart"/>
      <w:r w:rsidRPr="00A90EF8">
        <w:lastRenderedPageBreak/>
        <w:t>Cocke</w:t>
      </w:r>
      <w:proofErr w:type="spellEnd"/>
      <w:r w:rsidRPr="00A90EF8">
        <w:t xml:space="preserve">, T. </w:t>
      </w:r>
      <w:r w:rsidRPr="00A90EF8">
        <w:rPr>
          <w:i/>
        </w:rPr>
        <w:t xml:space="preserve">et al </w:t>
      </w:r>
      <w:r w:rsidRPr="00A90EF8">
        <w:t xml:space="preserve">2015 </w:t>
      </w:r>
      <w:r w:rsidRPr="00A90EF8">
        <w:rPr>
          <w:u w:val="single"/>
        </w:rPr>
        <w:t>Recording a Church:  An illustrated Glossary</w:t>
      </w:r>
      <w:r w:rsidRPr="00A90EF8">
        <w:t xml:space="preserve">.  Practical Handbooks in Archaeology No.7.  Council for British Archaeology.   </w:t>
      </w:r>
    </w:p>
    <w:p w:rsidR="00CD4E2C" w:rsidRPr="00A90EF8" w:rsidRDefault="00CD4E2C" w:rsidP="00CD4E2C">
      <w:proofErr w:type="spellStart"/>
      <w:r w:rsidRPr="00A90EF8">
        <w:t>Cragoe</w:t>
      </w:r>
      <w:proofErr w:type="spellEnd"/>
      <w:r w:rsidRPr="00A90EF8">
        <w:t xml:space="preserve">, C.D. </w:t>
      </w:r>
      <w:proofErr w:type="gramStart"/>
      <w:r w:rsidRPr="00A90EF8">
        <w:t xml:space="preserve">2016  </w:t>
      </w:r>
      <w:r w:rsidRPr="00A90EF8">
        <w:rPr>
          <w:u w:val="single"/>
        </w:rPr>
        <w:t>How</w:t>
      </w:r>
      <w:proofErr w:type="gramEnd"/>
      <w:r w:rsidRPr="00A90EF8">
        <w:rPr>
          <w:u w:val="single"/>
        </w:rPr>
        <w:t xml:space="preserve"> to Read Buildings – A Crash Course in Architecture</w:t>
      </w:r>
      <w:r w:rsidRPr="00A90EF8">
        <w:t>.  Bloomsbury, London &amp; New York.</w:t>
      </w:r>
    </w:p>
    <w:p w:rsidR="00CD4E2C" w:rsidRDefault="00CD4E2C" w:rsidP="00CD4E2C">
      <w:r>
        <w:t xml:space="preserve">Yorke, T.  </w:t>
      </w:r>
      <w:proofErr w:type="gramStart"/>
      <w:r>
        <w:t xml:space="preserve">2008  </w:t>
      </w:r>
      <w:r w:rsidRPr="00CD4E2C">
        <w:rPr>
          <w:u w:val="single"/>
        </w:rPr>
        <w:t>British</w:t>
      </w:r>
      <w:proofErr w:type="gramEnd"/>
      <w:r w:rsidRPr="00CD4E2C">
        <w:rPr>
          <w:u w:val="single"/>
        </w:rPr>
        <w:t xml:space="preserve"> Architectural Styles – An Easy Reference Guide</w:t>
      </w:r>
      <w:r>
        <w:t>.  Countryside Books, Newbury.</w:t>
      </w:r>
    </w:p>
    <w:p w:rsidR="001D08F4" w:rsidRPr="000A7A1E" w:rsidRDefault="001D08F4" w:rsidP="009A5991">
      <w:pPr>
        <w:spacing w:before="480" w:after="240"/>
        <w:rPr>
          <w:b/>
          <w:sz w:val="28"/>
        </w:rPr>
      </w:pPr>
      <w:r w:rsidRPr="000A7A1E">
        <w:rPr>
          <w:b/>
          <w:sz w:val="28"/>
        </w:rPr>
        <w:t xml:space="preserve">Part </w:t>
      </w:r>
      <w:r w:rsidR="00936E6F" w:rsidRPr="000A7A1E">
        <w:rPr>
          <w:b/>
          <w:sz w:val="28"/>
        </w:rPr>
        <w:t>Four</w:t>
      </w:r>
      <w:r w:rsidRPr="000A7A1E">
        <w:rPr>
          <w:b/>
          <w:sz w:val="28"/>
        </w:rPr>
        <w:t xml:space="preserve">:  </w:t>
      </w:r>
      <w:r w:rsidR="00A90EF8" w:rsidRPr="000A7A1E">
        <w:rPr>
          <w:b/>
          <w:sz w:val="28"/>
        </w:rPr>
        <w:t xml:space="preserve">Buildings in Architectural, Archaeological and </w:t>
      </w:r>
      <w:r w:rsidRPr="000A7A1E">
        <w:rPr>
          <w:b/>
          <w:sz w:val="28"/>
        </w:rPr>
        <w:t xml:space="preserve">Historical Contexts </w:t>
      </w:r>
    </w:p>
    <w:p w:rsidR="001D08F4" w:rsidRPr="00A90EF8" w:rsidRDefault="001D08F4" w:rsidP="00A90EF8">
      <w:pPr>
        <w:rPr>
          <w:i/>
          <w:sz w:val="24"/>
        </w:rPr>
      </w:pPr>
      <w:r w:rsidRPr="00A90EF8">
        <w:rPr>
          <w:i/>
          <w:sz w:val="24"/>
        </w:rPr>
        <w:t xml:space="preserve">The </w:t>
      </w:r>
      <w:r w:rsidR="008D7067">
        <w:rPr>
          <w:i/>
          <w:sz w:val="24"/>
        </w:rPr>
        <w:t>a</w:t>
      </w:r>
      <w:r w:rsidR="008D7067" w:rsidRPr="008D7067">
        <w:rPr>
          <w:i/>
          <w:sz w:val="24"/>
        </w:rPr>
        <w:t xml:space="preserve">rchitectural, </w:t>
      </w:r>
      <w:r w:rsidR="008D7067">
        <w:rPr>
          <w:i/>
          <w:sz w:val="24"/>
        </w:rPr>
        <w:t>a</w:t>
      </w:r>
      <w:r w:rsidR="008D7067" w:rsidRPr="008D7067">
        <w:rPr>
          <w:i/>
          <w:sz w:val="24"/>
        </w:rPr>
        <w:t xml:space="preserve">rchaeological and </w:t>
      </w:r>
      <w:r w:rsidR="008D7067">
        <w:rPr>
          <w:i/>
          <w:sz w:val="24"/>
        </w:rPr>
        <w:t>h</w:t>
      </w:r>
      <w:r w:rsidR="008D7067" w:rsidRPr="008D7067">
        <w:rPr>
          <w:i/>
          <w:sz w:val="24"/>
        </w:rPr>
        <w:t xml:space="preserve">istorical </w:t>
      </w:r>
      <w:r w:rsidRPr="00A90EF8">
        <w:rPr>
          <w:i/>
          <w:sz w:val="24"/>
        </w:rPr>
        <w:t>context</w:t>
      </w:r>
      <w:r w:rsidR="008D7067">
        <w:rPr>
          <w:i/>
          <w:sz w:val="24"/>
        </w:rPr>
        <w:t>s</w:t>
      </w:r>
      <w:r w:rsidRPr="00A90EF8">
        <w:rPr>
          <w:i/>
          <w:sz w:val="24"/>
        </w:rPr>
        <w:t xml:space="preserve"> of a range of historic buildings and structures with an emphasis on the later mediaeval and post-mediaeval eras.</w:t>
      </w:r>
    </w:p>
    <w:p w:rsidR="00A90EF8" w:rsidRDefault="00FC158B" w:rsidP="00A90EF8">
      <w:r w:rsidRPr="00A90EF8">
        <w:t xml:space="preserve">It is impossible to give more than a brief introduction in this module to the vast range of building types and styles across the UK.  A number of case studies are used to explore exemplars of particular classes or groupings of buildings.  These should inform consideration of both the conservation of individual buildings (including their adaptive re-use) and also the conservation of specific areas to preserve the setting and context of individual high heritage-value buildings and also </w:t>
      </w:r>
      <w:r w:rsidR="00A90EF8" w:rsidRPr="00A90EF8">
        <w:t>the more elusive “sense of place” of a particular locality.</w:t>
      </w:r>
    </w:p>
    <w:p w:rsidR="008B023C" w:rsidRPr="0068189A" w:rsidRDefault="008B023C" w:rsidP="008B023C">
      <w:pPr>
        <w:keepNext/>
        <w:rPr>
          <w:b/>
          <w:color w:val="000000" w:themeColor="text1"/>
          <w:sz w:val="24"/>
        </w:rPr>
      </w:pPr>
      <w:r w:rsidRPr="0068189A">
        <w:rPr>
          <w:b/>
          <w:color w:val="000000" w:themeColor="text1"/>
          <w:sz w:val="24"/>
        </w:rPr>
        <w:t>Note:</w:t>
      </w:r>
    </w:p>
    <w:p w:rsidR="008B023C" w:rsidRDefault="008B023C" w:rsidP="008B023C">
      <w:pPr>
        <w:shd w:val="clear" w:color="auto" w:fill="D9D9D9" w:themeFill="background1" w:themeFillShade="D9"/>
      </w:pPr>
      <w:r>
        <w:t>This section is effectively the core of the module – the case studies introduce a rage of approaches and methods and collectively provide a broad introduction to the built heritage of the UK.  In consequence you will need to spend considerable time on this part.  These case studies will inform your answer for Assessment One.</w:t>
      </w:r>
    </w:p>
    <w:p w:rsidR="00A90EF8" w:rsidRPr="00A90EF8" w:rsidRDefault="00A90EF8" w:rsidP="009A5991">
      <w:pPr>
        <w:spacing w:before="240"/>
        <w:rPr>
          <w:rFonts w:eastAsia="Times New Roman" w:cs="Arial"/>
          <w:b/>
          <w:sz w:val="24"/>
        </w:rPr>
      </w:pPr>
      <w:r w:rsidRPr="00A90EF8">
        <w:rPr>
          <w:rFonts w:eastAsia="Times New Roman" w:cs="Arial"/>
          <w:b/>
          <w:sz w:val="24"/>
        </w:rPr>
        <w:t xml:space="preserve">Area Conservation </w:t>
      </w:r>
      <w:r w:rsidRPr="00A90EF8">
        <w:rPr>
          <w:rFonts w:eastAsia="Times New Roman" w:cs="Arial"/>
          <w:i/>
          <w:sz w:val="24"/>
        </w:rPr>
        <w:t>(pick one and read in depth – the lessons are widely applicable)</w:t>
      </w:r>
      <w:r w:rsidRPr="00A90EF8">
        <w:rPr>
          <w:rFonts w:eastAsia="Times New Roman" w:cs="Arial"/>
          <w:b/>
          <w:sz w:val="24"/>
        </w:rPr>
        <w:t xml:space="preserve"> </w:t>
      </w:r>
    </w:p>
    <w:p w:rsidR="00A90EF8" w:rsidRPr="00A90EF8" w:rsidRDefault="00A90EF8" w:rsidP="00A90EF8">
      <w:pPr>
        <w:rPr>
          <w:rFonts w:eastAsia="Times New Roman" w:cs="Arial"/>
        </w:rPr>
      </w:pPr>
      <w:r w:rsidRPr="00A90EF8">
        <w:rPr>
          <w:rFonts w:eastAsia="Times New Roman" w:cs="Arial"/>
          <w:u w:val="single"/>
        </w:rPr>
        <w:t>Case study of trading centre and port</w:t>
      </w:r>
      <w:r w:rsidRPr="00A90EF8">
        <w:rPr>
          <w:rFonts w:eastAsia="Times New Roman" w:cs="Arial"/>
        </w:rPr>
        <w:t xml:space="preserve"> – see </w:t>
      </w:r>
      <w:proofErr w:type="spellStart"/>
      <w:r w:rsidR="00CD4E2C">
        <w:rPr>
          <w:rFonts w:eastAsia="Times New Roman" w:cs="Arial"/>
        </w:rPr>
        <w:t>Minnis</w:t>
      </w:r>
      <w:proofErr w:type="spellEnd"/>
      <w:r w:rsidR="00CD4E2C">
        <w:rPr>
          <w:rFonts w:eastAsia="Times New Roman" w:cs="Arial"/>
        </w:rPr>
        <w:t>, J. &amp; Carmichael, K.</w:t>
      </w:r>
      <w:r w:rsidR="00CD4E2C" w:rsidRPr="00A90EF8">
        <w:rPr>
          <w:rFonts w:eastAsia="Times New Roman" w:cs="Arial"/>
        </w:rPr>
        <w:t xml:space="preserve"> </w:t>
      </w:r>
      <w:r w:rsidRPr="00A90EF8">
        <w:rPr>
          <w:rFonts w:eastAsia="Times New Roman" w:cs="Arial"/>
        </w:rPr>
        <w:t xml:space="preserve">2015 </w:t>
      </w:r>
      <w:r w:rsidRPr="00A90EF8">
        <w:rPr>
          <w:rFonts w:eastAsia="Times New Roman" w:cs="Arial"/>
          <w:b/>
        </w:rPr>
        <w:t>Boston, Lincolnshire</w:t>
      </w:r>
      <w:r w:rsidR="00CD4E2C">
        <w:rPr>
          <w:rFonts w:eastAsia="Times New Roman" w:cs="Arial"/>
          <w:b/>
        </w:rPr>
        <w:t>: Historic North Sea Port and Market Town</w:t>
      </w:r>
      <w:r w:rsidRPr="00A90EF8">
        <w:rPr>
          <w:rFonts w:eastAsia="Times New Roman" w:cs="Arial"/>
        </w:rPr>
        <w:t xml:space="preserve"> (Informed Conservation Series), Historic England</w:t>
      </w:r>
      <w:r w:rsidR="00FF1602">
        <w:rPr>
          <w:rFonts w:eastAsia="Times New Roman" w:cs="Arial"/>
        </w:rPr>
        <w:t xml:space="preserve">, Swindon.  </w:t>
      </w:r>
      <w:r w:rsidRPr="00A90EF8">
        <w:rPr>
          <w:rFonts w:eastAsia="Times New Roman" w:cs="Arial"/>
        </w:rPr>
        <w:t xml:space="preserve">Examines </w:t>
      </w:r>
      <w:r w:rsidR="00FF1602">
        <w:rPr>
          <w:rFonts w:eastAsia="Times New Roman" w:cs="Arial"/>
        </w:rPr>
        <w:t>how the</w:t>
      </w:r>
      <w:r w:rsidR="00FF1602" w:rsidRPr="00A90EF8">
        <w:rPr>
          <w:rFonts w:eastAsia="Times New Roman" w:cs="Arial"/>
        </w:rPr>
        <w:t xml:space="preserve"> buildings and townscape </w:t>
      </w:r>
      <w:r w:rsidR="00FF1602">
        <w:rPr>
          <w:rFonts w:eastAsia="Times New Roman" w:cs="Arial"/>
        </w:rPr>
        <w:t xml:space="preserve">of </w:t>
      </w:r>
      <w:r w:rsidRPr="00A90EF8">
        <w:rPr>
          <w:rFonts w:eastAsia="Times New Roman" w:cs="Arial"/>
        </w:rPr>
        <w:t xml:space="preserve">Boston in Lincolnshire </w:t>
      </w:r>
      <w:r w:rsidR="00FF1602">
        <w:rPr>
          <w:rFonts w:eastAsia="Times New Roman" w:cs="Arial"/>
        </w:rPr>
        <w:t xml:space="preserve">reflect the changing fortunes of the town from </w:t>
      </w:r>
      <w:r w:rsidRPr="00A90EF8">
        <w:rPr>
          <w:rFonts w:eastAsia="Times New Roman" w:cs="Arial"/>
        </w:rPr>
        <w:t>me</w:t>
      </w:r>
      <w:r w:rsidR="00FF1602">
        <w:rPr>
          <w:rFonts w:eastAsia="Times New Roman" w:cs="Arial"/>
        </w:rPr>
        <w:t>dieval times to the present day</w:t>
      </w:r>
      <w:r w:rsidRPr="00A90EF8">
        <w:rPr>
          <w:rFonts w:eastAsia="Times New Roman" w:cs="Arial"/>
        </w:rPr>
        <w:t>.</w:t>
      </w:r>
    </w:p>
    <w:p w:rsidR="00A90EF8" w:rsidRPr="00A90EF8" w:rsidRDefault="00A90EF8" w:rsidP="00A90EF8">
      <w:pPr>
        <w:rPr>
          <w:rFonts w:eastAsia="Times New Roman" w:cs="Arial"/>
        </w:rPr>
      </w:pPr>
      <w:r w:rsidRPr="00A90EF8">
        <w:rPr>
          <w:rFonts w:eastAsia="Times New Roman" w:cs="Arial"/>
          <w:u w:val="single"/>
        </w:rPr>
        <w:t>Case Study of an Industrial District of a Major City</w:t>
      </w:r>
      <w:r w:rsidRPr="00A90EF8">
        <w:rPr>
          <w:rFonts w:eastAsia="Times New Roman" w:cs="Arial"/>
        </w:rPr>
        <w:t xml:space="preserve"> - see </w:t>
      </w:r>
      <w:proofErr w:type="spellStart"/>
      <w:r w:rsidR="00CD4E2C">
        <w:rPr>
          <w:rFonts w:eastAsia="Times New Roman" w:cs="Arial"/>
        </w:rPr>
        <w:t>Minnis</w:t>
      </w:r>
      <w:proofErr w:type="spellEnd"/>
      <w:r w:rsidR="00CD4E2C">
        <w:rPr>
          <w:rFonts w:eastAsia="Times New Roman" w:cs="Arial"/>
        </w:rPr>
        <w:t xml:space="preserve">, J. </w:t>
      </w:r>
      <w:r w:rsidR="00CD4E2C" w:rsidRPr="00CD4E2C">
        <w:rPr>
          <w:rFonts w:eastAsia="Times New Roman" w:cs="Arial"/>
          <w:i/>
        </w:rPr>
        <w:t>et al</w:t>
      </w:r>
      <w:r w:rsidRPr="00A90EF8">
        <w:rPr>
          <w:rFonts w:eastAsia="Times New Roman" w:cs="Arial"/>
        </w:rPr>
        <w:t xml:space="preserve"> 2011 </w:t>
      </w:r>
      <w:proofErr w:type="spellStart"/>
      <w:r w:rsidRPr="00A90EF8">
        <w:rPr>
          <w:rFonts w:eastAsia="Times New Roman" w:cs="Arial"/>
          <w:b/>
        </w:rPr>
        <w:t>Ancoats</w:t>
      </w:r>
      <w:proofErr w:type="spellEnd"/>
      <w:r w:rsidRPr="00A90EF8">
        <w:rPr>
          <w:rFonts w:eastAsia="Times New Roman" w:cs="Arial"/>
          <w:b/>
        </w:rPr>
        <w:t>, England</w:t>
      </w:r>
      <w:r w:rsidRPr="00A90EF8">
        <w:rPr>
          <w:rFonts w:eastAsia="Times New Roman" w:cs="Arial"/>
        </w:rPr>
        <w:t xml:space="preserve"> (Informed Conservation Series</w:t>
      </w:r>
      <w:r w:rsidR="00FF1602">
        <w:rPr>
          <w:rFonts w:eastAsia="Times New Roman" w:cs="Arial"/>
        </w:rPr>
        <w:t xml:space="preserve">), Historic England, Swindon.   </w:t>
      </w:r>
      <w:r w:rsidRPr="00A90EF8">
        <w:rPr>
          <w:rFonts w:eastAsia="Times New Roman" w:cs="Arial"/>
        </w:rPr>
        <w:t>This book raises awareness of the wide range and varied character of the historic mills, buildings and canals which constitute the Ancoats district of Manchester. It outlines how the area and its community have evolved over th</w:t>
      </w:r>
      <w:r w:rsidR="00FF1602">
        <w:rPr>
          <w:rFonts w:eastAsia="Times New Roman" w:cs="Arial"/>
        </w:rPr>
        <w:t>e last two and a half centuries</w:t>
      </w:r>
      <w:r w:rsidRPr="00A90EF8">
        <w:rPr>
          <w:rFonts w:eastAsia="Times New Roman" w:cs="Arial"/>
        </w:rPr>
        <w:t>.</w:t>
      </w:r>
    </w:p>
    <w:p w:rsidR="009A5991" w:rsidRDefault="00A90EF8" w:rsidP="009A5991">
      <w:pPr>
        <w:rPr>
          <w:rFonts w:eastAsia="Times New Roman" w:cs="Arial"/>
        </w:rPr>
      </w:pPr>
      <w:r w:rsidRPr="00A90EF8">
        <w:rPr>
          <w:rFonts w:eastAsia="Times New Roman" w:cs="Arial"/>
          <w:u w:val="single"/>
        </w:rPr>
        <w:t>Case Study of a “new town” largely created by a single industry</w:t>
      </w:r>
      <w:r w:rsidRPr="00A90EF8">
        <w:rPr>
          <w:rFonts w:eastAsia="Times New Roman" w:cs="Arial"/>
        </w:rPr>
        <w:t xml:space="preserve"> – see </w:t>
      </w:r>
      <w:proofErr w:type="spellStart"/>
      <w:r w:rsidR="00CD4E2C">
        <w:rPr>
          <w:rFonts w:eastAsia="Times New Roman" w:cs="Arial"/>
        </w:rPr>
        <w:t>Minnis</w:t>
      </w:r>
      <w:proofErr w:type="spellEnd"/>
      <w:r w:rsidR="00CD4E2C">
        <w:rPr>
          <w:rFonts w:eastAsia="Times New Roman" w:cs="Arial"/>
        </w:rPr>
        <w:t xml:space="preserve">, J. </w:t>
      </w:r>
      <w:r w:rsidR="00CD4E2C" w:rsidRPr="00CD4E2C">
        <w:rPr>
          <w:rFonts w:eastAsia="Times New Roman" w:cs="Arial"/>
          <w:i/>
        </w:rPr>
        <w:t>et al</w:t>
      </w:r>
      <w:r w:rsidR="00CD4E2C" w:rsidRPr="00A90EF8">
        <w:rPr>
          <w:rFonts w:eastAsia="Times New Roman" w:cs="Arial"/>
        </w:rPr>
        <w:t xml:space="preserve"> </w:t>
      </w:r>
      <w:r w:rsidRPr="00A90EF8">
        <w:rPr>
          <w:rFonts w:eastAsia="Times New Roman" w:cs="Arial"/>
        </w:rPr>
        <w:t xml:space="preserve">2007 </w:t>
      </w:r>
      <w:proofErr w:type="spellStart"/>
      <w:r w:rsidRPr="00A90EF8">
        <w:rPr>
          <w:rFonts w:eastAsia="Times New Roman" w:cs="Arial"/>
          <w:b/>
        </w:rPr>
        <w:t>Stourport</w:t>
      </w:r>
      <w:proofErr w:type="spellEnd"/>
      <w:r w:rsidRPr="00A90EF8">
        <w:rPr>
          <w:rFonts w:eastAsia="Times New Roman" w:cs="Arial"/>
          <w:b/>
        </w:rPr>
        <w:t>-on-Severn</w:t>
      </w:r>
      <w:r w:rsidRPr="00A90EF8">
        <w:t xml:space="preserve"> </w:t>
      </w:r>
      <w:r w:rsidRPr="00A90EF8">
        <w:rPr>
          <w:rFonts w:eastAsia="Times New Roman" w:cs="Arial"/>
        </w:rPr>
        <w:t>(Informed Conservation Serie</w:t>
      </w:r>
      <w:r w:rsidR="00FF1602">
        <w:rPr>
          <w:rFonts w:eastAsia="Times New Roman" w:cs="Arial"/>
        </w:rPr>
        <w:t xml:space="preserve">s), Historic England, Swindon.   </w:t>
      </w:r>
      <w:r w:rsidR="00CD4E2C">
        <w:rPr>
          <w:rFonts w:eastAsia="Times New Roman" w:cs="Arial"/>
        </w:rPr>
        <w:t xml:space="preserve">The development of </w:t>
      </w:r>
      <w:proofErr w:type="spellStart"/>
      <w:r w:rsidRPr="00A90EF8">
        <w:rPr>
          <w:rFonts w:eastAsia="Times New Roman" w:cs="Arial"/>
        </w:rPr>
        <w:t>Stourport</w:t>
      </w:r>
      <w:proofErr w:type="spellEnd"/>
      <w:r w:rsidR="00CD4E2C">
        <w:rPr>
          <w:rFonts w:eastAsia="Times New Roman" w:cs="Arial"/>
        </w:rPr>
        <w:t xml:space="preserve"> </w:t>
      </w:r>
      <w:r w:rsidR="00C61074">
        <w:rPr>
          <w:rFonts w:eastAsia="Times New Roman" w:cs="Arial"/>
        </w:rPr>
        <w:t xml:space="preserve">is largely owed </w:t>
      </w:r>
      <w:r w:rsidR="00CD4E2C">
        <w:rPr>
          <w:rFonts w:eastAsia="Times New Roman" w:cs="Arial"/>
        </w:rPr>
        <w:t>to it</w:t>
      </w:r>
      <w:r w:rsidR="00C61074">
        <w:rPr>
          <w:rFonts w:eastAsia="Times New Roman" w:cs="Arial"/>
        </w:rPr>
        <w:t>s</w:t>
      </w:r>
      <w:r w:rsidR="00CD4E2C">
        <w:rPr>
          <w:rFonts w:eastAsia="Times New Roman" w:cs="Arial"/>
        </w:rPr>
        <w:t xml:space="preserve"> location at the Junction of the Staffordshire &amp; Worcester Canal and the navigable River Seven.  Today it is the canal </w:t>
      </w:r>
      <w:r w:rsidRPr="00A90EF8">
        <w:rPr>
          <w:rFonts w:eastAsia="Times New Roman" w:cs="Arial"/>
        </w:rPr>
        <w:t>infrastructu</w:t>
      </w:r>
      <w:r w:rsidR="00CD4E2C">
        <w:rPr>
          <w:rFonts w:eastAsia="Times New Roman" w:cs="Arial"/>
        </w:rPr>
        <w:t>re which defines its character and “sense of place”</w:t>
      </w:r>
      <w:r w:rsidR="009A5991">
        <w:rPr>
          <w:rFonts w:eastAsia="Times New Roman" w:cs="Arial"/>
        </w:rPr>
        <w:t xml:space="preserve">.  The ongoing regeneration of </w:t>
      </w:r>
      <w:proofErr w:type="spellStart"/>
      <w:r w:rsidR="009A5991">
        <w:rPr>
          <w:rFonts w:eastAsia="Times New Roman" w:cs="Arial"/>
        </w:rPr>
        <w:t>Stourport</w:t>
      </w:r>
      <w:proofErr w:type="spellEnd"/>
      <w:r w:rsidR="009A5991">
        <w:rPr>
          <w:rFonts w:eastAsia="Times New Roman" w:cs="Arial"/>
        </w:rPr>
        <w:t xml:space="preserve"> depends upon the </w:t>
      </w:r>
      <w:r w:rsidR="009A5991" w:rsidRPr="00A90EF8">
        <w:rPr>
          <w:rFonts w:eastAsia="Times New Roman" w:cs="Arial"/>
        </w:rPr>
        <w:t>protection</w:t>
      </w:r>
      <w:r w:rsidR="009A5991">
        <w:rPr>
          <w:rFonts w:eastAsia="Times New Roman" w:cs="Arial"/>
        </w:rPr>
        <w:t xml:space="preserve"> and presentation of </w:t>
      </w:r>
      <w:r w:rsidR="009A5991" w:rsidRPr="00A90EF8">
        <w:rPr>
          <w:rFonts w:eastAsia="Times New Roman" w:cs="Arial"/>
        </w:rPr>
        <w:t xml:space="preserve">its historic environment </w:t>
      </w:r>
      <w:r w:rsidR="009A5991">
        <w:rPr>
          <w:rFonts w:eastAsia="Times New Roman" w:cs="Arial"/>
        </w:rPr>
        <w:t>and its unique qualities.</w:t>
      </w:r>
    </w:p>
    <w:p w:rsidR="00A90EF8" w:rsidRPr="009A5991" w:rsidRDefault="00FF1602" w:rsidP="00C61074">
      <w:pPr>
        <w:spacing w:before="240"/>
        <w:rPr>
          <w:rFonts w:eastAsia="Times New Roman" w:cs="Arial"/>
        </w:rPr>
      </w:pPr>
      <w:r w:rsidRPr="00A90EF8">
        <w:rPr>
          <w:rFonts w:eastAsia="Times New Roman" w:cs="Arial"/>
          <w:b/>
          <w:sz w:val="24"/>
        </w:rPr>
        <w:t xml:space="preserve">Mediaeval </w:t>
      </w:r>
      <w:r>
        <w:rPr>
          <w:rFonts w:eastAsia="Times New Roman" w:cs="Arial"/>
          <w:b/>
          <w:sz w:val="24"/>
        </w:rPr>
        <w:t xml:space="preserve">to </w:t>
      </w:r>
      <w:r w:rsidR="00A90EF8" w:rsidRPr="00A90EF8">
        <w:rPr>
          <w:rFonts w:eastAsia="Times New Roman" w:cs="Arial"/>
          <w:b/>
          <w:sz w:val="24"/>
        </w:rPr>
        <w:t xml:space="preserve">Post Mediaeval </w:t>
      </w:r>
    </w:p>
    <w:p w:rsidR="00FF1602" w:rsidRPr="00A90EF8" w:rsidRDefault="00FF1602" w:rsidP="009A5991">
      <w:pPr>
        <w:spacing w:after="60"/>
        <w:rPr>
          <w:rFonts w:eastAsia="Times New Roman" w:cs="Arial"/>
        </w:rPr>
      </w:pPr>
      <w:r w:rsidRPr="00A90EF8">
        <w:rPr>
          <w:rFonts w:eastAsia="Times New Roman" w:cs="Arial"/>
        </w:rPr>
        <w:t>“Urban Vernacular: Medieval” pages 174-175 In Brunskill, R.W.2000.</w:t>
      </w:r>
    </w:p>
    <w:p w:rsidR="00A90EF8" w:rsidRPr="00A90EF8" w:rsidRDefault="00A90EF8" w:rsidP="009A5991">
      <w:pPr>
        <w:spacing w:after="60"/>
        <w:rPr>
          <w:rFonts w:eastAsia="Times New Roman" w:cs="Arial"/>
        </w:rPr>
      </w:pPr>
      <w:r w:rsidRPr="00A90EF8">
        <w:rPr>
          <w:rFonts w:eastAsia="Times New Roman" w:cs="Arial"/>
        </w:rPr>
        <w:t>“Urban Vernacular: 16</w:t>
      </w:r>
      <w:r w:rsidRPr="00A90EF8">
        <w:rPr>
          <w:rFonts w:eastAsia="Times New Roman" w:cs="Arial"/>
          <w:vertAlign w:val="superscript"/>
        </w:rPr>
        <w:t>th</w:t>
      </w:r>
      <w:r w:rsidRPr="00A90EF8">
        <w:rPr>
          <w:rFonts w:eastAsia="Times New Roman" w:cs="Arial"/>
        </w:rPr>
        <w:t xml:space="preserve"> and 17</w:t>
      </w:r>
      <w:r w:rsidRPr="00A90EF8">
        <w:rPr>
          <w:rFonts w:eastAsia="Times New Roman" w:cs="Arial"/>
          <w:vertAlign w:val="superscript"/>
        </w:rPr>
        <w:t>th</w:t>
      </w:r>
      <w:r w:rsidRPr="00A90EF8">
        <w:rPr>
          <w:rFonts w:eastAsia="Times New Roman" w:cs="Arial"/>
        </w:rPr>
        <w:t xml:space="preserve"> Centuries” pages 176-177 In Brunskill, R.W.2000.</w:t>
      </w:r>
    </w:p>
    <w:p w:rsidR="00A90EF8" w:rsidRPr="00A90EF8" w:rsidRDefault="00A90EF8" w:rsidP="00A90EF8">
      <w:pPr>
        <w:rPr>
          <w:rFonts w:eastAsia="Times New Roman" w:cs="Arial"/>
        </w:rPr>
      </w:pPr>
      <w:r w:rsidRPr="00A90EF8">
        <w:rPr>
          <w:rFonts w:eastAsia="Times New Roman" w:cs="Arial"/>
        </w:rPr>
        <w:t>“Urban Vernacular: 18</w:t>
      </w:r>
      <w:r w:rsidRPr="00A90EF8">
        <w:rPr>
          <w:rFonts w:eastAsia="Times New Roman" w:cs="Arial"/>
          <w:vertAlign w:val="superscript"/>
        </w:rPr>
        <w:t>th</w:t>
      </w:r>
      <w:r w:rsidRPr="00A90EF8">
        <w:rPr>
          <w:rFonts w:eastAsia="Times New Roman" w:cs="Arial"/>
        </w:rPr>
        <w:t xml:space="preserve"> and 19</w:t>
      </w:r>
      <w:r w:rsidRPr="00A90EF8">
        <w:rPr>
          <w:rFonts w:eastAsia="Times New Roman" w:cs="Arial"/>
          <w:vertAlign w:val="superscript"/>
        </w:rPr>
        <w:t>th</w:t>
      </w:r>
      <w:r w:rsidRPr="00A90EF8">
        <w:rPr>
          <w:rFonts w:eastAsia="Times New Roman" w:cs="Arial"/>
        </w:rPr>
        <w:t xml:space="preserve"> Centuries” pages 178-179 In Brunskill, R.W.2000.</w:t>
      </w:r>
    </w:p>
    <w:p w:rsidR="00FF1602" w:rsidRPr="00A90EF8" w:rsidRDefault="00FF1602" w:rsidP="00FF1602">
      <w:pPr>
        <w:spacing w:before="240"/>
        <w:rPr>
          <w:rFonts w:eastAsia="Times New Roman" w:cs="Arial"/>
          <w:b/>
          <w:sz w:val="24"/>
        </w:rPr>
      </w:pPr>
      <w:r w:rsidRPr="00A90EF8">
        <w:rPr>
          <w:rFonts w:eastAsia="Times New Roman" w:cs="Arial"/>
          <w:b/>
          <w:sz w:val="24"/>
        </w:rPr>
        <w:lastRenderedPageBreak/>
        <w:t xml:space="preserve">Rural Vernacular </w:t>
      </w:r>
    </w:p>
    <w:p w:rsidR="00C61074" w:rsidRPr="00A90EF8" w:rsidRDefault="00C61074" w:rsidP="00C61074">
      <w:r w:rsidRPr="00A90EF8">
        <w:t xml:space="preserve">Blundell, C.  </w:t>
      </w:r>
      <w:proofErr w:type="gramStart"/>
      <w:r w:rsidRPr="00A90EF8">
        <w:t>2007  Precious</w:t>
      </w:r>
      <w:proofErr w:type="gramEnd"/>
      <w:r w:rsidRPr="00A90EF8">
        <w:t xml:space="preserve"> Inheritance: The Conservation of Welsh Vernacular Buildings</w:t>
      </w:r>
      <w:r>
        <w:t>.</w:t>
      </w:r>
      <w:r w:rsidRPr="00A90EF8">
        <w:t xml:space="preserve"> Quinto Press Limited</w:t>
      </w:r>
    </w:p>
    <w:p w:rsidR="00FF1602" w:rsidRDefault="00FF1602" w:rsidP="00FF1602">
      <w:proofErr w:type="spellStart"/>
      <w:r w:rsidRPr="00A90EF8">
        <w:t>Brunskill</w:t>
      </w:r>
      <w:proofErr w:type="spellEnd"/>
      <w:r w:rsidRPr="00A90EF8">
        <w:t xml:space="preserve">, R.W.  </w:t>
      </w:r>
      <w:r w:rsidRPr="00A90EF8">
        <w:tab/>
        <w:t>2007 (4</w:t>
      </w:r>
      <w:r w:rsidRPr="00A90EF8">
        <w:rPr>
          <w:vertAlign w:val="superscript"/>
        </w:rPr>
        <w:t>th</w:t>
      </w:r>
      <w:r w:rsidRPr="00A90EF8">
        <w:t xml:space="preserve"> Edition).  </w:t>
      </w:r>
      <w:r w:rsidRPr="00A90EF8">
        <w:rPr>
          <w:u w:val="single"/>
        </w:rPr>
        <w:t>Traditional Farm Buildings of Britain and their Conservation</w:t>
      </w:r>
      <w:r w:rsidRPr="00A90EF8">
        <w:t>.  Yale University Press, New Haven and London.</w:t>
      </w:r>
    </w:p>
    <w:p w:rsidR="00C61074" w:rsidRPr="00A90EF8" w:rsidRDefault="00C61074" w:rsidP="00C61074">
      <w:proofErr w:type="spellStart"/>
      <w:r w:rsidRPr="00A90EF8">
        <w:t>Wiliam</w:t>
      </w:r>
      <w:proofErr w:type="spellEnd"/>
      <w:r w:rsidRPr="00A90EF8">
        <w:t xml:space="preserve">, E.  1982 </w:t>
      </w:r>
      <w:r w:rsidRPr="00D93E8B">
        <w:rPr>
          <w:u w:val="single"/>
        </w:rPr>
        <w:t>Traditional</w:t>
      </w:r>
      <w:r w:rsidRPr="00A90EF8">
        <w:rPr>
          <w:u w:val="single"/>
        </w:rPr>
        <w:t xml:space="preserve"> Farm Buildings in North-East Wales 1550-1900</w:t>
      </w:r>
      <w:r w:rsidRPr="00A90EF8">
        <w:t>.  National Museum Wales, Cardiff.</w:t>
      </w:r>
    </w:p>
    <w:p w:rsidR="00A90EF8" w:rsidRPr="00A90EF8" w:rsidRDefault="00A90EF8" w:rsidP="00FF1602">
      <w:pPr>
        <w:spacing w:before="240"/>
        <w:rPr>
          <w:rFonts w:eastAsia="Times New Roman" w:cs="Arial"/>
          <w:b/>
          <w:sz w:val="24"/>
        </w:rPr>
      </w:pPr>
      <w:r w:rsidRPr="00A90EF8">
        <w:rPr>
          <w:rFonts w:eastAsia="Times New Roman" w:cs="Arial"/>
          <w:b/>
          <w:sz w:val="24"/>
        </w:rPr>
        <w:t>Industrial Buildings and Structures</w:t>
      </w:r>
    </w:p>
    <w:p w:rsidR="00A90EF8" w:rsidRPr="00A90EF8" w:rsidRDefault="00A90EF8" w:rsidP="00A90EF8">
      <w:pPr>
        <w:rPr>
          <w:rFonts w:eastAsia="Times New Roman" w:cs="Arial"/>
        </w:rPr>
      </w:pPr>
      <w:r w:rsidRPr="00A90EF8">
        <w:rPr>
          <w:rFonts w:eastAsia="Times New Roman" w:cs="Arial"/>
          <w:u w:val="single"/>
        </w:rPr>
        <w:t>Case Study of a Single Class of Industrial Building</w:t>
      </w:r>
      <w:r w:rsidRPr="00A90EF8">
        <w:rPr>
          <w:rFonts w:eastAsia="Times New Roman" w:cs="Arial"/>
        </w:rPr>
        <w:t xml:space="preserve"> – see </w:t>
      </w:r>
      <w:proofErr w:type="spellStart"/>
      <w:r w:rsidR="00CD4E2C">
        <w:rPr>
          <w:rFonts w:eastAsia="Times New Roman" w:cs="Arial"/>
        </w:rPr>
        <w:t>Minnis</w:t>
      </w:r>
      <w:proofErr w:type="spellEnd"/>
      <w:r w:rsidR="00CD4E2C">
        <w:rPr>
          <w:rFonts w:eastAsia="Times New Roman" w:cs="Arial"/>
        </w:rPr>
        <w:t>, J. &amp; Hickman, S.</w:t>
      </w:r>
      <w:r w:rsidRPr="00A90EF8">
        <w:rPr>
          <w:rFonts w:eastAsia="Times New Roman" w:cs="Arial"/>
        </w:rPr>
        <w:t xml:space="preserve"> 2016 </w:t>
      </w:r>
      <w:r w:rsidRPr="00A90EF8">
        <w:rPr>
          <w:rFonts w:eastAsia="Times New Roman" w:cs="Arial"/>
          <w:b/>
        </w:rPr>
        <w:t>The Railway Goods Shed and Warehouse in England</w:t>
      </w:r>
      <w:r w:rsidRPr="00A90EF8">
        <w:rPr>
          <w:rFonts w:eastAsia="Times New Roman" w:cs="Arial"/>
        </w:rPr>
        <w:t xml:space="preserve"> (Informed Conservation Series), Historic England, Swindon.  An overview and introduction to railway goods sheds and warehouses in England with a comprehensive gazetteer</w:t>
      </w:r>
      <w:r w:rsidR="00FF1602">
        <w:rPr>
          <w:rFonts w:eastAsia="Times New Roman" w:cs="Arial"/>
        </w:rPr>
        <w:t xml:space="preserve"> – it gives some idea as to what a thematic, not geographic, study can uncover</w:t>
      </w:r>
      <w:r w:rsidRPr="00A90EF8">
        <w:rPr>
          <w:rFonts w:eastAsia="Times New Roman" w:cs="Arial"/>
        </w:rPr>
        <w:t>]</w:t>
      </w:r>
    </w:p>
    <w:p w:rsidR="00FF1602" w:rsidRDefault="00A90EF8" w:rsidP="00A90EF8">
      <w:pPr>
        <w:rPr>
          <w:rFonts w:eastAsia="Times New Roman" w:cs="Arial"/>
        </w:rPr>
      </w:pPr>
      <w:r w:rsidRPr="00A90EF8">
        <w:rPr>
          <w:rFonts w:eastAsia="Times New Roman" w:cs="Arial"/>
          <w:u w:val="single"/>
        </w:rPr>
        <w:t>Case Study of a Single Historic Entity</w:t>
      </w:r>
      <w:r w:rsidRPr="00A90EF8">
        <w:rPr>
          <w:rFonts w:eastAsia="Times New Roman" w:cs="Arial"/>
        </w:rPr>
        <w:t xml:space="preserve"> – see </w:t>
      </w:r>
      <w:r w:rsidR="00FF1602" w:rsidRPr="00FF1602">
        <w:rPr>
          <w:rFonts w:eastAsia="Times New Roman" w:cs="Arial"/>
        </w:rPr>
        <w:t>Hughes, S.  1988 (2</w:t>
      </w:r>
      <w:r w:rsidR="00FF1602" w:rsidRPr="00FF1602">
        <w:rPr>
          <w:rFonts w:eastAsia="Times New Roman" w:cs="Arial"/>
          <w:vertAlign w:val="superscript"/>
        </w:rPr>
        <w:t>nd</w:t>
      </w:r>
      <w:r w:rsidR="00FF1602" w:rsidRPr="00FF1602">
        <w:rPr>
          <w:rFonts w:eastAsia="Times New Roman" w:cs="Arial"/>
        </w:rPr>
        <w:t xml:space="preserve"> edition) </w:t>
      </w:r>
      <w:r w:rsidR="00FF1602" w:rsidRPr="00FF1602">
        <w:rPr>
          <w:rFonts w:eastAsia="Times New Roman" w:cs="Arial"/>
          <w:b/>
        </w:rPr>
        <w:t>The Archaeology of the Montgomeryshire Canal (A Guide and Case Study in Waterways Archaeology)</w:t>
      </w:r>
      <w:r w:rsidR="00FF1602">
        <w:rPr>
          <w:rFonts w:eastAsia="Times New Roman" w:cs="Arial"/>
        </w:rPr>
        <w:t>.  RCAHMW, Aberystwyth.  In this pioneering s</w:t>
      </w:r>
      <w:r w:rsidRPr="00A90EF8">
        <w:rPr>
          <w:rFonts w:eastAsia="Times New Roman" w:cs="Arial"/>
        </w:rPr>
        <w:t>tudy of the Montgomery</w:t>
      </w:r>
      <w:r w:rsidR="00FF1602">
        <w:rPr>
          <w:rFonts w:eastAsia="Times New Roman" w:cs="Arial"/>
        </w:rPr>
        <w:t>shire</w:t>
      </w:r>
      <w:r w:rsidRPr="00A90EF8">
        <w:rPr>
          <w:rFonts w:eastAsia="Times New Roman" w:cs="Arial"/>
        </w:rPr>
        <w:t xml:space="preserve"> </w:t>
      </w:r>
      <w:r w:rsidRPr="00FF1602">
        <w:rPr>
          <w:rFonts w:eastAsia="Times New Roman" w:cs="Arial"/>
        </w:rPr>
        <w:t>Canal in the Welsh Borders</w:t>
      </w:r>
      <w:r w:rsidR="00FF1602">
        <w:rPr>
          <w:rFonts w:eastAsia="Times New Roman" w:cs="Arial"/>
        </w:rPr>
        <w:t xml:space="preserve"> Stephen </w:t>
      </w:r>
      <w:r w:rsidR="00FF1602" w:rsidRPr="00A90EF8">
        <w:rPr>
          <w:rFonts w:eastAsia="Times New Roman" w:cs="Arial"/>
        </w:rPr>
        <w:t>Hughes</w:t>
      </w:r>
      <w:r w:rsidR="00FF1602">
        <w:rPr>
          <w:rFonts w:eastAsia="Times New Roman" w:cs="Arial"/>
        </w:rPr>
        <w:t xml:space="preserve"> places a single functional entity into a landscape context and makes sense of the relationship between buildings and structures.  </w:t>
      </w:r>
      <w:r w:rsidRPr="00FF1602">
        <w:rPr>
          <w:rFonts w:eastAsia="Times New Roman" w:cs="Arial"/>
        </w:rPr>
        <w:t xml:space="preserve"> </w:t>
      </w:r>
      <w:r w:rsidR="00FF1602">
        <w:rPr>
          <w:rFonts w:eastAsia="Times New Roman" w:cs="Arial"/>
        </w:rPr>
        <w:t xml:space="preserve">It is also a good example of the integration of survey and documentary sources. </w:t>
      </w:r>
      <w:r w:rsidR="00FF1602" w:rsidRPr="00A90EF8">
        <w:rPr>
          <w:rFonts w:eastAsia="Times New Roman" w:cs="Arial"/>
        </w:rPr>
        <w:t xml:space="preserve">The lessons here </w:t>
      </w:r>
      <w:r w:rsidR="00FF1602">
        <w:rPr>
          <w:rFonts w:eastAsia="Times New Roman" w:cs="Arial"/>
        </w:rPr>
        <w:t>can also be applied to railways</w:t>
      </w:r>
    </w:p>
    <w:p w:rsidR="00A90EF8" w:rsidRPr="00A90EF8" w:rsidRDefault="00A90EF8" w:rsidP="00A90EF8">
      <w:pPr>
        <w:rPr>
          <w:rFonts w:eastAsia="Times New Roman" w:cs="Arial"/>
        </w:rPr>
      </w:pPr>
      <w:r w:rsidRPr="00A90EF8">
        <w:rPr>
          <w:rFonts w:eastAsia="Times New Roman" w:cs="Arial"/>
          <w:u w:val="single"/>
        </w:rPr>
        <w:t xml:space="preserve">Case Study of an Industry and </w:t>
      </w:r>
      <w:r w:rsidR="00CD4E2C">
        <w:rPr>
          <w:rFonts w:eastAsia="Times New Roman" w:cs="Arial"/>
          <w:u w:val="single"/>
        </w:rPr>
        <w:t>its Historic</w:t>
      </w:r>
      <w:r w:rsidRPr="00A90EF8">
        <w:rPr>
          <w:rFonts w:eastAsia="Times New Roman" w:cs="Arial"/>
          <w:u w:val="single"/>
        </w:rPr>
        <w:t xml:space="preserve"> Landscape</w:t>
      </w:r>
      <w:r w:rsidRPr="00A90EF8">
        <w:rPr>
          <w:rFonts w:eastAsia="Times New Roman" w:cs="Arial"/>
        </w:rPr>
        <w:t xml:space="preserve"> – see </w:t>
      </w:r>
      <w:r w:rsidR="00CD4E2C">
        <w:rPr>
          <w:rFonts w:eastAsia="Times New Roman" w:cs="Arial"/>
        </w:rPr>
        <w:t xml:space="preserve">Hughes, S.  2000 </w:t>
      </w:r>
      <w:r w:rsidRPr="00CD4E2C">
        <w:rPr>
          <w:rFonts w:eastAsia="Times New Roman" w:cs="Arial"/>
          <w:b/>
        </w:rPr>
        <w:t>Copperopolis</w:t>
      </w:r>
      <w:r w:rsidR="00CD4E2C" w:rsidRPr="00CD4E2C">
        <w:rPr>
          <w:rFonts w:eastAsia="Times New Roman" w:cs="Arial"/>
          <w:b/>
        </w:rPr>
        <w:t>: Landscapes of the Early Industrial Period in Swansea</w:t>
      </w:r>
      <w:r w:rsidR="00CD4E2C">
        <w:rPr>
          <w:rFonts w:eastAsia="Times New Roman" w:cs="Arial"/>
        </w:rPr>
        <w:t xml:space="preserve">.  RCAHMW, Aberystwyth.   This significant work is one of the best explorations of the built environment – placing buildings and structures in their economic and social context.  </w:t>
      </w:r>
    </w:p>
    <w:p w:rsidR="002C2117" w:rsidRPr="00A90EF8" w:rsidRDefault="00A90EF8" w:rsidP="00A90EF8">
      <w:r w:rsidRPr="00A90EF8">
        <w:rPr>
          <w:u w:val="single"/>
        </w:rPr>
        <w:t>General Background Reading for this Section</w:t>
      </w:r>
      <w:r w:rsidRPr="00A90EF8">
        <w:t xml:space="preserve"> (in addition to a selection of the above)</w:t>
      </w:r>
    </w:p>
    <w:p w:rsidR="00D21571" w:rsidRPr="00A90EF8" w:rsidRDefault="00D21571" w:rsidP="00D21571">
      <w:proofErr w:type="spellStart"/>
      <w:r w:rsidRPr="00A90EF8">
        <w:t>Pendlebury</w:t>
      </w:r>
      <w:proofErr w:type="spellEnd"/>
      <w:r w:rsidRPr="00A90EF8">
        <w:t xml:space="preserve">, J., 1999. The conservation of historic areas in the UK: A case study of “Grainger Town”, Newcastle upon Tyne. </w:t>
      </w:r>
      <w:r w:rsidRPr="00D21571">
        <w:rPr>
          <w:u w:val="single"/>
        </w:rPr>
        <w:t>Cities</w:t>
      </w:r>
      <w:r w:rsidRPr="00A90EF8">
        <w:t>, 16(6), pp.423-433.</w:t>
      </w:r>
    </w:p>
    <w:p w:rsidR="00D21571" w:rsidRPr="00A90EF8" w:rsidRDefault="00D21571" w:rsidP="00D21571">
      <w:r w:rsidRPr="00A90EF8">
        <w:t xml:space="preserve">Tweed, C. &amp; Sutherland, M. 2007 Built Cultural Heritage and Sustainable Urban Development.  </w:t>
      </w:r>
      <w:r w:rsidRPr="00D21571">
        <w:rPr>
          <w:u w:val="single"/>
        </w:rPr>
        <w:t>Landscape and Urban Planning</w:t>
      </w:r>
      <w:r w:rsidRPr="00A90EF8">
        <w:t xml:space="preserve"> 83 (1), p62-69.</w:t>
      </w:r>
    </w:p>
    <w:p w:rsidR="00B50D51" w:rsidRPr="000A7A1E" w:rsidRDefault="002C2117" w:rsidP="008B023C">
      <w:pPr>
        <w:spacing w:before="480" w:after="240"/>
        <w:rPr>
          <w:b/>
          <w:sz w:val="28"/>
        </w:rPr>
      </w:pPr>
      <w:r w:rsidRPr="000A7A1E">
        <w:rPr>
          <w:b/>
          <w:sz w:val="28"/>
        </w:rPr>
        <w:t xml:space="preserve">Part </w:t>
      </w:r>
      <w:r w:rsidR="008D7067" w:rsidRPr="000A7A1E">
        <w:rPr>
          <w:b/>
          <w:sz w:val="28"/>
        </w:rPr>
        <w:t>Five:</w:t>
      </w:r>
      <w:r w:rsidRPr="000A7A1E">
        <w:rPr>
          <w:b/>
          <w:sz w:val="28"/>
        </w:rPr>
        <w:t xml:space="preserve">  </w:t>
      </w:r>
      <w:r w:rsidR="00B50D51" w:rsidRPr="000A7A1E">
        <w:rPr>
          <w:b/>
          <w:sz w:val="28"/>
        </w:rPr>
        <w:t>Assessment: Investigating Historic Buildings and Structures</w:t>
      </w:r>
    </w:p>
    <w:p w:rsidR="00466463" w:rsidRPr="004B3CD6" w:rsidRDefault="00466463" w:rsidP="00466463">
      <w:pPr>
        <w:spacing w:after="240"/>
        <w:rPr>
          <w:i/>
          <w:sz w:val="24"/>
        </w:rPr>
      </w:pPr>
      <w:r>
        <w:rPr>
          <w:i/>
          <w:sz w:val="24"/>
        </w:rPr>
        <w:t xml:space="preserve">The </w:t>
      </w:r>
      <w:r w:rsidRPr="004B3CD6">
        <w:rPr>
          <w:i/>
          <w:sz w:val="24"/>
        </w:rPr>
        <w:t>Assessment</w:t>
      </w:r>
      <w:r>
        <w:rPr>
          <w:i/>
          <w:sz w:val="24"/>
        </w:rPr>
        <w:t xml:space="preserve"> of</w:t>
      </w:r>
      <w:r w:rsidRPr="00466463">
        <w:rPr>
          <w:i/>
          <w:sz w:val="24"/>
        </w:rPr>
        <w:t xml:space="preserve"> </w:t>
      </w:r>
      <w:r w:rsidRPr="004B3CD6">
        <w:rPr>
          <w:i/>
          <w:sz w:val="24"/>
        </w:rPr>
        <w:t xml:space="preserve">historic buildings and structures: </w:t>
      </w:r>
      <w:r>
        <w:rPr>
          <w:i/>
          <w:sz w:val="24"/>
        </w:rPr>
        <w:t>R</w:t>
      </w:r>
      <w:r w:rsidRPr="004B3CD6">
        <w:rPr>
          <w:i/>
          <w:sz w:val="24"/>
        </w:rPr>
        <w:t>esearch, investigati</w:t>
      </w:r>
      <w:r>
        <w:rPr>
          <w:i/>
          <w:sz w:val="24"/>
        </w:rPr>
        <w:t>o</w:t>
      </w:r>
      <w:r w:rsidRPr="004B3CD6">
        <w:rPr>
          <w:i/>
          <w:sz w:val="24"/>
        </w:rPr>
        <w:t xml:space="preserve">n and recording.   </w:t>
      </w:r>
    </w:p>
    <w:p w:rsidR="00B50D51" w:rsidRDefault="0068189A" w:rsidP="00A90EF8">
      <w:r>
        <w:t xml:space="preserve">This Part is about </w:t>
      </w:r>
      <w:r w:rsidR="007D097E">
        <w:t>“</w:t>
      </w:r>
      <w:r w:rsidR="00B50D51">
        <w:t>Understanding the origins, evolution and associations of a building or place in its contexts (both spatial and temporal), including current use and management</w:t>
      </w:r>
      <w:r w:rsidR="007D097E">
        <w:t>”</w:t>
      </w:r>
      <w:r w:rsidR="007D097E" w:rsidRPr="007D097E">
        <w:t xml:space="preserve"> </w:t>
      </w:r>
      <w:r w:rsidR="007D097E">
        <w:t xml:space="preserve">(McCaig </w:t>
      </w:r>
      <w:r w:rsidR="007D097E" w:rsidRPr="007D097E">
        <w:rPr>
          <w:i/>
        </w:rPr>
        <w:t>et al</w:t>
      </w:r>
      <w:r w:rsidR="007D097E">
        <w:t xml:space="preserve"> 2013).</w:t>
      </w:r>
      <w:r w:rsidR="00466463">
        <w:t xml:space="preserve"> </w:t>
      </w:r>
      <w:r w:rsidR="004B3CD6">
        <w:t xml:space="preserve"> It focuses on </w:t>
      </w:r>
      <w:r w:rsidR="00B50D51">
        <w:t>methods available to investigate an historic building, structure or place.</w:t>
      </w:r>
    </w:p>
    <w:p w:rsidR="0068189A" w:rsidRDefault="00466463" w:rsidP="00B50D51">
      <w:r>
        <w:t xml:space="preserve">As is set out in McCaig </w:t>
      </w:r>
      <w:r w:rsidR="001A4B53">
        <w:t xml:space="preserve">(2013) </w:t>
      </w:r>
      <w:r>
        <w:t xml:space="preserve">there are many tool available to understand a building in its context.  The key is to match the tools to the requirements of both the building and the purpose of the survey (cf. Watts 2015).  Many formerly “high tech” tools such laser scanning to penetrative radar are becoming more widely available and have their place, however the most useful starting point remains the measured and annotated sketch – the action of making the record requires an undisturbed focus on the building which encourages the proper observation of its key characteristics.   This does not mean that a </w:t>
      </w:r>
      <w:r>
        <w:lastRenderedPageBreak/>
        <w:t xml:space="preserve">photographic record should also not be made simply that the measured sketch forced you to </w:t>
      </w:r>
      <w:r w:rsidRPr="00466463">
        <w:rPr>
          <w:i/>
        </w:rPr>
        <w:t>observe</w:t>
      </w:r>
      <w:r>
        <w:t xml:space="preserve"> not simply </w:t>
      </w:r>
      <w:r w:rsidRPr="00466463">
        <w:rPr>
          <w:i/>
        </w:rPr>
        <w:t>look</w:t>
      </w:r>
      <w:r>
        <w:t xml:space="preserve">. </w:t>
      </w:r>
    </w:p>
    <w:p w:rsidR="00466463" w:rsidRDefault="00466463" w:rsidP="00B50D51">
      <w:r w:rsidRPr="00466463">
        <w:t>The participants</w:t>
      </w:r>
      <w:r>
        <w:t xml:space="preserve"> </w:t>
      </w:r>
      <w:r w:rsidRPr="00466463">
        <w:t>in</w:t>
      </w:r>
      <w:r>
        <w:t xml:space="preserve"> this module</w:t>
      </w:r>
      <w:r w:rsidRPr="00466463">
        <w:t xml:space="preserve"> are strongly encouraged to undertake a series of measure</w:t>
      </w:r>
      <w:r>
        <w:t>d</w:t>
      </w:r>
      <w:r w:rsidRPr="00466463">
        <w:t xml:space="preserve"> sketches to ensure they understand the</w:t>
      </w:r>
      <w:r>
        <w:t xml:space="preserve"> </w:t>
      </w:r>
      <w:r w:rsidRPr="00466463">
        <w:t>processes involved and the benefits and limitations</w:t>
      </w:r>
      <w:r>
        <w:t xml:space="preserve"> </w:t>
      </w:r>
      <w:r w:rsidR="001A4B53">
        <w:t>o</w:t>
      </w:r>
      <w:r w:rsidR="001A4B53" w:rsidRPr="00466463">
        <w:t>f</w:t>
      </w:r>
      <w:r w:rsidR="001A4B53">
        <w:t xml:space="preserve"> the</w:t>
      </w:r>
      <w:r w:rsidRPr="00466463">
        <w:t xml:space="preserve"> records</w:t>
      </w:r>
      <w:r w:rsidR="001A4B53">
        <w:t xml:space="preserve"> </w:t>
      </w:r>
      <w:r w:rsidR="009F575B">
        <w:t xml:space="preserve">so </w:t>
      </w:r>
      <w:r w:rsidR="009F575B" w:rsidRPr="00466463">
        <w:t>produced</w:t>
      </w:r>
      <w:r w:rsidRPr="00466463">
        <w:t xml:space="preserve">.  </w:t>
      </w:r>
    </w:p>
    <w:p w:rsidR="009A5991" w:rsidRPr="007D097E" w:rsidRDefault="009A5991" w:rsidP="009A5991">
      <w:pPr>
        <w:keepNext/>
        <w:rPr>
          <w:b/>
          <w:color w:val="000000" w:themeColor="text1"/>
          <w:sz w:val="24"/>
        </w:rPr>
      </w:pPr>
      <w:r w:rsidRPr="007D097E">
        <w:rPr>
          <w:b/>
          <w:color w:val="000000" w:themeColor="text1"/>
          <w:sz w:val="24"/>
        </w:rPr>
        <w:t>Note:</w:t>
      </w:r>
    </w:p>
    <w:p w:rsidR="009A5991" w:rsidRDefault="009A5991" w:rsidP="009A5991">
      <w:pPr>
        <w:shd w:val="clear" w:color="auto" w:fill="D9D9D9" w:themeFill="background1" w:themeFillShade="D9"/>
      </w:pPr>
      <w:r>
        <w:t xml:space="preserve">Parts </w:t>
      </w:r>
      <w:proofErr w:type="gramStart"/>
      <w:r>
        <w:t>Five</w:t>
      </w:r>
      <w:proofErr w:type="gramEnd"/>
      <w:r>
        <w:t>, Six &amp; Seven here &amp; below are all closely related and look at h</w:t>
      </w:r>
      <w:r w:rsidRPr="007D097E">
        <w:t xml:space="preserve">ow field and archive research is used to make recommendations for appropriate conservation management strategies for a range historic buildings and structures.  This includes understanding the assessment of significance, the determination of condition and consideration of appropriate interventions and management actions together with their monitoring.  </w:t>
      </w:r>
    </w:p>
    <w:p w:rsidR="001A4B53" w:rsidRPr="00A90EF8" w:rsidRDefault="001A4B53" w:rsidP="008B023C">
      <w:pPr>
        <w:spacing w:before="240"/>
        <w:ind w:left="720" w:hanging="720"/>
        <w:rPr>
          <w:rFonts w:cs="Arial"/>
          <w:color w:val="000000" w:themeColor="text1"/>
        </w:rPr>
      </w:pPr>
      <w:r w:rsidRPr="00A90EF8">
        <w:rPr>
          <w:rFonts w:cs="Arial"/>
          <w:color w:val="000000" w:themeColor="text1"/>
          <w:u w:val="single"/>
        </w:rPr>
        <w:t>Recommended Reading for this Part</w:t>
      </w:r>
    </w:p>
    <w:p w:rsidR="001A4B53" w:rsidRPr="00A90EF8" w:rsidRDefault="001A4B53" w:rsidP="001A4B53">
      <w:proofErr w:type="spellStart"/>
      <w:r w:rsidRPr="00A90EF8">
        <w:t>Brunskill</w:t>
      </w:r>
      <w:proofErr w:type="spellEnd"/>
      <w:r w:rsidRPr="00A90EF8">
        <w:t xml:space="preserve">, R.W.  </w:t>
      </w:r>
      <w:r w:rsidRPr="00A90EF8">
        <w:tab/>
        <w:t>2000 (4</w:t>
      </w:r>
      <w:r w:rsidRPr="00A90EF8">
        <w:rPr>
          <w:vertAlign w:val="superscript"/>
        </w:rPr>
        <w:t>th</w:t>
      </w:r>
      <w:r w:rsidRPr="00A90EF8">
        <w:t xml:space="preserve"> Edition).  </w:t>
      </w:r>
      <w:r w:rsidRPr="00A90EF8">
        <w:rPr>
          <w:u w:val="single"/>
        </w:rPr>
        <w:t>Vernacular Architecture: an Illustrated Handbook</w:t>
      </w:r>
      <w:r w:rsidRPr="00A90EF8">
        <w:t>.  Faber and Faber, London.</w:t>
      </w:r>
      <w:r>
        <w:t xml:space="preserve"> </w:t>
      </w:r>
    </w:p>
    <w:p w:rsidR="001A4B53" w:rsidRPr="00A90EF8" w:rsidRDefault="001A4B53" w:rsidP="001A4B53">
      <w:r w:rsidRPr="00A90EF8">
        <w:t xml:space="preserve">McCaig, I. </w:t>
      </w:r>
      <w:r w:rsidRPr="001A4B53">
        <w:rPr>
          <w:i/>
        </w:rPr>
        <w:t xml:space="preserve">et </w:t>
      </w:r>
      <w:proofErr w:type="gramStart"/>
      <w:r w:rsidRPr="001A4B53">
        <w:rPr>
          <w:i/>
        </w:rPr>
        <w:t>al</w:t>
      </w:r>
      <w:r>
        <w:t xml:space="preserve"> </w:t>
      </w:r>
      <w:r w:rsidRPr="00A90EF8">
        <w:t xml:space="preserve"> </w:t>
      </w:r>
      <w:r>
        <w:t>2013</w:t>
      </w:r>
      <w:proofErr w:type="gramEnd"/>
      <w:r>
        <w:t xml:space="preserve"> “Survey and Investigation Methods”  pages 137 to 201 in </w:t>
      </w:r>
      <w:r w:rsidR="00F1523F">
        <w:t xml:space="preserve">McCaig, I. (ed.) 2013 </w:t>
      </w:r>
      <w:r w:rsidRPr="00A90EF8">
        <w:t xml:space="preserve">.  </w:t>
      </w:r>
    </w:p>
    <w:p w:rsidR="0068189A" w:rsidRPr="00A90EF8" w:rsidRDefault="0068189A" w:rsidP="0068189A">
      <w:r w:rsidRPr="00A90EF8">
        <w:t>Watt, D. 2015 (2</w:t>
      </w:r>
      <w:r w:rsidRPr="00A90EF8">
        <w:rPr>
          <w:vertAlign w:val="superscript"/>
        </w:rPr>
        <w:t>nd</w:t>
      </w:r>
      <w:r w:rsidRPr="00A90EF8">
        <w:t xml:space="preserve"> Edition).  </w:t>
      </w:r>
      <w:r w:rsidRPr="00A90EF8">
        <w:rPr>
          <w:u w:val="single"/>
        </w:rPr>
        <w:t>Surveying Historic Buildings</w:t>
      </w:r>
      <w:r w:rsidRPr="00A90EF8">
        <w:t xml:space="preserve">.  Routledge, Abingdon &amp; New York. </w:t>
      </w:r>
      <w:r w:rsidR="008B023C">
        <w:t xml:space="preserve"> This is a very detailed account – more of a handbook than a light read – a good one for the desk.</w:t>
      </w:r>
    </w:p>
    <w:p w:rsidR="00B50D51" w:rsidRPr="001A4B53" w:rsidRDefault="00B50D51" w:rsidP="00C61074">
      <w:pPr>
        <w:spacing w:before="600" w:after="240"/>
        <w:rPr>
          <w:b/>
          <w:sz w:val="28"/>
        </w:rPr>
      </w:pPr>
      <w:r w:rsidRPr="001A4B53">
        <w:rPr>
          <w:b/>
          <w:sz w:val="28"/>
        </w:rPr>
        <w:t xml:space="preserve">Part Six:  Evaluation of Significance and </w:t>
      </w:r>
      <w:r w:rsidR="0081152E" w:rsidRPr="001A4B53">
        <w:rPr>
          <w:b/>
          <w:sz w:val="28"/>
        </w:rPr>
        <w:t xml:space="preserve">Vulnerability </w:t>
      </w:r>
      <w:r w:rsidRPr="001A4B53">
        <w:rPr>
          <w:b/>
          <w:sz w:val="28"/>
        </w:rPr>
        <w:t xml:space="preserve"> </w:t>
      </w:r>
    </w:p>
    <w:p w:rsidR="00034FF2" w:rsidRPr="008B023C" w:rsidRDefault="00932FB2" w:rsidP="00A90EF8">
      <w:pPr>
        <w:rPr>
          <w:i/>
          <w:sz w:val="24"/>
        </w:rPr>
      </w:pPr>
      <w:r w:rsidRPr="008B023C">
        <w:rPr>
          <w:i/>
          <w:sz w:val="24"/>
        </w:rPr>
        <w:t xml:space="preserve">The </w:t>
      </w:r>
      <w:r w:rsidR="00034FF2" w:rsidRPr="008B023C">
        <w:rPr>
          <w:i/>
          <w:sz w:val="24"/>
        </w:rPr>
        <w:t>evaluation</w:t>
      </w:r>
      <w:r w:rsidRPr="008B023C">
        <w:rPr>
          <w:i/>
          <w:sz w:val="24"/>
        </w:rPr>
        <w:t xml:space="preserve"> of the Heritage Significance of Hist</w:t>
      </w:r>
      <w:r w:rsidR="001A4B53" w:rsidRPr="008B023C">
        <w:rPr>
          <w:i/>
          <w:sz w:val="24"/>
        </w:rPr>
        <w:t>oric Buildings and Structures</w:t>
      </w:r>
      <w:r w:rsidR="00034FF2" w:rsidRPr="008B023C">
        <w:rPr>
          <w:i/>
          <w:sz w:val="24"/>
        </w:rPr>
        <w:t>.</w:t>
      </w:r>
    </w:p>
    <w:p w:rsidR="00932FB2" w:rsidRPr="008B023C" w:rsidRDefault="00034FF2" w:rsidP="008B023C">
      <w:pPr>
        <w:spacing w:after="240"/>
        <w:rPr>
          <w:i/>
          <w:sz w:val="24"/>
        </w:rPr>
      </w:pPr>
      <w:r w:rsidRPr="008B023C">
        <w:rPr>
          <w:i/>
          <w:sz w:val="24"/>
        </w:rPr>
        <w:t xml:space="preserve">The </w:t>
      </w:r>
      <w:r w:rsidR="001A4B53" w:rsidRPr="008B023C">
        <w:rPr>
          <w:i/>
          <w:sz w:val="24"/>
        </w:rPr>
        <w:t xml:space="preserve">potential vulnerability </w:t>
      </w:r>
      <w:r w:rsidRPr="008B023C">
        <w:rPr>
          <w:i/>
          <w:sz w:val="24"/>
        </w:rPr>
        <w:t xml:space="preserve">of Historic Buildings and Structures </w:t>
      </w:r>
      <w:r w:rsidR="001A4B53" w:rsidRPr="008B023C">
        <w:rPr>
          <w:i/>
          <w:sz w:val="24"/>
        </w:rPr>
        <w:t>to threats</w:t>
      </w:r>
      <w:r w:rsidRPr="008B023C">
        <w:rPr>
          <w:i/>
          <w:sz w:val="24"/>
        </w:rPr>
        <w:t xml:space="preserve"> both internally and externally.</w:t>
      </w:r>
      <w:r w:rsidR="001A4B53" w:rsidRPr="008B023C">
        <w:rPr>
          <w:i/>
          <w:sz w:val="24"/>
        </w:rPr>
        <w:t xml:space="preserve"> </w:t>
      </w:r>
    </w:p>
    <w:p w:rsidR="0081152E" w:rsidRDefault="00034FF2" w:rsidP="0081152E">
      <w:r>
        <w:t xml:space="preserve">This part has two themes. The first is </w:t>
      </w:r>
      <w:r w:rsidR="00D21571">
        <w:t>“</w:t>
      </w:r>
      <w:r>
        <w:t>e</w:t>
      </w:r>
      <w:r w:rsidR="00B50D51">
        <w:t>valuating the significance of a building or place, as a whole and in its elements</w:t>
      </w:r>
      <w:r w:rsidR="00D21571">
        <w:t>”</w:t>
      </w:r>
      <w:r w:rsidR="00D21571" w:rsidRPr="00D21571">
        <w:t xml:space="preserve"> </w:t>
      </w:r>
      <w:r w:rsidR="00D21571">
        <w:t xml:space="preserve">(McCaig </w:t>
      </w:r>
      <w:r w:rsidR="00D21571" w:rsidRPr="007D097E">
        <w:rPr>
          <w:i/>
        </w:rPr>
        <w:t>et al</w:t>
      </w:r>
      <w:r w:rsidR="00D21571">
        <w:t xml:space="preserve"> 2013, p.97)</w:t>
      </w:r>
      <w:r>
        <w:t xml:space="preserve"> and the second is “i</w:t>
      </w:r>
      <w:r w:rsidR="0081152E">
        <w:t>dentifying how significance is vulnerable to threats, for example, to decay processes, or simply wear and tear</w:t>
      </w:r>
      <w:r w:rsidR="00D21571">
        <w:t>”</w:t>
      </w:r>
      <w:r w:rsidR="00D21571" w:rsidRPr="00D21571">
        <w:t xml:space="preserve"> (McCaig et al 2013</w:t>
      </w:r>
      <w:r w:rsidR="00D21571">
        <w:t>, p.97</w:t>
      </w:r>
      <w:r w:rsidR="00D21571" w:rsidRPr="00D21571">
        <w:t>)</w:t>
      </w:r>
      <w:r>
        <w:t xml:space="preserve"> and to which we can major redevelopment schemes and similar external pressures!</w:t>
      </w:r>
    </w:p>
    <w:p w:rsidR="00034FF2" w:rsidRPr="008B023C" w:rsidRDefault="00034FF2" w:rsidP="008B023C">
      <w:pPr>
        <w:spacing w:before="240"/>
        <w:rPr>
          <w:u w:val="single"/>
        </w:rPr>
      </w:pPr>
      <w:r w:rsidRPr="008B023C">
        <w:rPr>
          <w:u w:val="single"/>
        </w:rPr>
        <w:t>The evaluation of the Heritage Significance of Historic Buildings and Structures.</w:t>
      </w:r>
    </w:p>
    <w:p w:rsidR="008B023C" w:rsidRDefault="008B023C" w:rsidP="008B023C">
      <w:r>
        <w:t xml:space="preserve">Robertson, M. 2007 Conservation and Authenticity.  Chapter 3 in </w:t>
      </w:r>
      <w:r w:rsidRPr="005E27B7">
        <w:t>Forsyth, M. (ed.) 2007a.</w:t>
      </w:r>
    </w:p>
    <w:p w:rsidR="008B023C" w:rsidRPr="00A90EF8" w:rsidRDefault="008B023C" w:rsidP="008B023C">
      <w:r>
        <w:rPr>
          <w:rFonts w:cs="Arial"/>
          <w:color w:val="000000" w:themeColor="text1"/>
        </w:rPr>
        <w:t xml:space="preserve">Watt, D.  Historic Buildings and Sites.  Chapter 3 in </w:t>
      </w:r>
      <w:r>
        <w:t xml:space="preserve">Watt, D. 2015 (2nd Edition).  </w:t>
      </w:r>
    </w:p>
    <w:p w:rsidR="008B023C" w:rsidRDefault="008B023C" w:rsidP="008B023C">
      <w:r w:rsidRPr="00A90EF8">
        <w:t xml:space="preserve">McCaig, I. </w:t>
      </w:r>
      <w:r w:rsidRPr="001A4B53">
        <w:rPr>
          <w:i/>
        </w:rPr>
        <w:t xml:space="preserve">et </w:t>
      </w:r>
      <w:proofErr w:type="gramStart"/>
      <w:r w:rsidRPr="001A4B53">
        <w:rPr>
          <w:i/>
        </w:rPr>
        <w:t>al</w:t>
      </w:r>
      <w:r>
        <w:t xml:space="preserve"> </w:t>
      </w:r>
      <w:r w:rsidRPr="00A90EF8">
        <w:t xml:space="preserve"> </w:t>
      </w:r>
      <w:r>
        <w:t>2013</w:t>
      </w:r>
      <w:proofErr w:type="gramEnd"/>
      <w:r>
        <w:t xml:space="preserve"> “The Idea of Significance”  pages 91 to 96 in </w:t>
      </w:r>
      <w:r w:rsidRPr="00A90EF8">
        <w:t xml:space="preserve">McCaig, I. (ed.) 2013  </w:t>
      </w:r>
    </w:p>
    <w:p w:rsidR="00034FF2" w:rsidRPr="008B023C" w:rsidRDefault="00034FF2" w:rsidP="008B023C">
      <w:pPr>
        <w:spacing w:before="240"/>
        <w:rPr>
          <w:u w:val="single"/>
        </w:rPr>
      </w:pPr>
      <w:r w:rsidRPr="008B023C">
        <w:rPr>
          <w:u w:val="single"/>
        </w:rPr>
        <w:t>The potential vulnerability of Historic Buildings and Structures to threats both internally and externally.</w:t>
      </w:r>
    </w:p>
    <w:p w:rsidR="008B023C" w:rsidRPr="00A90EF8" w:rsidRDefault="008B023C" w:rsidP="008B023C">
      <w:r w:rsidRPr="00A90EF8">
        <w:t>Watt, D. 2015 (2</w:t>
      </w:r>
      <w:r w:rsidRPr="00A90EF8">
        <w:rPr>
          <w:vertAlign w:val="superscript"/>
        </w:rPr>
        <w:t>nd</w:t>
      </w:r>
      <w:r w:rsidRPr="00A90EF8">
        <w:t xml:space="preserve"> Edition).  </w:t>
      </w:r>
      <w:r w:rsidRPr="00A90EF8">
        <w:rPr>
          <w:u w:val="single"/>
        </w:rPr>
        <w:t>Surveying Historic Buildings</w:t>
      </w:r>
      <w:r w:rsidRPr="00A90EF8">
        <w:t xml:space="preserve">.  Routledge, Abingdon &amp; New York. </w:t>
      </w:r>
      <w:r>
        <w:t xml:space="preserve"> Especially Chapter 1.</w:t>
      </w:r>
    </w:p>
    <w:p w:rsidR="00C61074" w:rsidRDefault="00C61074" w:rsidP="008B023C">
      <w:pPr>
        <w:spacing w:before="480" w:after="240"/>
        <w:rPr>
          <w:b/>
          <w:sz w:val="28"/>
        </w:rPr>
      </w:pPr>
    </w:p>
    <w:p w:rsidR="0081152E" w:rsidRPr="009F575B" w:rsidRDefault="0081152E" w:rsidP="00C61074">
      <w:pPr>
        <w:keepNext/>
        <w:spacing w:before="480" w:after="240"/>
        <w:rPr>
          <w:b/>
          <w:sz w:val="28"/>
        </w:rPr>
      </w:pPr>
      <w:r w:rsidRPr="009F575B">
        <w:rPr>
          <w:b/>
          <w:sz w:val="28"/>
        </w:rPr>
        <w:lastRenderedPageBreak/>
        <w:t xml:space="preserve">Part Seven: </w:t>
      </w:r>
      <w:r w:rsidR="009F575B">
        <w:rPr>
          <w:b/>
          <w:sz w:val="28"/>
        </w:rPr>
        <w:t xml:space="preserve"> </w:t>
      </w:r>
      <w:r w:rsidR="00D93E8B" w:rsidRPr="009F575B">
        <w:rPr>
          <w:b/>
          <w:sz w:val="28"/>
        </w:rPr>
        <w:t xml:space="preserve">Conservation </w:t>
      </w:r>
      <w:r w:rsidRPr="009F575B">
        <w:rPr>
          <w:b/>
          <w:sz w:val="28"/>
        </w:rPr>
        <w:t xml:space="preserve">Management Planning </w:t>
      </w:r>
    </w:p>
    <w:p w:rsidR="00D93E8B" w:rsidRPr="00D93E8B" w:rsidRDefault="00D93E8B" w:rsidP="00D93E8B">
      <w:pPr>
        <w:spacing w:before="240" w:after="240"/>
        <w:rPr>
          <w:i/>
          <w:sz w:val="24"/>
        </w:rPr>
      </w:pPr>
      <w:r w:rsidRPr="00D93E8B">
        <w:rPr>
          <w:i/>
          <w:sz w:val="24"/>
        </w:rPr>
        <w:t>The design of management strategies to protect and conserve heritage significance – Conservation Management Strategies and Conservation Management Plans</w:t>
      </w:r>
    </w:p>
    <w:p w:rsidR="007D097E" w:rsidRDefault="009F575B" w:rsidP="007D097E">
      <w:r>
        <w:t>This part is about “d</w:t>
      </w:r>
      <w:r w:rsidR="007D097E">
        <w:t xml:space="preserve">evising Strategies to safeguard the significance of the building or place (and sometimes recover or reveal it), by minimising harm to heritage values” (McCaig </w:t>
      </w:r>
      <w:r w:rsidR="007D097E" w:rsidRPr="007D097E">
        <w:rPr>
          <w:i/>
        </w:rPr>
        <w:t>et al</w:t>
      </w:r>
      <w:r w:rsidR="007D097E">
        <w:t xml:space="preserve"> 2013</w:t>
      </w:r>
      <w:r w:rsidR="00D21571">
        <w:t>, p.97</w:t>
      </w:r>
      <w:r w:rsidR="007D097E">
        <w:t xml:space="preserve">). </w:t>
      </w:r>
    </w:p>
    <w:p w:rsidR="0081152E" w:rsidRPr="00A90EF8" w:rsidRDefault="009F575B" w:rsidP="0081152E">
      <w:r>
        <w:t xml:space="preserve">In short </w:t>
      </w:r>
      <w:r w:rsidR="0081152E">
        <w:t xml:space="preserve">how the assessment </w:t>
      </w:r>
      <w:r w:rsidR="00F1523F">
        <w:t xml:space="preserve">(through </w:t>
      </w:r>
      <w:r w:rsidR="00F1523F" w:rsidRPr="00A90EF8">
        <w:t>field and archive research</w:t>
      </w:r>
      <w:r w:rsidR="00F1523F">
        <w:t>)</w:t>
      </w:r>
      <w:r w:rsidR="00F1523F" w:rsidRPr="00A90EF8">
        <w:t xml:space="preserve"> </w:t>
      </w:r>
      <w:r w:rsidR="0081152E">
        <w:t xml:space="preserve">and </w:t>
      </w:r>
      <w:r w:rsidR="00F1523F">
        <w:t xml:space="preserve">subsequent </w:t>
      </w:r>
      <w:r w:rsidR="0081152E">
        <w:t xml:space="preserve">evaluation can be used to shape a </w:t>
      </w:r>
      <w:r w:rsidR="0081152E" w:rsidRPr="00A90EF8">
        <w:t>Conservation Management Strateg</w:t>
      </w:r>
      <w:r>
        <w:t>y and then a C</w:t>
      </w:r>
      <w:r w:rsidR="0081152E">
        <w:t>onservation Management P</w:t>
      </w:r>
      <w:r>
        <w:t xml:space="preserve">lan for a given Historic Building, Structure or Place, </w:t>
      </w:r>
    </w:p>
    <w:p w:rsidR="00F1523F" w:rsidRPr="00A90EF8" w:rsidRDefault="00F1523F" w:rsidP="00F1523F">
      <w:r w:rsidRPr="00A90EF8">
        <w:t xml:space="preserve">This includes understanding the consideration of appropriate interventions and management actions together with their monitoring.  </w:t>
      </w:r>
    </w:p>
    <w:p w:rsidR="009F575B" w:rsidRPr="00A90EF8" w:rsidRDefault="009F575B" w:rsidP="008B023C">
      <w:pPr>
        <w:spacing w:before="240"/>
        <w:ind w:left="720" w:hanging="720"/>
        <w:rPr>
          <w:rFonts w:cs="Arial"/>
          <w:color w:val="000000" w:themeColor="text1"/>
        </w:rPr>
      </w:pPr>
      <w:r w:rsidRPr="00A90EF8">
        <w:rPr>
          <w:rFonts w:cs="Arial"/>
          <w:color w:val="000000" w:themeColor="text1"/>
          <w:u w:val="single"/>
        </w:rPr>
        <w:t>Recommended Reading for this Part</w:t>
      </w:r>
    </w:p>
    <w:p w:rsidR="00DE497F" w:rsidRDefault="00DE497F" w:rsidP="009F575B">
      <w:r>
        <w:t xml:space="preserve">The Princes Regeneration Trust 2009 </w:t>
      </w:r>
      <w:r w:rsidRPr="005E27B7">
        <w:rPr>
          <w:u w:val="single"/>
        </w:rPr>
        <w:t>How to: Write Conservation Reports</w:t>
      </w:r>
      <w:r>
        <w:t xml:space="preserve">.  Very good short summary of the entire assessment-evaluation-planning process involved in producing a CMP (HIGHLY RECCOMENDED).  Can be downloaded from:   </w:t>
      </w:r>
    </w:p>
    <w:p w:rsidR="00DE497F" w:rsidRDefault="00A751FA" w:rsidP="009F575B">
      <w:hyperlink r:id="rId6" w:history="1">
        <w:r w:rsidR="00DE497F" w:rsidRPr="00C86E8E">
          <w:rPr>
            <w:rStyle w:val="Hyperlink"/>
          </w:rPr>
          <w:t>http://www.princes-regeneration.org/sites/default/files/files/publication/How%20to%20Write%20Conservation%20Reports.pdf</w:t>
        </w:r>
      </w:hyperlink>
    </w:p>
    <w:p w:rsidR="00DE497F" w:rsidRDefault="00DE497F" w:rsidP="008B023C">
      <w:pPr>
        <w:spacing w:before="240"/>
      </w:pPr>
      <w:r>
        <w:t>In support look at:</w:t>
      </w:r>
    </w:p>
    <w:p w:rsidR="005E27B7" w:rsidRDefault="00DE497F" w:rsidP="00F1523F">
      <w:proofErr w:type="spellStart"/>
      <w:r w:rsidRPr="005E27B7">
        <w:t>Gard’ner</w:t>
      </w:r>
      <w:proofErr w:type="spellEnd"/>
      <w:r w:rsidRPr="005E27B7">
        <w:t xml:space="preserve">, J.M.  2007 </w:t>
      </w:r>
      <w:r w:rsidR="009F575B" w:rsidRPr="005E27B7">
        <w:t xml:space="preserve">Preparing </w:t>
      </w:r>
      <w:r w:rsidRPr="005E27B7">
        <w:t>the</w:t>
      </w:r>
      <w:r w:rsidR="009F575B" w:rsidRPr="005E27B7">
        <w:t xml:space="preserve"> Conservation Plan </w:t>
      </w:r>
      <w:r w:rsidRPr="005E27B7">
        <w:t>Chapter</w:t>
      </w:r>
      <w:r w:rsidR="005E27B7" w:rsidRPr="005E27B7">
        <w:t xml:space="preserve"> 14 </w:t>
      </w:r>
      <w:r w:rsidR="005E27B7" w:rsidRPr="005E27B7">
        <w:rPr>
          <w:rFonts w:cs="Arial"/>
          <w:color w:val="000000" w:themeColor="text1"/>
        </w:rPr>
        <w:t xml:space="preserve">in </w:t>
      </w:r>
      <w:r w:rsidR="005E27B7" w:rsidRPr="005E27B7">
        <w:t>Forsyth, M. (ed.) 2007a.</w:t>
      </w:r>
    </w:p>
    <w:p w:rsidR="00F1523F" w:rsidRPr="00A90EF8" w:rsidRDefault="00F1523F" w:rsidP="00F1523F">
      <w:pPr>
        <w:spacing w:after="240"/>
      </w:pPr>
      <w:r w:rsidRPr="00A90EF8">
        <w:t xml:space="preserve">McCaig, I. </w:t>
      </w:r>
      <w:r w:rsidRPr="001A4B53">
        <w:rPr>
          <w:i/>
        </w:rPr>
        <w:t xml:space="preserve">et </w:t>
      </w:r>
      <w:proofErr w:type="gramStart"/>
      <w:r w:rsidRPr="001A4B53">
        <w:rPr>
          <w:i/>
        </w:rPr>
        <w:t>al</w:t>
      </w:r>
      <w:r>
        <w:t xml:space="preserve"> </w:t>
      </w:r>
      <w:r w:rsidRPr="00A90EF8">
        <w:t xml:space="preserve"> </w:t>
      </w:r>
      <w:r>
        <w:t>2013</w:t>
      </w:r>
      <w:proofErr w:type="gramEnd"/>
      <w:r>
        <w:t xml:space="preserve"> “Conservation Planning”  pages 97 to 116 in </w:t>
      </w:r>
      <w:r w:rsidRPr="00A90EF8">
        <w:t xml:space="preserve">McCaig, I. (ed.) 2013  </w:t>
      </w:r>
    </w:p>
    <w:p w:rsidR="00DE497F" w:rsidRPr="005E27B7" w:rsidRDefault="00DE497F" w:rsidP="009F575B">
      <w:r w:rsidRPr="005E27B7">
        <w:t xml:space="preserve">An </w:t>
      </w:r>
      <w:r w:rsidR="005E27B7" w:rsidRPr="005E27B7">
        <w:t>underappreciated</w:t>
      </w:r>
      <w:r w:rsidRPr="005E27B7">
        <w:t xml:space="preserve"> issue </w:t>
      </w:r>
      <w:r w:rsidR="005E27B7" w:rsidRPr="005E27B7">
        <w:t>the</w:t>
      </w:r>
      <w:r w:rsidRPr="005E27B7">
        <w:t xml:space="preserve"> ongoing need for </w:t>
      </w:r>
      <w:r w:rsidRPr="008B023C">
        <w:rPr>
          <w:u w:val="single"/>
        </w:rPr>
        <w:t>maintenance</w:t>
      </w:r>
      <w:r w:rsidRPr="005E27B7">
        <w:t xml:space="preserve"> and how this can extend the lifesp</w:t>
      </w:r>
      <w:r w:rsidR="005E27B7" w:rsidRPr="005E27B7">
        <w:t>a</w:t>
      </w:r>
      <w:r w:rsidRPr="005E27B7">
        <w:t>n</w:t>
      </w:r>
      <w:r w:rsidR="005E27B7" w:rsidRPr="005E27B7">
        <w:t xml:space="preserve"> </w:t>
      </w:r>
      <w:r w:rsidRPr="005E27B7">
        <w:t>of a</w:t>
      </w:r>
      <w:r w:rsidR="005E27B7" w:rsidRPr="005E27B7">
        <w:t xml:space="preserve"> building</w:t>
      </w:r>
      <w:r w:rsidRPr="005E27B7">
        <w:t xml:space="preserve"> considerably while reducing overall costs. See:</w:t>
      </w:r>
    </w:p>
    <w:p w:rsidR="005E27B7" w:rsidRPr="005E27B7" w:rsidRDefault="005E27B7" w:rsidP="005E27B7">
      <w:pPr>
        <w:spacing w:after="60"/>
      </w:pPr>
      <w:r w:rsidRPr="005E27B7">
        <w:t xml:space="preserve">Dann, N, &amp; </w:t>
      </w:r>
      <w:proofErr w:type="spellStart"/>
      <w:r w:rsidRPr="005E27B7">
        <w:t>Cantell</w:t>
      </w:r>
      <w:proofErr w:type="spellEnd"/>
      <w:r w:rsidRPr="005E27B7">
        <w:t xml:space="preserve">, T.  2007 </w:t>
      </w:r>
      <w:r w:rsidR="009F575B" w:rsidRPr="005E27B7">
        <w:t>Maintenance in conservation</w:t>
      </w:r>
      <w:r w:rsidRPr="005E27B7">
        <w:t xml:space="preserve">.  Chapter 16 </w:t>
      </w:r>
      <w:r w:rsidRPr="005E27B7">
        <w:rPr>
          <w:rFonts w:cs="Arial"/>
          <w:color w:val="000000" w:themeColor="text1"/>
        </w:rPr>
        <w:t xml:space="preserve">in </w:t>
      </w:r>
      <w:r w:rsidRPr="005E27B7">
        <w:t>Forsyth, M. (ed.) 2007a.</w:t>
      </w:r>
    </w:p>
    <w:p w:rsidR="008B023C" w:rsidRDefault="00F1523F" w:rsidP="00F1523F">
      <w:r w:rsidRPr="00A90EF8">
        <w:t xml:space="preserve">McCaig, I. </w:t>
      </w:r>
      <w:r w:rsidRPr="001A4B53">
        <w:rPr>
          <w:i/>
        </w:rPr>
        <w:t xml:space="preserve">et </w:t>
      </w:r>
      <w:proofErr w:type="gramStart"/>
      <w:r w:rsidRPr="001A4B53">
        <w:rPr>
          <w:i/>
        </w:rPr>
        <w:t>al</w:t>
      </w:r>
      <w:r>
        <w:t xml:space="preserve"> </w:t>
      </w:r>
      <w:r w:rsidRPr="00A90EF8">
        <w:t xml:space="preserve"> </w:t>
      </w:r>
      <w:r>
        <w:t>2013</w:t>
      </w:r>
      <w:proofErr w:type="gramEnd"/>
      <w:r>
        <w:t xml:space="preserve"> “Managing Maintenance and Repair”  pages 239 to 299 in </w:t>
      </w:r>
      <w:r w:rsidRPr="00A90EF8">
        <w:t>McCaig, I. (ed.) 2013</w:t>
      </w:r>
      <w:r w:rsidR="008B023C">
        <w:t>.</w:t>
      </w:r>
    </w:p>
    <w:p w:rsidR="009F575B" w:rsidRDefault="009F575B" w:rsidP="009F575B"/>
    <w:p w:rsidR="00C61074" w:rsidRDefault="00C61074" w:rsidP="00C61074">
      <w:r>
        <w:t xml:space="preserve">In considering the possible reuses of heritage buildings and structures it may be worth selectively looking at some of the papers in </w:t>
      </w:r>
    </w:p>
    <w:p w:rsidR="00C61074" w:rsidRPr="00A90EF8" w:rsidRDefault="00C61074" w:rsidP="00C61074">
      <w:r w:rsidRPr="00A90EF8">
        <w:t xml:space="preserve">Chitty, G. &amp; Baker, D. (eds.) 1999 </w:t>
      </w:r>
      <w:r w:rsidRPr="00A90EF8">
        <w:rPr>
          <w:u w:val="single"/>
        </w:rPr>
        <w:t>Managing Historic Sites and Buildings: Reconciling Presentation and Preservation</w:t>
      </w:r>
      <w:r w:rsidRPr="00A90EF8">
        <w:t>.   Routledge, Abingdon.</w:t>
      </w:r>
    </w:p>
    <w:p w:rsidR="00C67DFD" w:rsidRPr="00A90EF8" w:rsidRDefault="00C67DFD" w:rsidP="00A90EF8"/>
    <w:p w:rsidR="00C67DFD" w:rsidRPr="00A90EF8" w:rsidRDefault="00C67DFD" w:rsidP="00A90EF8"/>
    <w:p w:rsidR="00C67DFD" w:rsidRPr="00A90EF8" w:rsidRDefault="00C67DFD" w:rsidP="00A90EF8"/>
    <w:p w:rsidR="00C67DFD" w:rsidRPr="00A90EF8" w:rsidRDefault="00C67DFD" w:rsidP="00A90EF8"/>
    <w:p w:rsidR="00C67DFD" w:rsidRPr="00A90EF8" w:rsidRDefault="00C67DFD" w:rsidP="00A90EF8"/>
    <w:p w:rsidR="00C67DFD" w:rsidRPr="00A90EF8" w:rsidRDefault="00C67DFD" w:rsidP="00A90EF8"/>
    <w:p w:rsidR="00F215BD" w:rsidRPr="00A90EF8" w:rsidRDefault="00F215BD" w:rsidP="00A90EF8">
      <w:pPr>
        <w:jc w:val="both"/>
        <w:rPr>
          <w:rFonts w:eastAsia="SimSun" w:cs="Arial"/>
          <w:color w:val="000000"/>
          <w:lang w:eastAsia="zh-CN"/>
        </w:rPr>
      </w:pPr>
    </w:p>
    <w:sectPr w:rsidR="00F215BD" w:rsidRPr="00A90EF8" w:rsidSect="00C61074">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1507D"/>
    <w:multiLevelType w:val="hybridMultilevel"/>
    <w:tmpl w:val="FD6E1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72C23"/>
    <w:multiLevelType w:val="hybridMultilevel"/>
    <w:tmpl w:val="F75AE0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F2838"/>
    <w:multiLevelType w:val="hybridMultilevel"/>
    <w:tmpl w:val="46D60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3E0EC2"/>
    <w:multiLevelType w:val="hybridMultilevel"/>
    <w:tmpl w:val="A5F2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944C63"/>
    <w:multiLevelType w:val="hybridMultilevel"/>
    <w:tmpl w:val="A1E2D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F0E23"/>
    <w:multiLevelType w:val="hybridMultilevel"/>
    <w:tmpl w:val="32EAA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8000A2"/>
    <w:multiLevelType w:val="hybridMultilevel"/>
    <w:tmpl w:val="0E7CF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BA0"/>
    <w:rsid w:val="00013603"/>
    <w:rsid w:val="00034FF2"/>
    <w:rsid w:val="000534C8"/>
    <w:rsid w:val="00062DF2"/>
    <w:rsid w:val="00064332"/>
    <w:rsid w:val="000812F3"/>
    <w:rsid w:val="000872DB"/>
    <w:rsid w:val="000A0FC6"/>
    <w:rsid w:val="000A2B0B"/>
    <w:rsid w:val="000A7A1E"/>
    <w:rsid w:val="000E7755"/>
    <w:rsid w:val="001252FE"/>
    <w:rsid w:val="001319A3"/>
    <w:rsid w:val="00136298"/>
    <w:rsid w:val="00142714"/>
    <w:rsid w:val="0014644F"/>
    <w:rsid w:val="00167BB3"/>
    <w:rsid w:val="0017509A"/>
    <w:rsid w:val="00184528"/>
    <w:rsid w:val="00192B6A"/>
    <w:rsid w:val="001A4B53"/>
    <w:rsid w:val="001B05F5"/>
    <w:rsid w:val="001B1805"/>
    <w:rsid w:val="001C6E09"/>
    <w:rsid w:val="001D08F4"/>
    <w:rsid w:val="001D3BFA"/>
    <w:rsid w:val="001E49F7"/>
    <w:rsid w:val="001F79C7"/>
    <w:rsid w:val="00233AE9"/>
    <w:rsid w:val="00233F86"/>
    <w:rsid w:val="00236620"/>
    <w:rsid w:val="00256180"/>
    <w:rsid w:val="00263F9F"/>
    <w:rsid w:val="002648DC"/>
    <w:rsid w:val="002A1AF6"/>
    <w:rsid w:val="002A2B3D"/>
    <w:rsid w:val="002A4969"/>
    <w:rsid w:val="002B6945"/>
    <w:rsid w:val="002C2117"/>
    <w:rsid w:val="002D11F1"/>
    <w:rsid w:val="002E0206"/>
    <w:rsid w:val="003144B6"/>
    <w:rsid w:val="00320A0C"/>
    <w:rsid w:val="0033139E"/>
    <w:rsid w:val="003A1BA0"/>
    <w:rsid w:val="003B445C"/>
    <w:rsid w:val="003D3CD8"/>
    <w:rsid w:val="00413385"/>
    <w:rsid w:val="00435BC8"/>
    <w:rsid w:val="00465E9C"/>
    <w:rsid w:val="00466463"/>
    <w:rsid w:val="00470231"/>
    <w:rsid w:val="004B3CD6"/>
    <w:rsid w:val="004C774C"/>
    <w:rsid w:val="004D6BD5"/>
    <w:rsid w:val="004E01DC"/>
    <w:rsid w:val="004F165A"/>
    <w:rsid w:val="0050056D"/>
    <w:rsid w:val="00534659"/>
    <w:rsid w:val="00540DB2"/>
    <w:rsid w:val="00563B4E"/>
    <w:rsid w:val="005815F2"/>
    <w:rsid w:val="00591398"/>
    <w:rsid w:val="005E27B7"/>
    <w:rsid w:val="0064724B"/>
    <w:rsid w:val="006518B9"/>
    <w:rsid w:val="006527EF"/>
    <w:rsid w:val="00673009"/>
    <w:rsid w:val="0068189A"/>
    <w:rsid w:val="006A4D6C"/>
    <w:rsid w:val="006A63D2"/>
    <w:rsid w:val="006A6E96"/>
    <w:rsid w:val="00724AC5"/>
    <w:rsid w:val="00775737"/>
    <w:rsid w:val="007B16EA"/>
    <w:rsid w:val="007B579C"/>
    <w:rsid w:val="007D097E"/>
    <w:rsid w:val="007E71DA"/>
    <w:rsid w:val="007F58A3"/>
    <w:rsid w:val="00806792"/>
    <w:rsid w:val="0081152E"/>
    <w:rsid w:val="00812454"/>
    <w:rsid w:val="00830499"/>
    <w:rsid w:val="00882E3B"/>
    <w:rsid w:val="008B023C"/>
    <w:rsid w:val="008D7067"/>
    <w:rsid w:val="008F6460"/>
    <w:rsid w:val="00907405"/>
    <w:rsid w:val="00932FB2"/>
    <w:rsid w:val="00936E6F"/>
    <w:rsid w:val="00962C78"/>
    <w:rsid w:val="009A5991"/>
    <w:rsid w:val="009B3CC1"/>
    <w:rsid w:val="009F575B"/>
    <w:rsid w:val="00A01624"/>
    <w:rsid w:val="00A13774"/>
    <w:rsid w:val="00A42049"/>
    <w:rsid w:val="00A57FC1"/>
    <w:rsid w:val="00A738BE"/>
    <w:rsid w:val="00A751FA"/>
    <w:rsid w:val="00A83825"/>
    <w:rsid w:val="00A90EF8"/>
    <w:rsid w:val="00AB222C"/>
    <w:rsid w:val="00AB7B6F"/>
    <w:rsid w:val="00AC74E7"/>
    <w:rsid w:val="00AE2969"/>
    <w:rsid w:val="00AE4E4F"/>
    <w:rsid w:val="00B13DCE"/>
    <w:rsid w:val="00B14B51"/>
    <w:rsid w:val="00B50D51"/>
    <w:rsid w:val="00B5685F"/>
    <w:rsid w:val="00B96C81"/>
    <w:rsid w:val="00B97925"/>
    <w:rsid w:val="00BB0E41"/>
    <w:rsid w:val="00BC43DB"/>
    <w:rsid w:val="00BE2C75"/>
    <w:rsid w:val="00C0512A"/>
    <w:rsid w:val="00C065E6"/>
    <w:rsid w:val="00C16152"/>
    <w:rsid w:val="00C32A82"/>
    <w:rsid w:val="00C37F2B"/>
    <w:rsid w:val="00C41DBE"/>
    <w:rsid w:val="00C53307"/>
    <w:rsid w:val="00C566B6"/>
    <w:rsid w:val="00C61074"/>
    <w:rsid w:val="00C641E6"/>
    <w:rsid w:val="00C67DFD"/>
    <w:rsid w:val="00CA4140"/>
    <w:rsid w:val="00CA6E4A"/>
    <w:rsid w:val="00CB40D9"/>
    <w:rsid w:val="00CD4E2C"/>
    <w:rsid w:val="00D21571"/>
    <w:rsid w:val="00D323A4"/>
    <w:rsid w:val="00D66A6D"/>
    <w:rsid w:val="00D84378"/>
    <w:rsid w:val="00D93E8B"/>
    <w:rsid w:val="00DA6265"/>
    <w:rsid w:val="00DE497F"/>
    <w:rsid w:val="00E42ACA"/>
    <w:rsid w:val="00E566FC"/>
    <w:rsid w:val="00EC1021"/>
    <w:rsid w:val="00ED0EF5"/>
    <w:rsid w:val="00EF248A"/>
    <w:rsid w:val="00F116D3"/>
    <w:rsid w:val="00F1523F"/>
    <w:rsid w:val="00F215BD"/>
    <w:rsid w:val="00F52CCA"/>
    <w:rsid w:val="00F72AA2"/>
    <w:rsid w:val="00F95D50"/>
    <w:rsid w:val="00FB4AB2"/>
    <w:rsid w:val="00FC158B"/>
    <w:rsid w:val="00FD6F06"/>
    <w:rsid w:val="00FD7048"/>
    <w:rsid w:val="00FF1602"/>
    <w:rsid w:val="00FF6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F1D39-34D1-4474-AD9D-A74D161F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E9C"/>
    <w:pPr>
      <w:spacing w:after="120" w:line="280" w:lineRule="atLeast"/>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F86"/>
    <w:pPr>
      <w:ind w:left="720"/>
      <w:contextualSpacing/>
    </w:pPr>
  </w:style>
  <w:style w:type="paragraph" w:customStyle="1" w:styleId="heading">
    <w:name w:val="heading"/>
    <w:basedOn w:val="Normal"/>
    <w:link w:val="headingChar"/>
    <w:rsid w:val="00233F86"/>
    <w:pPr>
      <w:tabs>
        <w:tab w:val="left" w:pos="720"/>
        <w:tab w:val="left" w:pos="1440"/>
        <w:tab w:val="left" w:pos="2160"/>
        <w:tab w:val="left" w:pos="2880"/>
      </w:tabs>
      <w:overflowPunct w:val="0"/>
      <w:autoSpaceDE w:val="0"/>
      <w:autoSpaceDN w:val="0"/>
      <w:adjustRightInd w:val="0"/>
      <w:spacing w:before="240" w:line="240" w:lineRule="auto"/>
      <w:ind w:left="3600" w:hanging="3600"/>
      <w:textAlignment w:val="baseline"/>
    </w:pPr>
    <w:rPr>
      <w:rFonts w:ascii="Arial" w:eastAsia="Times New Roman" w:hAnsi="Arial" w:cs="Times New Roman"/>
      <w:b/>
      <w:szCs w:val="20"/>
      <w:lang w:eastAsia="en-GB"/>
    </w:rPr>
  </w:style>
  <w:style w:type="character" w:customStyle="1" w:styleId="headingChar">
    <w:name w:val="heading Char"/>
    <w:link w:val="heading"/>
    <w:rsid w:val="00233F86"/>
    <w:rPr>
      <w:rFonts w:ascii="Arial" w:eastAsia="Times New Roman" w:hAnsi="Arial" w:cs="Times New Roman"/>
      <w:b/>
      <w:szCs w:val="20"/>
      <w:lang w:val="en-GB" w:eastAsia="en-GB"/>
    </w:rPr>
  </w:style>
  <w:style w:type="paragraph" w:styleId="NoSpacing">
    <w:name w:val="No Spacing"/>
    <w:uiPriority w:val="99"/>
    <w:qFormat/>
    <w:rsid w:val="00233F86"/>
    <w:pPr>
      <w:spacing w:after="0" w:line="240" w:lineRule="auto"/>
    </w:pPr>
    <w:rPr>
      <w:rFonts w:ascii="Calibri" w:eastAsia="Calibri" w:hAnsi="Calibri" w:cs="Times New Roman"/>
      <w:lang w:val="en-GB"/>
    </w:rPr>
  </w:style>
  <w:style w:type="table" w:styleId="TableGrid">
    <w:name w:val="Table Grid"/>
    <w:basedOn w:val="TableNormal"/>
    <w:uiPriority w:val="59"/>
    <w:rsid w:val="00CA6E4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9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443854">
      <w:bodyDiv w:val="1"/>
      <w:marLeft w:val="0"/>
      <w:marRight w:val="0"/>
      <w:marTop w:val="0"/>
      <w:marBottom w:val="0"/>
      <w:divBdr>
        <w:top w:val="none" w:sz="0" w:space="0" w:color="auto"/>
        <w:left w:val="none" w:sz="0" w:space="0" w:color="auto"/>
        <w:bottom w:val="none" w:sz="0" w:space="0" w:color="auto"/>
        <w:right w:val="none" w:sz="0" w:space="0" w:color="auto"/>
      </w:divBdr>
      <w:divsChild>
        <w:div w:id="1527519073">
          <w:marLeft w:val="0"/>
          <w:marRight w:val="0"/>
          <w:marTop w:val="0"/>
          <w:marBottom w:val="0"/>
          <w:divBdr>
            <w:top w:val="none" w:sz="0" w:space="0" w:color="auto"/>
            <w:left w:val="none" w:sz="0" w:space="0" w:color="auto"/>
            <w:bottom w:val="none" w:sz="0" w:space="0" w:color="auto"/>
            <w:right w:val="none" w:sz="0" w:space="0" w:color="auto"/>
          </w:divBdr>
          <w:divsChild>
            <w:div w:id="1884172847">
              <w:marLeft w:val="0"/>
              <w:marRight w:val="0"/>
              <w:marTop w:val="0"/>
              <w:marBottom w:val="0"/>
              <w:divBdr>
                <w:top w:val="none" w:sz="0" w:space="0" w:color="auto"/>
                <w:left w:val="none" w:sz="0" w:space="0" w:color="auto"/>
                <w:bottom w:val="none" w:sz="0" w:space="0" w:color="auto"/>
                <w:right w:val="none" w:sz="0" w:space="0" w:color="auto"/>
              </w:divBdr>
              <w:divsChild>
                <w:div w:id="1227954811">
                  <w:marLeft w:val="0"/>
                  <w:marRight w:val="0"/>
                  <w:marTop w:val="0"/>
                  <w:marBottom w:val="0"/>
                  <w:divBdr>
                    <w:top w:val="none" w:sz="0" w:space="0" w:color="auto"/>
                    <w:left w:val="none" w:sz="0" w:space="0" w:color="auto"/>
                    <w:bottom w:val="none" w:sz="0" w:space="0" w:color="auto"/>
                    <w:right w:val="none" w:sz="0" w:space="0" w:color="auto"/>
                  </w:divBdr>
                  <w:divsChild>
                    <w:div w:id="1870754682">
                      <w:marLeft w:val="0"/>
                      <w:marRight w:val="0"/>
                      <w:marTop w:val="0"/>
                      <w:marBottom w:val="0"/>
                      <w:divBdr>
                        <w:top w:val="none" w:sz="0" w:space="0" w:color="auto"/>
                        <w:left w:val="none" w:sz="0" w:space="0" w:color="auto"/>
                        <w:bottom w:val="none" w:sz="0" w:space="0" w:color="auto"/>
                        <w:right w:val="none" w:sz="0" w:space="0" w:color="auto"/>
                      </w:divBdr>
                      <w:divsChild>
                        <w:div w:id="851720135">
                          <w:marLeft w:val="0"/>
                          <w:marRight w:val="0"/>
                          <w:marTop w:val="0"/>
                          <w:marBottom w:val="2"/>
                          <w:divBdr>
                            <w:top w:val="none" w:sz="0" w:space="0" w:color="auto"/>
                            <w:left w:val="none" w:sz="0" w:space="0" w:color="auto"/>
                            <w:bottom w:val="none" w:sz="0" w:space="0" w:color="auto"/>
                            <w:right w:val="none" w:sz="0" w:space="0" w:color="auto"/>
                          </w:divBdr>
                          <w:divsChild>
                            <w:div w:id="891577666">
                              <w:marLeft w:val="0"/>
                              <w:marRight w:val="0"/>
                              <w:marTop w:val="0"/>
                              <w:marBottom w:val="0"/>
                              <w:divBdr>
                                <w:top w:val="none" w:sz="0" w:space="0" w:color="auto"/>
                                <w:left w:val="none" w:sz="0" w:space="0" w:color="auto"/>
                                <w:bottom w:val="none" w:sz="0" w:space="0" w:color="auto"/>
                                <w:right w:val="none" w:sz="0" w:space="0" w:color="auto"/>
                              </w:divBdr>
                              <w:divsChild>
                                <w:div w:id="1546482921">
                                  <w:marLeft w:val="0"/>
                                  <w:marRight w:val="0"/>
                                  <w:marTop w:val="0"/>
                                  <w:marBottom w:val="0"/>
                                  <w:divBdr>
                                    <w:top w:val="none" w:sz="0" w:space="0" w:color="auto"/>
                                    <w:left w:val="none" w:sz="0" w:space="0" w:color="auto"/>
                                    <w:bottom w:val="none" w:sz="0" w:space="0" w:color="auto"/>
                                    <w:right w:val="none" w:sz="0" w:space="0" w:color="auto"/>
                                  </w:divBdr>
                                  <w:divsChild>
                                    <w:div w:id="1996949453">
                                      <w:marLeft w:val="0"/>
                                      <w:marRight w:val="0"/>
                                      <w:marTop w:val="0"/>
                                      <w:marBottom w:val="0"/>
                                      <w:divBdr>
                                        <w:top w:val="none" w:sz="0" w:space="0" w:color="auto"/>
                                        <w:left w:val="none" w:sz="0" w:space="0" w:color="auto"/>
                                        <w:bottom w:val="none" w:sz="0" w:space="0" w:color="auto"/>
                                        <w:right w:val="none" w:sz="0" w:space="0" w:color="auto"/>
                                      </w:divBdr>
                                      <w:divsChild>
                                        <w:div w:id="1856385357">
                                          <w:marLeft w:val="0"/>
                                          <w:marRight w:val="0"/>
                                          <w:marTop w:val="0"/>
                                          <w:marBottom w:val="0"/>
                                          <w:divBdr>
                                            <w:top w:val="none" w:sz="0" w:space="0" w:color="auto"/>
                                            <w:left w:val="none" w:sz="0" w:space="0" w:color="auto"/>
                                            <w:bottom w:val="none" w:sz="0" w:space="0" w:color="auto"/>
                                            <w:right w:val="none" w:sz="0" w:space="0" w:color="auto"/>
                                          </w:divBdr>
                                          <w:divsChild>
                                            <w:div w:id="850221849">
                                              <w:marLeft w:val="0"/>
                                              <w:marRight w:val="0"/>
                                              <w:marTop w:val="0"/>
                                              <w:marBottom w:val="0"/>
                                              <w:divBdr>
                                                <w:top w:val="none" w:sz="0" w:space="0" w:color="auto"/>
                                                <w:left w:val="none" w:sz="0" w:space="0" w:color="auto"/>
                                                <w:bottom w:val="none" w:sz="0" w:space="0" w:color="auto"/>
                                                <w:right w:val="none" w:sz="0" w:space="0" w:color="auto"/>
                                              </w:divBdr>
                                              <w:divsChild>
                                                <w:div w:id="1844125754">
                                                  <w:marLeft w:val="0"/>
                                                  <w:marRight w:val="0"/>
                                                  <w:marTop w:val="0"/>
                                                  <w:marBottom w:val="0"/>
                                                  <w:divBdr>
                                                    <w:top w:val="none" w:sz="0" w:space="0" w:color="auto"/>
                                                    <w:left w:val="none" w:sz="0" w:space="0" w:color="auto"/>
                                                    <w:bottom w:val="none" w:sz="0" w:space="0" w:color="auto"/>
                                                    <w:right w:val="none" w:sz="0" w:space="0" w:color="auto"/>
                                                  </w:divBdr>
                                                </w:div>
                                                <w:div w:id="15291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nces-regeneration.org/sites/default/files/files/publication/How%20to%20Write%20Conservation%20Reports.pdf" TargetMode="External"/><Relationship Id="rId5" Type="http://schemas.openxmlformats.org/officeDocument/2006/relationships/hyperlink" Target="https://historicengland.org.uk/advice/latest-guid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Coles</dc:creator>
  <cp:keywords/>
  <dc:description/>
  <cp:lastModifiedBy>Geraint Coles</cp:lastModifiedBy>
  <cp:revision>3</cp:revision>
  <dcterms:created xsi:type="dcterms:W3CDTF">2017-03-03T15:21:00Z</dcterms:created>
  <dcterms:modified xsi:type="dcterms:W3CDTF">2017-03-03T15:22:00Z</dcterms:modified>
</cp:coreProperties>
</file>