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4AF180C2"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C84733">
        <w:rPr>
          <w:rFonts w:ascii="Arial" w:hAnsi="Arial" w:cs="Arial"/>
          <w:sz w:val="28"/>
          <w:szCs w:val="28"/>
          <w:lang w:val="nl-NL"/>
        </w:rPr>
        <w:t xml:space="preserve"> Nuria Muge Balde</w:t>
      </w:r>
    </w:p>
    <w:p w14:paraId="3C83A8A7" w14:textId="7A20B369"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C84733">
        <w:rPr>
          <w:rFonts w:ascii="Arial" w:hAnsi="Arial" w:cs="Arial"/>
          <w:sz w:val="28"/>
          <w:szCs w:val="28"/>
          <w:lang w:val="nl-NL"/>
        </w:rPr>
        <w:t>2426749</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2C2B2A26"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C84733">
        <w:rPr>
          <w:rFonts w:ascii="Arial" w:hAnsi="Arial" w:cs="Arial"/>
          <w:sz w:val="28"/>
          <w:szCs w:val="28"/>
          <w:lang w:val="nl-NL"/>
        </w:rPr>
        <w:t>Introduction to Physiology</w:t>
      </w:r>
    </w:p>
    <w:p w14:paraId="4FD97C8C" w14:textId="1903D17F"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C84733">
        <w:rPr>
          <w:rFonts w:ascii="Arial" w:hAnsi="Arial" w:cs="Arial"/>
          <w:sz w:val="28"/>
          <w:szCs w:val="28"/>
        </w:rPr>
        <w:t xml:space="preserve"> BMHP5023</w:t>
      </w:r>
    </w:p>
    <w:p w14:paraId="4DB0023C" w14:textId="5DAA0E4C" w:rsidR="00980FD0" w:rsidRPr="00615284" w:rsidRDefault="00EB12BC" w:rsidP="00615284">
      <w:pPr>
        <w:tabs>
          <w:tab w:val="left" w:pos="6540"/>
        </w:tabs>
        <w:spacing w:line="360" w:lineRule="auto"/>
        <w:rPr>
          <w:rFonts w:ascii="Arial" w:eastAsia="Arial" w:hAnsi="Arial" w:cs="Arial"/>
          <w:color w:val="444444"/>
          <w:sz w:val="20"/>
          <w:szCs w:val="20"/>
        </w:rPr>
      </w:pPr>
      <w:r w:rsidRPr="00C03A91">
        <w:rPr>
          <w:rFonts w:ascii="Arial" w:hAnsi="Arial" w:cs="Arial"/>
          <w:b/>
          <w:bCs/>
          <w:sz w:val="28"/>
          <w:szCs w:val="28"/>
        </w:rPr>
        <w:t>Lecturer name</w:t>
      </w:r>
      <w:r w:rsidRPr="00C03A91">
        <w:rPr>
          <w:rFonts w:ascii="Arial" w:hAnsi="Arial" w:cs="Arial"/>
          <w:sz w:val="28"/>
          <w:szCs w:val="28"/>
        </w:rPr>
        <w:t>:</w:t>
      </w:r>
      <w:r w:rsidR="00C84733">
        <w:rPr>
          <w:rFonts w:ascii="Arial" w:hAnsi="Arial" w:cs="Arial"/>
          <w:sz w:val="28"/>
          <w:szCs w:val="28"/>
        </w:rPr>
        <w:t xml:space="preserve"> Shaila</w:t>
      </w:r>
      <w:r w:rsidR="00A476FC">
        <w:rPr>
          <w:rFonts w:ascii="Arial" w:hAnsi="Arial" w:cs="Arial"/>
          <w:sz w:val="28"/>
          <w:szCs w:val="28"/>
        </w:rPr>
        <w:t xml:space="preserve"> Hussain</w:t>
      </w:r>
    </w:p>
    <w:p w14:paraId="02360227" w14:textId="77777777" w:rsidR="00980FD0" w:rsidRDefault="00980FD0" w:rsidP="00CD73C3">
      <w:pPr>
        <w:rPr>
          <w:rFonts w:ascii="Arial" w:eastAsia="Arial" w:hAnsi="Arial" w:cs="Arial"/>
          <w:color w:val="444444"/>
          <w:sz w:val="20"/>
          <w:szCs w:val="20"/>
        </w:rPr>
      </w:pPr>
    </w:p>
    <w:p w14:paraId="04FDFE78" w14:textId="558B6278" w:rsidR="00BA4C65" w:rsidRPr="00615284" w:rsidRDefault="00BA4C65" w:rsidP="00615284">
      <w:pPr>
        <w:pStyle w:val="Heading1"/>
        <w:rPr>
          <w:rFonts w:cs="Arial"/>
        </w:rPr>
      </w:pPr>
    </w:p>
    <w:p w14:paraId="21ADCAF0" w14:textId="77777777" w:rsidR="00BA4C65" w:rsidRDefault="00BA4C65" w:rsidP="00CD73C3">
      <w:pPr>
        <w:rPr>
          <w:rFonts w:ascii="Arial" w:eastAsia="Arial" w:hAnsi="Arial" w:cs="Arial"/>
          <w:color w:val="444444"/>
          <w:sz w:val="20"/>
          <w:szCs w:val="20"/>
        </w:rPr>
      </w:pPr>
    </w:p>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62BB20E" w14:textId="77777777" w:rsidR="00B94529" w:rsidRDefault="00B94529" w:rsidP="00B94529">
      <w:pPr>
        <w:spacing w:before="280" w:line="360" w:lineRule="auto"/>
      </w:pPr>
      <w:r>
        <w:rPr>
          <w:b/>
          <w:bCs/>
          <w:sz w:val="32"/>
          <w:szCs w:val="32"/>
        </w:rPr>
        <w:lastRenderedPageBreak/>
        <w:t>1. Introduction</w:t>
      </w:r>
    </w:p>
    <w:p w14:paraId="055ACBFC" w14:textId="77777777" w:rsidR="00B94529" w:rsidRDefault="00B94529" w:rsidP="00B94529">
      <w:pPr>
        <w:spacing w:line="360" w:lineRule="auto"/>
        <w:jc w:val="both"/>
      </w:pPr>
      <w:r>
        <w:t>Asthma is a chronic inflammatory disease of the airways with easily reversible airflow obstruction, sensitivity (hyper-responsiveness) of the airways to various stimuli and persistent symptoms of wheeze, breathlessness, chest tightness and cough (Papi et al., 2018; GINA, 2024). It impacted roughly 262 million people globally in 2019 and is a major cause of premature death – 455,000 people died in 2019, disproportionately affecting low- and middle-income settings (WHO, 2024). In the United Kingdom, there are currently 5.4 million people who are receiving treatment for their asthma, with adolescents amongst the vulnerable groups, as the lifestyle changes between these age ranges are often when exacerbation happens (Asthma + Lung UK, 2024).</w:t>
      </w:r>
    </w:p>
    <w:p w14:paraId="075030A2" w14:textId="77777777" w:rsidR="00B94529" w:rsidRDefault="00B94529" w:rsidP="00B94529">
      <w:pPr>
        <w:spacing w:line="360" w:lineRule="auto"/>
        <w:jc w:val="both"/>
      </w:pPr>
      <w:r>
        <w:t>This is the result of the interplay between host susceptibility and environmental exposures. Some established risk factors are a family history of atopy; early-life respiratory viral infection; house dust mites; pet dander; occupational sensitisers; air pollution; obesity; and tobacco smoke (Stern, Pier and Litonjua, 2020; Garcia-Marcos et al., 2022). Cigarette smoking and electronic-cigarette use, and second-hand smoke exposure in social environments and uncontrolled exposure to respiratory viruses, are now known behaviours associated with poorer control in adolescents specifically (Bhatt, Ramphul and Bush, 2020; Reddel et al., 2022).</w:t>
      </w:r>
    </w:p>
    <w:p w14:paraId="2A665F2A" w14:textId="77777777" w:rsidR="00B94529" w:rsidRDefault="00B94529" w:rsidP="00B94529">
      <w:pPr>
        <w:spacing w:line="360" w:lineRule="auto"/>
        <w:jc w:val="both"/>
      </w:pPr>
      <w:r>
        <w:t>This report has been put together to help with the running of a fortnightly asthma clinic for teenagers led by nurses. It explains the anatomy and physiology of the lungs, how breathing and gas exchange work, how peak flow is monitored and what the pathophysiological response to lung irritants is. The report ends with a set of evidence-based lifestyle recommendations that can help adolescents manage their condition more safely and effectively in the long term.</w:t>
      </w:r>
    </w:p>
    <w:p w14:paraId="154E2E66" w14:textId="77777777" w:rsidR="00B94529" w:rsidRDefault="00B94529" w:rsidP="00B94529">
      <w:pPr>
        <w:spacing w:before="280" w:line="360" w:lineRule="auto"/>
        <w:jc w:val="both"/>
        <w:rPr>
          <w:b/>
          <w:bCs/>
          <w:sz w:val="32"/>
          <w:szCs w:val="32"/>
        </w:rPr>
      </w:pPr>
    </w:p>
    <w:p w14:paraId="63E010FA" w14:textId="77777777" w:rsidR="00B94529" w:rsidRDefault="00B94529" w:rsidP="00B94529">
      <w:pPr>
        <w:spacing w:before="280" w:line="360" w:lineRule="auto"/>
        <w:jc w:val="both"/>
        <w:rPr>
          <w:b/>
          <w:bCs/>
          <w:sz w:val="32"/>
          <w:szCs w:val="32"/>
        </w:rPr>
      </w:pPr>
    </w:p>
    <w:p w14:paraId="3D1AAD45" w14:textId="77777777" w:rsidR="00B94529" w:rsidRDefault="00B94529" w:rsidP="00B94529">
      <w:pPr>
        <w:spacing w:before="280" w:line="360" w:lineRule="auto"/>
        <w:jc w:val="both"/>
        <w:rPr>
          <w:b/>
          <w:bCs/>
          <w:sz w:val="32"/>
          <w:szCs w:val="32"/>
        </w:rPr>
      </w:pPr>
    </w:p>
    <w:p w14:paraId="23AE8C36" w14:textId="77777777" w:rsidR="00B94529" w:rsidRDefault="00B94529" w:rsidP="00B94529">
      <w:pPr>
        <w:spacing w:before="280" w:line="360" w:lineRule="auto"/>
        <w:jc w:val="both"/>
        <w:rPr>
          <w:b/>
          <w:bCs/>
          <w:sz w:val="32"/>
          <w:szCs w:val="32"/>
        </w:rPr>
      </w:pPr>
    </w:p>
    <w:p w14:paraId="345D9D75" w14:textId="43761273" w:rsidR="00B94529" w:rsidRDefault="00B94529" w:rsidP="00B94529">
      <w:pPr>
        <w:spacing w:before="280" w:line="360" w:lineRule="auto"/>
        <w:jc w:val="both"/>
      </w:pPr>
      <w:r>
        <w:rPr>
          <w:b/>
          <w:bCs/>
          <w:sz w:val="32"/>
          <w:szCs w:val="32"/>
        </w:rPr>
        <w:lastRenderedPageBreak/>
        <w:t>2. Structure of the Respiratory System and Mechanical Respiration</w:t>
      </w:r>
    </w:p>
    <w:p w14:paraId="066E6B1F" w14:textId="77777777" w:rsidR="00B94529" w:rsidRDefault="00B94529" w:rsidP="00B94529">
      <w:pPr>
        <w:spacing w:before="280" w:line="360" w:lineRule="auto"/>
        <w:jc w:val="both"/>
      </w:pPr>
      <w:r>
        <w:rPr>
          <w:b/>
          <w:bCs/>
          <w:sz w:val="28"/>
          <w:szCs w:val="28"/>
        </w:rPr>
        <w:t>2.1 Structure of the Respiratory System</w:t>
      </w:r>
    </w:p>
    <w:p w14:paraId="55104107" w14:textId="77777777" w:rsidR="00B94529" w:rsidRDefault="00B94529" w:rsidP="00B94529">
      <w:pPr>
        <w:spacing w:line="360" w:lineRule="auto"/>
        <w:jc w:val="both"/>
      </w:pPr>
      <w:r>
        <w:t>The respiratory system is conventionally divided into the conducting zone and the respiratory zone (Tortora and Derrickson, 2017). The conducting zone includes the nasal cavity, the pharynx, the larynx, the trachea, the primary bronchi, the secondary bronchi, the tertiary bronchi and the terminal bronchioles, which filter, humidify, and warm the inspired air and lead to the gas exchange surface. In the respiratory zone, which comprises the respiratory bronchioles, the alveolar ducts, and some 300 million alveoli, oxygen and carbon dioxide are exchanged across a single cell layer (West and Luks, 2020).</w:t>
      </w:r>
    </w:p>
    <w:p w14:paraId="6B9B8F4B" w14:textId="77777777" w:rsidR="00B94529" w:rsidRDefault="00B94529" w:rsidP="00B94529">
      <w:pPr>
        <w:spacing w:line="360" w:lineRule="auto"/>
        <w:jc w:val="both"/>
      </w:pPr>
      <w:r>
        <w:t>The walls of the trachea and bronchi are supported by C-shaped cartilage rings and have pseudostratified columnar epithelium with goblet cells to produce mucus, and the epithelium is ciliated, forming the mucociliary escalator, which traps and removes inhaled particulates. The bronchi and bronchioles have smooth muscle around their walls that can increase or decrease the diameter of the airway lumen, under the control of the autonomic nervous system (Tortora and Derrickson, 2017). The lungs are covered by a double pleura, and movement of the diaphragm and the external intercostal muscles brings about the movement of air into and out of the lungs.</w:t>
      </w:r>
    </w:p>
    <w:p w14:paraId="49D523B6" w14:textId="77777777" w:rsidR="00B94529" w:rsidRDefault="00B94529" w:rsidP="00B94529">
      <w:pPr>
        <w:spacing w:before="280" w:line="360" w:lineRule="auto"/>
        <w:jc w:val="both"/>
      </w:pPr>
      <w:r>
        <w:rPr>
          <w:b/>
          <w:bCs/>
          <w:sz w:val="28"/>
          <w:szCs w:val="28"/>
        </w:rPr>
        <w:t>2.2 Mechanical Respiration</w:t>
      </w:r>
    </w:p>
    <w:p w14:paraId="10C7D383" w14:textId="77777777" w:rsidR="00B94529" w:rsidRDefault="00B94529" w:rsidP="00B94529">
      <w:pPr>
        <w:spacing w:line="360" w:lineRule="auto"/>
        <w:jc w:val="both"/>
      </w:pPr>
      <w:r>
        <w:t>The bulk movement of air into and out of the lungs is mechanical respiration or pulmonary ventilation, in which there is an inverse relationship between the changes in the pressure of the moving air and the volume of the lungs according to Boyle's law: at a constant temperature, the pressure exerted by a gas is inversely proportional to the volume of the container (West and Luks, 2020). The diaphragm contracts and flattens, and the external intercostal muscles lift and rotate the ribs outwards, increasing the capacity of the thoracic cavity during inspiration. The ensuing lower intra-alveolar pressure (one mmHg below that of the atmosphere) causes air to flow down the pressure gradient into the lungs.</w:t>
      </w:r>
    </w:p>
    <w:p w14:paraId="7D2A9A2A" w14:textId="77777777" w:rsidR="00B94529" w:rsidRDefault="00B94529" w:rsidP="00B94529">
      <w:pPr>
        <w:spacing w:line="360" w:lineRule="auto"/>
        <w:jc w:val="both"/>
      </w:pPr>
      <w:r>
        <w:t xml:space="preserve">Expiration at rest is rather passive, with the elastic recoil of the lung parenchyma and relaxation of the inspiratory muscles returning the thorax to its resting volume, thus causing the intra-alveolar pressure to rise above atmospheric pressure to expel air (Tortora and Derrickson, </w:t>
      </w:r>
      <w:r>
        <w:lastRenderedPageBreak/>
        <w:t>2017). Forced expiration: When the thoracic volume is decreasing during exercise or while coughing, the internal intercostal muscles and abdominal muscles work to actively decrease the thoracic volume. Minute ventilation at rest is approximately 6–8 litres per minute at a typical adult tidal volume of 500 millilitres with a respiratory rate of 12 to 16 breaths per minute (West and Luks, 2020).</w:t>
      </w:r>
    </w:p>
    <w:p w14:paraId="6E67A99D" w14:textId="77777777" w:rsidR="00B94529" w:rsidRDefault="00B94529" w:rsidP="00B94529">
      <w:pPr>
        <w:spacing w:line="360" w:lineRule="auto"/>
        <w:jc w:val="both"/>
      </w:pPr>
    </w:p>
    <w:p w14:paraId="2CC808F2" w14:textId="77777777" w:rsidR="00B94529" w:rsidRDefault="00B94529" w:rsidP="00B94529">
      <w:pPr>
        <w:spacing w:line="360" w:lineRule="auto"/>
        <w:jc w:val="both"/>
      </w:pPr>
    </w:p>
    <w:p w14:paraId="65932D44" w14:textId="19E2CC65" w:rsidR="00B94529" w:rsidRDefault="00B94529" w:rsidP="00B94529">
      <w:pPr>
        <w:spacing w:line="360" w:lineRule="auto"/>
        <w:jc w:val="both"/>
      </w:pPr>
      <w:r>
        <w:rPr>
          <w:b/>
          <w:bCs/>
          <w:sz w:val="32"/>
          <w:szCs w:val="32"/>
        </w:rPr>
        <w:t>3. Gas Exchange in the Lungs</w:t>
      </w:r>
    </w:p>
    <w:p w14:paraId="5A3C6D0F" w14:textId="77777777" w:rsidR="00B94529" w:rsidRDefault="00B94529" w:rsidP="00B94529">
      <w:pPr>
        <w:spacing w:line="360" w:lineRule="auto"/>
        <w:jc w:val="both"/>
      </w:pPr>
      <w:r>
        <w:t xml:space="preserve">The alveolar-capillary membrane, or respiratory membrane, which consists of the alveolar epithelium, fused alveolar and capillary basement membranes and the capillary endothelium, is very thin (0.2 to 0.6 </w:t>
      </w:r>
      <w:proofErr w:type="spellStart"/>
      <w:r>
        <w:t>μm</w:t>
      </w:r>
      <w:proofErr w:type="spellEnd"/>
      <w:r>
        <w:t>) where gas exchange takes place (West and Luks, 2020). The average surface area of the aggregates is enormous, about 70 m², and because of the very small diffusion distance, the lung will transfer respiratory gases very efficiently. The movement of oxygen and carbon dioxide through the membrane is by passive diffusion down partial-pressure gradients following Fick's law (Tortora and Derrickson, 2017).</w:t>
      </w:r>
    </w:p>
    <w:p w14:paraId="5B30ACBE" w14:textId="77777777" w:rsidR="00B94529" w:rsidRDefault="00B94529" w:rsidP="00B94529">
      <w:pPr>
        <w:spacing w:line="360" w:lineRule="auto"/>
        <w:jc w:val="both"/>
      </w:pPr>
      <w:r>
        <w:t>The partial pressure of oxygen in alveolar gas is about 100 mmHg, while the partial pressure of oxygen in mixed venous blood arriving at the pulmonary capillaries is about 40 mmHg. Thus, oxygen moves down its concentration gradient into the plasma and is reversibly bound to haemoglobin inside erythrocytes to form oxyhaemoglobin. When fully saturated with oxygen, each gram of haemoglobin will carry up to 1.34 millilitres of oxygen, and the bound fraction may be around 98 per cent of the oxygen transported in the arteries by the haemoglobin (West et al., Luks, 2020). The metabolic waste product of cellular respiration is transported in the opposite direction, as a venous final PCO</w:t>
      </w:r>
      <w:r>
        <w:rPr>
          <w:rFonts w:ascii="Cambria Math" w:hAnsi="Cambria Math" w:cs="Cambria Math"/>
        </w:rPr>
        <w:t>₂</w:t>
      </w:r>
      <w:r>
        <w:t xml:space="preserve"> of ~46 mmHg is opposed by the alveolar PCO</w:t>
      </w:r>
      <w:r>
        <w:rPr>
          <w:rFonts w:ascii="Cambria Math" w:hAnsi="Cambria Math" w:cs="Cambria Math"/>
        </w:rPr>
        <w:t>₂</w:t>
      </w:r>
      <w:r>
        <w:t xml:space="preserve"> of ~40 mmHg. It travels primarily in the plasma as bicarbonate (~70 per cent) and, to a lesser extent, attached to haemoglobin as carbaminohaemoglobin or dissolved in the plasma (Tortora and Derrickson, 2017). For mechanisms of adequate gas exchange to take place, a thin, intact membrane is required, as well as a matched ratio of ventilation and perfusion.</w:t>
      </w:r>
    </w:p>
    <w:p w14:paraId="616C643F" w14:textId="77777777" w:rsidR="00B94529" w:rsidRDefault="00B94529" w:rsidP="00B94529">
      <w:pPr>
        <w:spacing w:before="280" w:line="360" w:lineRule="auto"/>
        <w:jc w:val="both"/>
        <w:rPr>
          <w:b/>
          <w:bCs/>
          <w:sz w:val="32"/>
          <w:szCs w:val="32"/>
        </w:rPr>
      </w:pPr>
    </w:p>
    <w:p w14:paraId="62290BDC" w14:textId="77777777" w:rsidR="00B94529" w:rsidRDefault="00B94529" w:rsidP="00B94529">
      <w:pPr>
        <w:spacing w:before="280" w:line="360" w:lineRule="auto"/>
        <w:jc w:val="both"/>
        <w:rPr>
          <w:b/>
          <w:bCs/>
          <w:sz w:val="32"/>
          <w:szCs w:val="32"/>
        </w:rPr>
      </w:pPr>
    </w:p>
    <w:p w14:paraId="755FDC1F" w14:textId="164EA553" w:rsidR="00B94529" w:rsidRDefault="00B94529" w:rsidP="00B94529">
      <w:pPr>
        <w:spacing w:before="280" w:line="360" w:lineRule="auto"/>
        <w:jc w:val="both"/>
      </w:pPr>
      <w:r>
        <w:rPr>
          <w:b/>
          <w:bCs/>
          <w:sz w:val="32"/>
          <w:szCs w:val="32"/>
        </w:rPr>
        <w:lastRenderedPageBreak/>
        <w:t>4. Airway Irritants, Inflammation and the Impact on Respiration</w:t>
      </w:r>
    </w:p>
    <w:p w14:paraId="798C8F10" w14:textId="77777777" w:rsidR="00B94529" w:rsidRDefault="00B94529" w:rsidP="00B94529">
      <w:pPr>
        <w:spacing w:line="360" w:lineRule="auto"/>
        <w:jc w:val="both"/>
      </w:pPr>
      <w:r>
        <w:t>Asthma is characterised pathologically by chronic type-2 airway inflammation. Alarmins signals such as thymic stromal lymphopoietin, interleukin-25, and interleukin-33 are released by the bronchial epithelium in the airways of sensitised individuals when they come in contact with an irritant, such as e-cigarette aerosol, viral particles, allergens or cold air (Papi et al., 2018). These mediators participate in the activation of the type-2 helper T cells, group-2 innate lymphoid cells, mast cells and eosinophils and trigger the release of interleukins 4, 5 and 13; histamine; and leukotrienes. The downstream effects include bronchial smooth muscle contraction, microvascular permeability, mucosa oedema, hypersecretion of viscous mucus and, in the long term, structural remodelling like sub-epithelial fibrosis and goblet-cell hyperplasia (McCracken et al., 2017).</w:t>
      </w:r>
    </w:p>
    <w:p w14:paraId="2059581E" w14:textId="77777777" w:rsidR="00B94529" w:rsidRDefault="00B94529" w:rsidP="00B94529">
      <w:pPr>
        <w:spacing w:line="360" w:lineRule="auto"/>
        <w:jc w:val="both"/>
      </w:pPr>
      <w:r>
        <w:t>Resistance to airflow is inversely related to the fourth power of the airway, so when the airway radius gets a little bit smaller, the resistance to airflow gets a lot higher. Mucous plugging and smooth muscle constriction cause further narrowing of the lumen, which results in the pathognomonic expiratory wheeze and patients' description of chest tightness during exacerbations (NICE, 2024). Obstruction of air passages causes dynamic hyperinflation with subsequent flattening of the dome of the diaphragm, putting it at a mechanical disadvantage. Ventilation-perfusion mismatching decreases alveolar gas exchange and can lead to arterial hypoxaemia, increasing the work of breathing and carbon dioxide production. Airway remodelling is caused by repeated exposure to irritants and is linked to an increased rate of decrease in lung function (Bhatt, Ramphul and Bush, 2020), where smokers have an increase in the rate of FEV</w:t>
      </w:r>
      <w:r>
        <w:rPr>
          <w:rFonts w:ascii="Cambria Math" w:hAnsi="Cambria Math" w:cs="Cambria Math"/>
        </w:rPr>
        <w:t>₁</w:t>
      </w:r>
      <w:r>
        <w:t xml:space="preserve"> decline by about twofold compared to non-smokers with asthma. It is important for clinical practice, therefore, to recognise and try to avoid individual triggers.</w:t>
      </w:r>
    </w:p>
    <w:p w14:paraId="1E9641C1" w14:textId="77777777" w:rsidR="00B94529" w:rsidRDefault="00B94529" w:rsidP="00B94529">
      <w:pPr>
        <w:spacing w:before="280" w:line="360" w:lineRule="auto"/>
        <w:jc w:val="both"/>
      </w:pPr>
      <w:r>
        <w:rPr>
          <w:b/>
          <w:bCs/>
          <w:sz w:val="32"/>
          <w:szCs w:val="32"/>
        </w:rPr>
        <w:t>5. Recording and Tracking Respiratory Function: The Role of Peak Flow</w:t>
      </w:r>
    </w:p>
    <w:p w14:paraId="05654E33" w14:textId="77777777" w:rsidR="00B94529" w:rsidRDefault="00B94529" w:rsidP="00B94529">
      <w:pPr>
        <w:spacing w:line="360" w:lineRule="auto"/>
        <w:jc w:val="both"/>
      </w:pPr>
      <w:r>
        <w:t xml:space="preserve">PEAK EXPIRATORY FLOW (PEF): This is the fastest speed at which air can be forcibly blown out of full lungs and is measured in litres (L) of air per minute using a handheld peak-flow meter (NICE, 2024). PEF provides a measure of the quality of the medium and large airways and will decrease as the bronchoconstriction increases, usually many hours before there are signs of serious damage. These findings enable adolescents to recognise objectively with routine self-monitoring, as their symptoms get worse, when they are having a 'bad day' </w:t>
      </w:r>
      <w:r>
        <w:lastRenderedPageBreak/>
        <w:t>for their asthma and respond to their asthma action plan to prevent an emergency from occurring (Pinnock et al., 2017).</w:t>
      </w:r>
    </w:p>
    <w:p w14:paraId="1A75C023" w14:textId="77777777" w:rsidR="00B94529" w:rsidRDefault="00B94529" w:rsidP="00B94529">
      <w:pPr>
        <w:spacing w:line="360" w:lineRule="auto"/>
        <w:jc w:val="both"/>
      </w:pPr>
      <w:r>
        <w:t>Good practice is to measure the PEF twice each day, looking at the lowest of three PEF measurements in the morning and evening and plotting the new measurement on the patient's personal best on a peak-flow diary or on a digital application. If a reading falls between 50 per cent and 80 per cent of a personal best, this shows the “amber zone” and means reliever medication should be administered, and there should be a clinical check; below 50 per cent indicates the “red zone” and means emergency treatment is needed (BTS/SIGN, 2019). If variability is &gt; 20 per cent, it is indicative of inadequate control of the disease.</w:t>
      </w:r>
    </w:p>
    <w:p w14:paraId="3258CEBD" w14:textId="77777777" w:rsidR="00B94529" w:rsidRDefault="00B94529" w:rsidP="00B94529">
      <w:pPr>
        <w:spacing w:line="360" w:lineRule="auto"/>
        <w:jc w:val="both"/>
      </w:pPr>
      <w:r>
        <w:t>For example, a systematic meta-review of 270 randomised trials has demonstrated that structured self-management (education, a written action plan and regular review) results in a reduction in unscheduled care, hospitalisation and school/white-collar working days, alongside an improvement in quality of life (Pinnock et al., 2017). A key issue in asthma care protocol is patient education, which is carried out by a nurse and is one of the least expensive parts of asthma treatment (Boulet, 2018). The combination of peak-flow monitoring, with data from smart inhalers, and follow-up in the clinic is likely to enable adolescents to actively manage the condition.</w:t>
      </w:r>
    </w:p>
    <w:p w14:paraId="14000234" w14:textId="77777777" w:rsidR="00B94529" w:rsidRDefault="00B94529" w:rsidP="00B94529">
      <w:pPr>
        <w:spacing w:before="280" w:line="360" w:lineRule="auto"/>
        <w:jc w:val="both"/>
      </w:pPr>
      <w:r>
        <w:rPr>
          <w:b/>
          <w:bCs/>
          <w:sz w:val="32"/>
          <w:szCs w:val="32"/>
        </w:rPr>
        <w:t>6. Evidence-Based Lifestyle Recommendations</w:t>
      </w:r>
    </w:p>
    <w:p w14:paraId="5F613AB0" w14:textId="77777777" w:rsidR="00B94529" w:rsidRDefault="00B94529" w:rsidP="00B94529">
      <w:pPr>
        <w:spacing w:before="280" w:line="360" w:lineRule="auto"/>
        <w:jc w:val="both"/>
      </w:pPr>
      <w:r>
        <w:rPr>
          <w:b/>
          <w:bCs/>
          <w:sz w:val="28"/>
          <w:szCs w:val="28"/>
        </w:rPr>
        <w:t>6.1 Smoking and Vaping Cessation</w:t>
      </w:r>
    </w:p>
    <w:p w14:paraId="30155BD0" w14:textId="77777777" w:rsidR="00B94529" w:rsidRDefault="00B94529" w:rsidP="00B94529">
      <w:pPr>
        <w:spacing w:line="360" w:lineRule="auto"/>
        <w:jc w:val="both"/>
      </w:pPr>
      <w:r w:rsidRPr="006B0969">
        <w:t>Both tobacco smoke and e-cigarette aerosol contain chemicals that expose the airway epithelium to nicotine, fine particulate matter, volatile organic compounds and reactive oxygen species that trigger neutrophilic inflammation, lead to impaired mucociliary clearance and interfere with the inflammation response to inhaled corticosteroids (Bhatt, Ramphul and Bush, 2020; CDC, 2024). Thus, it is important to support the smoke-free status of adolescents, while also helping them not to take up vaping. There should be a smoking-cessation offer — based on evidence — that incorporates behavioural change support in addition to nicotine replacement therapy or varenicline (if age-appropriate), as well as measures to ensure that no child is exposed to second-hand smoke in their home or car.</w:t>
      </w:r>
    </w:p>
    <w:p w14:paraId="5F413713" w14:textId="77777777" w:rsidR="00B94529" w:rsidRDefault="00B94529" w:rsidP="00B94529">
      <w:pPr>
        <w:spacing w:before="280" w:line="360" w:lineRule="auto"/>
        <w:jc w:val="both"/>
        <w:rPr>
          <w:b/>
          <w:bCs/>
          <w:sz w:val="28"/>
          <w:szCs w:val="28"/>
        </w:rPr>
      </w:pPr>
    </w:p>
    <w:p w14:paraId="3E70074A" w14:textId="5BB8E54A" w:rsidR="00B94529" w:rsidRDefault="00B94529" w:rsidP="00B94529">
      <w:pPr>
        <w:spacing w:before="280" w:line="360" w:lineRule="auto"/>
        <w:jc w:val="both"/>
      </w:pPr>
      <w:r>
        <w:rPr>
          <w:b/>
          <w:bCs/>
          <w:sz w:val="28"/>
          <w:szCs w:val="28"/>
        </w:rPr>
        <w:lastRenderedPageBreak/>
        <w:t>6.2 Physical Activity and Healthy Weight</w:t>
      </w:r>
    </w:p>
    <w:p w14:paraId="6AD47BB8" w14:textId="77777777" w:rsidR="00B94529" w:rsidRDefault="00B94529" w:rsidP="00B94529">
      <w:pPr>
        <w:spacing w:line="360" w:lineRule="auto"/>
        <w:jc w:val="both"/>
      </w:pPr>
      <w:r w:rsidRPr="006B0969">
        <w:t>Aerobic exercise boosts cardio-respiratory fitness, exacerbation frequency and quality of life in adolescents with asthma (Bonini and Silvers, 2018). Generally fair tolerance to aerobic activities, including swimming, walking and cycling, but use of short-acting β2 agonists may be needed 10 minutes before exercise if exercise-induced bronchoconstriction occurs. Having a healthy BMI also lessens the metabolic and mechanical stress on airways (Stern, Pier, and Litonjua, 2020).</w:t>
      </w:r>
    </w:p>
    <w:p w14:paraId="749B39E0" w14:textId="77777777" w:rsidR="00B94529" w:rsidRDefault="00B94529" w:rsidP="00B94529">
      <w:pPr>
        <w:spacing w:before="280" w:line="360" w:lineRule="auto"/>
        <w:jc w:val="both"/>
      </w:pPr>
      <w:r>
        <w:rPr>
          <w:b/>
          <w:bCs/>
          <w:sz w:val="28"/>
          <w:szCs w:val="28"/>
        </w:rPr>
        <w:t>6.3 Diet and Nutrition</w:t>
      </w:r>
    </w:p>
    <w:p w14:paraId="02084648" w14:textId="77777777" w:rsidR="00B94529" w:rsidRDefault="00B94529" w:rsidP="00B94529">
      <w:pPr>
        <w:spacing w:line="360" w:lineRule="auto"/>
        <w:jc w:val="both"/>
      </w:pPr>
      <w:r w:rsidRPr="006B0969">
        <w:t xml:space="preserve">Adopting a diet </w:t>
      </w:r>
      <w:proofErr w:type="gramStart"/>
      <w:r w:rsidRPr="006B0969">
        <w:t>similar to</w:t>
      </w:r>
      <w:proofErr w:type="gramEnd"/>
      <w:r w:rsidRPr="006B0969">
        <w:t xml:space="preserve"> the Mediterranean diet, which consists of plenty of fresh fruits, vegetables and oily fish, is linked to improvements in lung function and decreased inflammation in the airways, while diets high in processed foods and saturated fats are harmful (Alwarith et al., 2020). It is important to encourage adolescents to eat at least 5 portions of fruits and vegetables per day and to have sufficient vitamin D intake.</w:t>
      </w:r>
    </w:p>
    <w:p w14:paraId="127CEE08" w14:textId="77777777" w:rsidR="00B94529" w:rsidRDefault="00B94529" w:rsidP="00B94529">
      <w:pPr>
        <w:spacing w:before="280" w:line="360" w:lineRule="auto"/>
        <w:jc w:val="both"/>
      </w:pPr>
      <w:r>
        <w:rPr>
          <w:b/>
          <w:bCs/>
          <w:sz w:val="28"/>
          <w:szCs w:val="28"/>
        </w:rPr>
        <w:t>6.4 Infection Prevention and Environmental Control</w:t>
      </w:r>
    </w:p>
    <w:p w14:paraId="5DC47363" w14:textId="77777777" w:rsidR="00B94529" w:rsidRDefault="00B94529" w:rsidP="00B94529">
      <w:pPr>
        <w:spacing w:line="360" w:lineRule="auto"/>
        <w:jc w:val="both"/>
      </w:pPr>
      <w:r w:rsidRPr="006B0969">
        <w:t xml:space="preserve">Influenza vaccination and SARS-CoV-2 </w:t>
      </w:r>
      <w:proofErr w:type="spellStart"/>
      <w:r w:rsidRPr="006B0969">
        <w:t>boostering</w:t>
      </w:r>
      <w:proofErr w:type="spellEnd"/>
      <w:r w:rsidRPr="006B0969">
        <w:t xml:space="preserve"> decrease the chances of a viral exacerbation (NHS, 2024). Additional sensible measures are frequent hand washing, airing out indoor areas and reducing contact with crowded, poorly ventilated areas like bars and clubs during the period when the viruses are more prevalent. Where possible, minimising exposure to house dust mites, pet allergens and air pollution in the outdoor environment also helps control it (GINA, 2024).</w:t>
      </w:r>
    </w:p>
    <w:p w14:paraId="40487EF8" w14:textId="77777777" w:rsidR="00B94529" w:rsidRDefault="00B94529" w:rsidP="00B94529">
      <w:pPr>
        <w:spacing w:before="280" w:line="360" w:lineRule="auto"/>
        <w:jc w:val="both"/>
        <w:rPr>
          <w:b/>
          <w:bCs/>
          <w:sz w:val="32"/>
          <w:szCs w:val="32"/>
        </w:rPr>
      </w:pPr>
    </w:p>
    <w:p w14:paraId="65C209E5" w14:textId="77777777" w:rsidR="00B94529" w:rsidRDefault="00B94529" w:rsidP="00B94529">
      <w:pPr>
        <w:spacing w:before="280" w:line="360" w:lineRule="auto"/>
        <w:jc w:val="both"/>
        <w:rPr>
          <w:b/>
          <w:bCs/>
          <w:sz w:val="32"/>
          <w:szCs w:val="32"/>
        </w:rPr>
      </w:pPr>
    </w:p>
    <w:p w14:paraId="5BCC8F55" w14:textId="77777777" w:rsidR="00B94529" w:rsidRDefault="00B94529" w:rsidP="00B94529">
      <w:pPr>
        <w:spacing w:before="280" w:line="360" w:lineRule="auto"/>
        <w:jc w:val="both"/>
        <w:rPr>
          <w:b/>
          <w:bCs/>
          <w:sz w:val="32"/>
          <w:szCs w:val="32"/>
        </w:rPr>
      </w:pPr>
    </w:p>
    <w:p w14:paraId="0A31E628" w14:textId="77777777" w:rsidR="00B94529" w:rsidRDefault="00B94529" w:rsidP="00B94529">
      <w:pPr>
        <w:spacing w:before="280" w:line="360" w:lineRule="auto"/>
        <w:jc w:val="both"/>
        <w:rPr>
          <w:b/>
          <w:bCs/>
          <w:sz w:val="32"/>
          <w:szCs w:val="32"/>
        </w:rPr>
      </w:pPr>
    </w:p>
    <w:p w14:paraId="2A5ED178" w14:textId="77777777" w:rsidR="00B94529" w:rsidRDefault="00B94529" w:rsidP="00B94529">
      <w:pPr>
        <w:spacing w:before="280" w:line="360" w:lineRule="auto"/>
        <w:jc w:val="both"/>
        <w:rPr>
          <w:b/>
          <w:bCs/>
          <w:sz w:val="32"/>
          <w:szCs w:val="32"/>
        </w:rPr>
      </w:pPr>
    </w:p>
    <w:p w14:paraId="548B7C93" w14:textId="37574780" w:rsidR="00B94529" w:rsidRDefault="00B94529" w:rsidP="00B94529">
      <w:pPr>
        <w:spacing w:before="280" w:line="360" w:lineRule="auto"/>
        <w:jc w:val="both"/>
      </w:pPr>
      <w:r>
        <w:rPr>
          <w:b/>
          <w:bCs/>
          <w:sz w:val="32"/>
          <w:szCs w:val="32"/>
        </w:rPr>
        <w:lastRenderedPageBreak/>
        <w:t>7. Conclusion</w:t>
      </w:r>
    </w:p>
    <w:p w14:paraId="0636E48E" w14:textId="77777777" w:rsidR="00B94529" w:rsidRDefault="00B94529" w:rsidP="00B94529">
      <w:pPr>
        <w:spacing w:line="360" w:lineRule="auto"/>
        <w:jc w:val="both"/>
      </w:pPr>
      <w:r w:rsidRPr="006B0969">
        <w:t>Adolescent asthma is a frequent, but controllable, genetic disorder of lung function that can be made worse by environmental and lifestyle factors. Patients can better interpret the symptoms they encounter during the exacerbation of their condition and make sense of it with the knowledge of the structure of the respiratory system, the mechanics of breathing and the diffusion-based exchange of oxygen and carbon dioxide. Common factors that lead to changes in airflow, increased breathlessness, inflammation, oedema of the mucous membranes and bronchospasm are smoking, vaping, virus infections and allergens. With a written personalised action plan, routinely monitoring peak flows can help pick up when things are going wrong and intervene early. These complement smoke-free living, regular exercise, a balanced diet and vaccination against respiratory pathogens, all of which can help adolescents participate in the care plans and ensure a healthy set of lungs for years to come.</w:t>
      </w:r>
    </w:p>
    <w:p w14:paraId="02EAC433" w14:textId="77777777" w:rsidR="00B94529" w:rsidRDefault="00B94529" w:rsidP="00B94529">
      <w:pPr>
        <w:spacing w:after="0" w:line="240" w:lineRule="auto"/>
      </w:pPr>
      <w:r>
        <w:br w:type="page"/>
      </w:r>
      <w:r>
        <w:rPr>
          <w:b/>
          <w:bCs/>
          <w:sz w:val="32"/>
          <w:szCs w:val="32"/>
        </w:rPr>
        <w:lastRenderedPageBreak/>
        <w:t>Reference List</w:t>
      </w:r>
    </w:p>
    <w:p w14:paraId="03759D3E" w14:textId="77777777" w:rsidR="00B94529" w:rsidRDefault="00B94529" w:rsidP="00B94529">
      <w:pPr>
        <w:spacing w:after="200" w:line="360" w:lineRule="auto"/>
        <w:ind w:left="720" w:hanging="720"/>
      </w:pPr>
      <w:r>
        <w:t>Alwarith, J., Kahleova, H., Crosby, L., Brooks, A., Brandon, L., Levin, S.M. and Barnard, N.D. (2020) ‘The role of nutrition in asthma prevention and treatment’, Nutrition Reviews, 78(11), pp. 928–938. doi: 10.1093/nutrit/nuaa005.</w:t>
      </w:r>
    </w:p>
    <w:p w14:paraId="521DF64B" w14:textId="77777777" w:rsidR="00B94529" w:rsidRDefault="00B94529" w:rsidP="00B94529">
      <w:pPr>
        <w:spacing w:after="200" w:line="360" w:lineRule="auto"/>
        <w:ind w:left="720" w:hanging="720"/>
      </w:pPr>
      <w:r>
        <w:t>Asthma + Lung UK (2024) Asthma facts and statistics. Available at: https://www.asthmaandlung.org.uk/conditions/asthma/asthma-facts-and-statistics (Accessed: 27 June 2026).</w:t>
      </w:r>
    </w:p>
    <w:p w14:paraId="627E7081" w14:textId="77777777" w:rsidR="00B94529" w:rsidRDefault="00B94529" w:rsidP="00B94529">
      <w:pPr>
        <w:spacing w:after="200" w:line="360" w:lineRule="auto"/>
        <w:ind w:left="720" w:hanging="720"/>
      </w:pPr>
      <w:r>
        <w:t>Bhatt, J.M., Ramphul, M. and Bush, A. (2020) ‘An update on controversies in e-cigarettes’, Paediatric Respiratory Reviews, 36, pp. 75–86. doi: 10.1016/j.prrv.2020.09.003.</w:t>
      </w:r>
    </w:p>
    <w:p w14:paraId="27AEEA8B" w14:textId="77777777" w:rsidR="00B94529" w:rsidRDefault="00B94529" w:rsidP="00B94529">
      <w:pPr>
        <w:spacing w:after="200" w:line="360" w:lineRule="auto"/>
        <w:ind w:left="720" w:hanging="720"/>
      </w:pPr>
      <w:r>
        <w:t>Bonini, M. and Silvers, W. (2018) ‘Exercise-induced bronchoconstriction: background, prevalence and sport considerations’, Immunology and Allergy Clinics of North America, 38(2), pp. 205–214. doi: 10.1016/j.iac.2018.01.007.</w:t>
      </w:r>
    </w:p>
    <w:p w14:paraId="7C689CA0" w14:textId="77777777" w:rsidR="00B94529" w:rsidRDefault="00B94529" w:rsidP="00B94529">
      <w:pPr>
        <w:spacing w:after="200" w:line="360" w:lineRule="auto"/>
        <w:ind w:left="720" w:hanging="720"/>
      </w:pPr>
      <w:r>
        <w:t>Boulet, L.-P. (2018) ‘Asthma education: an essential component in asthma management’, European Respiratory Journal, 51(2), 1700762. doi: 10.1183/13993003.00762-2017.</w:t>
      </w:r>
    </w:p>
    <w:p w14:paraId="544DA6ED" w14:textId="77777777" w:rsidR="00B94529" w:rsidRDefault="00B94529" w:rsidP="00B94529">
      <w:pPr>
        <w:spacing w:after="200" w:line="360" w:lineRule="auto"/>
        <w:ind w:left="720" w:hanging="720"/>
      </w:pPr>
      <w:r>
        <w:t>British Thoracic Society and Scottish Intercollegiate Guidelines Network (BTS/SIGN) (2019) British guideline on the management of asthma (SIGN 158). Available at: https://www.brit-thoracic.org.uk/quality-improvement/guidelines/asthma/ (Accessed: 27 June 2026).</w:t>
      </w:r>
    </w:p>
    <w:p w14:paraId="4209B53A" w14:textId="77777777" w:rsidR="00B94529" w:rsidRDefault="00B94529" w:rsidP="00B94529">
      <w:pPr>
        <w:spacing w:after="200" w:line="360" w:lineRule="auto"/>
        <w:ind w:left="720" w:hanging="720"/>
      </w:pPr>
      <w:r>
        <w:t>Centers for Disease Control and Prevention (CDC) (2024) Smoking and asthma. Available at: https://www.cdc.gov/tobacco/campaign/tips/diseases/asthma.html (Accessed: 27 June 2026).</w:t>
      </w:r>
    </w:p>
    <w:p w14:paraId="097A57D4" w14:textId="77777777" w:rsidR="00B94529" w:rsidRDefault="00B94529" w:rsidP="00B94529">
      <w:pPr>
        <w:spacing w:after="200" w:line="360" w:lineRule="auto"/>
        <w:ind w:left="720" w:hanging="720"/>
      </w:pPr>
      <w:r>
        <w:t>Garcia-Marcos, L., Asher, M.I., Pearce, N., Ellwood, E., Bissell, K., Chiang, C.-Y., El Sony, A., Ellwood, P., Martínez-Torres, A., Morales, E., Mortimer, K., Perez-Fernández, V., Robertson, S. and Strachan, D.P. (2022) ‘The burden of asthma, hay fever and eczema in children in 25 countries: GAN Phase I study’, European Respiratory Journal, 60(3), 2102866. doi: 10.1183/13993003.02866-2021.</w:t>
      </w:r>
    </w:p>
    <w:p w14:paraId="358806C1" w14:textId="77777777" w:rsidR="00B94529" w:rsidRDefault="00B94529" w:rsidP="00B94529">
      <w:pPr>
        <w:spacing w:after="200" w:line="360" w:lineRule="auto"/>
        <w:ind w:left="720" w:hanging="720"/>
      </w:pPr>
      <w:r>
        <w:t>Global Initiative for Asthma (GINA) (2024) Global Strategy for Asthma Management and Prevention. Available at: https://ginasthma.org/reports/ (Accessed: 27 June 2026).</w:t>
      </w:r>
    </w:p>
    <w:p w14:paraId="3E77F06E" w14:textId="77777777" w:rsidR="00B94529" w:rsidRDefault="00B94529" w:rsidP="00B94529">
      <w:pPr>
        <w:spacing w:after="200" w:line="360" w:lineRule="auto"/>
        <w:ind w:left="720" w:hanging="720"/>
      </w:pPr>
      <w:r>
        <w:lastRenderedPageBreak/>
        <w:t>McCracken, J.L., Veeranki, S.P., Ameredes, B.T. and Calhoun, W.J. (2017) ‘Diagnosis and management of asthma in adults: a review’, JAMA, 318(3), pp. 279–290. doi: 10.1001/jama.2017.8372.</w:t>
      </w:r>
    </w:p>
    <w:p w14:paraId="1A4F8F65" w14:textId="77777777" w:rsidR="00B94529" w:rsidRDefault="00B94529" w:rsidP="00B94529">
      <w:pPr>
        <w:spacing w:after="200" w:line="360" w:lineRule="auto"/>
        <w:ind w:left="720" w:hanging="720"/>
      </w:pPr>
      <w:r>
        <w:t>National Health Service (NHS) (2024) Asthma. Available at: https://www.nhs.uk/conditions/asthma/ (Accessed: 27 June 2026).</w:t>
      </w:r>
    </w:p>
    <w:p w14:paraId="793CCA96" w14:textId="77777777" w:rsidR="00B94529" w:rsidRDefault="00B94529" w:rsidP="00B94529">
      <w:pPr>
        <w:spacing w:after="200" w:line="360" w:lineRule="auto"/>
        <w:ind w:left="720" w:hanging="720"/>
      </w:pPr>
      <w:r>
        <w:t>National Institute for Health and Care Excellence (NICE) (2024) Asthma: diagnosis, monitoring and chronic asthma management (NG80). Available at: https://www.nice.org.uk/guidance/ng80 (Accessed: 27 June 2026).</w:t>
      </w:r>
    </w:p>
    <w:p w14:paraId="2C34E5D6" w14:textId="77777777" w:rsidR="00B94529" w:rsidRDefault="00B94529" w:rsidP="00B94529">
      <w:pPr>
        <w:spacing w:after="200" w:line="360" w:lineRule="auto"/>
        <w:ind w:left="720" w:hanging="720"/>
      </w:pPr>
      <w:r>
        <w:t>Papi, A., Brightling, C., Pedersen, S.E. and Reddel, H.K. (2018) ‘Asthma’, The Lancet, 391(10122), pp. 783–800. doi: 10.1016/S0140-6736(17)33311-1.</w:t>
      </w:r>
    </w:p>
    <w:p w14:paraId="04621AA3" w14:textId="77777777" w:rsidR="00B94529" w:rsidRDefault="00B94529" w:rsidP="00B94529">
      <w:pPr>
        <w:spacing w:after="200" w:line="360" w:lineRule="auto"/>
        <w:ind w:left="720" w:hanging="720"/>
      </w:pPr>
      <w:r>
        <w:t>Pinnock, H., Parke, H.L., Panagioti, M., Daines, L., Pearce, G., Epiphaniou, E., Bower, P., Sheikh, A., Griffiths, C.J. and Taylor, S.J.C. (2017) ‘Systematic meta-review of supported self-management for asthma: a healthcare perspective’, BMC Medicine, 15, 64. doi: 10.1186/s12916-017-0823-7.</w:t>
      </w:r>
    </w:p>
    <w:p w14:paraId="42A4952A" w14:textId="77777777" w:rsidR="00B94529" w:rsidRDefault="00B94529" w:rsidP="00B94529">
      <w:pPr>
        <w:spacing w:after="200" w:line="360" w:lineRule="auto"/>
        <w:ind w:left="720" w:hanging="720"/>
      </w:pPr>
      <w:r>
        <w:t>Reddel, H.K., Bacharier, L.B., Bateman, E.D., Brightling, C.E., Brusselle, G.G., Buhl, R., Cruz, A.A., Duijts, L., Drazen, J.M., FitzGerald, J.M., Fleming, L.J., Inoue, H., Ko, F.W., Krishnan, J.A., Levy, M.L., Lin, J., Mortimer, K., Pitrez, P.M., Sheikh, A., Yorgancioglu, A.A. and Boulet, L.-P. (2022) ‘Global Initiative for Asthma Strategy 2021: executive summary and rationale for key changes’, American Journal of Respiratory and Critical Care Medicine, 205(1), pp. 17–35. doi: 10.1164/rccm.202109-2205PP.</w:t>
      </w:r>
    </w:p>
    <w:p w14:paraId="3EFB3DB5" w14:textId="77777777" w:rsidR="00B94529" w:rsidRDefault="00B94529" w:rsidP="00B94529">
      <w:pPr>
        <w:spacing w:after="200" w:line="360" w:lineRule="auto"/>
        <w:ind w:left="720" w:hanging="720"/>
      </w:pPr>
      <w:r>
        <w:t>Stern, J., Pier, J. and Litonjua, A.A. (2020) ‘Asthma epidemiology and risk factors’, Seminars in Immunopathology, 42(1), pp. 5–15. doi: 10.1007/s00281-020-00785-1.</w:t>
      </w:r>
    </w:p>
    <w:p w14:paraId="477B0D3D" w14:textId="77777777" w:rsidR="00B94529" w:rsidRDefault="00B94529" w:rsidP="00B94529">
      <w:pPr>
        <w:spacing w:after="200" w:line="360" w:lineRule="auto"/>
        <w:ind w:left="720" w:hanging="720"/>
      </w:pPr>
      <w:r>
        <w:t>Tortora, G.J. and Derrickson, B.H. (2017) Principles of Anatomy and Physiology. 15th edn. Hoboken, NJ: John Wiley &amp; Sons.</w:t>
      </w:r>
    </w:p>
    <w:p w14:paraId="56B7B7BF" w14:textId="77777777" w:rsidR="00B94529" w:rsidRDefault="00B94529" w:rsidP="00B94529">
      <w:pPr>
        <w:spacing w:after="200" w:line="360" w:lineRule="auto"/>
        <w:ind w:left="720" w:hanging="720"/>
      </w:pPr>
      <w:r>
        <w:t>West, J.B. and Luks, A.M. (2020) West’s Respiratory Physiology: The Essentials. 11th edn. Philadelphia: Wolters Kluwer.</w:t>
      </w:r>
    </w:p>
    <w:p w14:paraId="1C1B5B6E" w14:textId="7D212CEE" w:rsidR="001B7A40" w:rsidRPr="003C33C3" w:rsidRDefault="00B94529" w:rsidP="003C33C3">
      <w:pPr>
        <w:spacing w:after="200" w:line="360" w:lineRule="auto"/>
        <w:ind w:left="720" w:hanging="720"/>
      </w:pPr>
      <w:r>
        <w:t>World Health Organisation (WHO) (2024) Asthma: key facts. Available at: https://www.who.int/news-room/fact-sheets/detail/asthma (Accessed: 27 June 2026).</w:t>
      </w:r>
    </w:p>
    <w:sectPr w:rsidR="001B7A40" w:rsidRPr="003C33C3" w:rsidSect="0037028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DFCF7" w14:textId="77777777" w:rsidR="006E0C19" w:rsidRDefault="006E0C19" w:rsidP="00C03A91">
      <w:pPr>
        <w:spacing w:after="0" w:line="240" w:lineRule="auto"/>
      </w:pPr>
      <w:r>
        <w:separator/>
      </w:r>
    </w:p>
  </w:endnote>
  <w:endnote w:type="continuationSeparator" w:id="0">
    <w:p w14:paraId="71B92877" w14:textId="77777777" w:rsidR="006E0C19" w:rsidRDefault="006E0C19"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C5ECC" w14:textId="77777777" w:rsidR="006E0C19" w:rsidRDefault="006E0C19" w:rsidP="00C03A91">
      <w:pPr>
        <w:spacing w:after="0" w:line="240" w:lineRule="auto"/>
      </w:pPr>
      <w:r>
        <w:separator/>
      </w:r>
    </w:p>
  </w:footnote>
  <w:footnote w:type="continuationSeparator" w:id="0">
    <w:p w14:paraId="7A08A078" w14:textId="77777777" w:rsidR="006E0C19" w:rsidRDefault="006E0C19"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CB520D"/>
    <w:multiLevelType w:val="multilevel"/>
    <w:tmpl w:val="FB1CEB52"/>
    <w:lvl w:ilvl="0">
      <w:start w:val="1"/>
      <w:numFmt w:val="decimal"/>
      <w:lvlText w:val="%1"/>
      <w:lvlJc w:val="left"/>
      <w:pPr>
        <w:ind w:left="360" w:hanging="360"/>
      </w:pPr>
      <w:rPr>
        <w:rFonts w:hint="default"/>
      </w:rPr>
    </w:lvl>
    <w:lvl w:ilvl="1">
      <w:start w:val="3"/>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4"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4"/>
  </w:num>
  <w:num w:numId="4" w16cid:durableId="848447299">
    <w:abstractNumId w:val="2"/>
  </w:num>
  <w:num w:numId="5" w16cid:durableId="7007400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76AC0"/>
    <w:rsid w:val="000B17F2"/>
    <w:rsid w:val="000C4EDA"/>
    <w:rsid w:val="001B7A40"/>
    <w:rsid w:val="001F6DDB"/>
    <w:rsid w:val="00216C85"/>
    <w:rsid w:val="00273EDD"/>
    <w:rsid w:val="002C3965"/>
    <w:rsid w:val="002D5EDB"/>
    <w:rsid w:val="00321C4C"/>
    <w:rsid w:val="00370282"/>
    <w:rsid w:val="003C33C3"/>
    <w:rsid w:val="004577F7"/>
    <w:rsid w:val="005247B0"/>
    <w:rsid w:val="00563AF8"/>
    <w:rsid w:val="0057616D"/>
    <w:rsid w:val="005851AD"/>
    <w:rsid w:val="005B2A3C"/>
    <w:rsid w:val="005C5F3B"/>
    <w:rsid w:val="005D7E92"/>
    <w:rsid w:val="00615284"/>
    <w:rsid w:val="006E0C19"/>
    <w:rsid w:val="007A7297"/>
    <w:rsid w:val="007E7745"/>
    <w:rsid w:val="008353D4"/>
    <w:rsid w:val="008942A0"/>
    <w:rsid w:val="00940407"/>
    <w:rsid w:val="00980FD0"/>
    <w:rsid w:val="00986F78"/>
    <w:rsid w:val="00995C46"/>
    <w:rsid w:val="009D1D1E"/>
    <w:rsid w:val="00A035FD"/>
    <w:rsid w:val="00A476FC"/>
    <w:rsid w:val="00AA4DD8"/>
    <w:rsid w:val="00B94529"/>
    <w:rsid w:val="00BA4C65"/>
    <w:rsid w:val="00BE6943"/>
    <w:rsid w:val="00BF7262"/>
    <w:rsid w:val="00C03A91"/>
    <w:rsid w:val="00C84733"/>
    <w:rsid w:val="00CA564E"/>
    <w:rsid w:val="00CD2863"/>
    <w:rsid w:val="00CD73C3"/>
    <w:rsid w:val="00CE7A90"/>
    <w:rsid w:val="00D73FB0"/>
    <w:rsid w:val="00D870AB"/>
    <w:rsid w:val="00DA2A1E"/>
    <w:rsid w:val="00DB6D4B"/>
    <w:rsid w:val="00DE153A"/>
    <w:rsid w:val="00DE477A"/>
    <w:rsid w:val="00E2038D"/>
    <w:rsid w:val="00E92200"/>
    <w:rsid w:val="00EB12BC"/>
    <w:rsid w:val="00F137E3"/>
    <w:rsid w:val="00F23281"/>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8440</TotalTime>
  <Pages>10</Pages>
  <Words>2687</Words>
  <Characters>15321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Nuria Balde</cp:lastModifiedBy>
  <cp:revision>2</cp:revision>
  <dcterms:created xsi:type="dcterms:W3CDTF">2026-07-30T13:49:00Z</dcterms:created>
  <dcterms:modified xsi:type="dcterms:W3CDTF">2026-07-30T13:49:00Z</dcterms:modified>
</cp:coreProperties>
</file>