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2A2C13" w14:textId="7FA10051" w:rsidR="00312A1B" w:rsidRDefault="006128B8">
      <w:r>
        <w:t xml:space="preserve">Cerys floyd </w:t>
      </w:r>
      <w:r w:rsidR="00312A1B">
        <w:t xml:space="preserve">Self reflection- two minutes </w:t>
      </w:r>
    </w:p>
    <w:p w14:paraId="1ECFD071" w14:textId="77777777" w:rsidR="0022625F" w:rsidRDefault="0022625F"/>
    <w:p w14:paraId="2D84FED9" w14:textId="2203B327" w:rsidR="0022625F" w:rsidRDefault="00822BF5">
      <w:r>
        <w:t>At the beginning of this assignment it wa</w:t>
      </w:r>
      <w:r w:rsidR="00013D59">
        <w:t xml:space="preserve">s difficult to </w:t>
      </w:r>
      <w:r w:rsidR="00196860">
        <w:t>understand how  a police officer would deal w</w:t>
      </w:r>
      <w:r w:rsidR="00BF507D">
        <w:t xml:space="preserve">ithin a </w:t>
      </w:r>
      <w:r w:rsidR="000403F8">
        <w:t xml:space="preserve">safeguarding concern </w:t>
      </w:r>
      <w:r w:rsidR="00BF507D">
        <w:t xml:space="preserve">, </w:t>
      </w:r>
      <w:r w:rsidR="00332E31">
        <w:t xml:space="preserve">and what would be said or done in the situation but having expanded on </w:t>
      </w:r>
      <w:r w:rsidR="0041603E">
        <w:t xml:space="preserve">my knowledge by watching a few documentary’s and </w:t>
      </w:r>
      <w:r w:rsidR="00B565C3">
        <w:t>researching</w:t>
      </w:r>
      <w:r w:rsidR="0041603E">
        <w:t xml:space="preserve"> </w:t>
      </w:r>
      <w:r w:rsidR="00863515">
        <w:t xml:space="preserve">this made it easy for me to be able to understand the role of the police officer </w:t>
      </w:r>
      <w:r w:rsidR="001E07AB">
        <w:t xml:space="preserve">within a multiagency working approach </w:t>
      </w:r>
      <w:r w:rsidR="00863515">
        <w:t>and the polic</w:t>
      </w:r>
      <w:r w:rsidR="00B565C3">
        <w:t xml:space="preserve">y and procedures that are in place to safeguard children in situations </w:t>
      </w:r>
      <w:r w:rsidR="00D70054">
        <w:t>such as the one in our assignment</w:t>
      </w:r>
      <w:r w:rsidR="00606C51">
        <w:t>, it expanded my knowledge on the process that goes on when safeguarding a child</w:t>
      </w:r>
      <w:r w:rsidR="00E63C6E">
        <w:t xml:space="preserve"> and made me realise how effective and important multi a</w:t>
      </w:r>
      <w:r w:rsidR="00A73AD5">
        <w:t xml:space="preserve">gency working is and also team work as without multi agency working or effective teamwork the communication would be </w:t>
      </w:r>
      <w:r w:rsidR="00DA5F6E">
        <w:t>poor and would not reach the positive outcomes that we wish for</w:t>
      </w:r>
      <w:r w:rsidR="007F7D27">
        <w:t xml:space="preserve">. During this assignment I have </w:t>
      </w:r>
      <w:r w:rsidR="002C4F5B">
        <w:t xml:space="preserve">gained a better understanding how important everyone’s involvement and individual role is, it has </w:t>
      </w:r>
      <w:r w:rsidR="00D73683">
        <w:t>ensured to me complete work on time to ensure that the group</w:t>
      </w:r>
      <w:r w:rsidR="00C673AC">
        <w:t xml:space="preserve"> is on </w:t>
      </w:r>
      <w:r w:rsidR="0031570B">
        <w:t>good time management</w:t>
      </w:r>
      <w:r w:rsidR="00017733">
        <w:t xml:space="preserve">. Ive expanded my knowledge on </w:t>
      </w:r>
      <w:r w:rsidR="00C805DB">
        <w:t xml:space="preserve">UNCRC childrens rights </w:t>
      </w:r>
      <w:r w:rsidR="00F9126D">
        <w:t>o</w:t>
      </w:r>
      <w:r w:rsidR="000D46D7">
        <w:t xml:space="preserve">f </w:t>
      </w:r>
      <w:r w:rsidR="00E6288D">
        <w:t>the</w:t>
      </w:r>
      <w:r w:rsidR="000D46D7">
        <w:t xml:space="preserve"> child and </w:t>
      </w:r>
      <w:r w:rsidR="00C07CAB">
        <w:t xml:space="preserve">I have a better understanding of the </w:t>
      </w:r>
      <w:r w:rsidR="00EB0349">
        <w:t>policies</w:t>
      </w:r>
      <w:r w:rsidR="00C07CAB">
        <w:t xml:space="preserve"> and </w:t>
      </w:r>
      <w:r w:rsidR="00441E09">
        <w:t xml:space="preserve">procedures in place to safeguard and protect children from harm from gaining this it will allow me to </w:t>
      </w:r>
      <w:r w:rsidR="00F51366">
        <w:t xml:space="preserve">be able to help a child in the future and be able to have the confidence to report concerns </w:t>
      </w:r>
      <w:r w:rsidR="00933D4C">
        <w:t>that I may have</w:t>
      </w:r>
      <w:r w:rsidR="00DF616E">
        <w:t xml:space="preserve"> in my future as a teacher. </w:t>
      </w:r>
    </w:p>
    <w:p w14:paraId="0EECB18A" w14:textId="77777777" w:rsidR="00BF5E6B" w:rsidRDefault="00BF5E6B"/>
    <w:p w14:paraId="7136DC71" w14:textId="63176F5B" w:rsidR="00BF5E6B" w:rsidRDefault="00BF5E6B">
      <w:r>
        <w:t xml:space="preserve">Script and reference list </w:t>
      </w:r>
      <w:r w:rsidR="00DD60E2">
        <w:t>–</w:t>
      </w:r>
    </w:p>
    <w:p w14:paraId="52A9C767" w14:textId="77777777" w:rsidR="00DD60E2" w:rsidRDefault="00DD60E2"/>
    <w:p w14:paraId="4A515CE5" w14:textId="77777777" w:rsidR="0017583C" w:rsidRPr="0017583C" w:rsidRDefault="0017583C" w:rsidP="0017583C">
      <w:pPr>
        <w:spacing w:before="240" w:after="240"/>
        <w:jc w:val="center"/>
        <w:divId w:val="1740710728"/>
        <w:rPr>
          <w:rFonts w:cs="Times New Roman"/>
          <w:kern w:val="0"/>
          <w:sz w:val="24"/>
          <w:szCs w:val="24"/>
          <w14:ligatures w14:val="none"/>
        </w:rPr>
      </w:pPr>
      <w:r w:rsidRPr="0017583C">
        <w:rPr>
          <w:rFonts w:cs="Arial"/>
          <w:color w:val="000000"/>
          <w:kern w:val="0"/>
          <w:sz w:val="24"/>
          <w:szCs w:val="24"/>
          <w:u w:val="single"/>
          <w14:ligatures w14:val="none"/>
        </w:rPr>
        <w:t>Presentation Script - Ensure everyone includes Statutory Requirements, and the UNCRC</w:t>
      </w:r>
    </w:p>
    <w:p w14:paraId="2E65AB56" w14:textId="77777777" w:rsidR="0017583C" w:rsidRPr="0017583C" w:rsidRDefault="0017583C" w:rsidP="0017583C">
      <w:pPr>
        <w:spacing w:before="240" w:after="240"/>
        <w:divId w:val="1740710728"/>
        <w:rPr>
          <w:rFonts w:cs="Times New Roman"/>
          <w:kern w:val="0"/>
          <w:sz w:val="24"/>
          <w:szCs w:val="24"/>
          <w14:ligatures w14:val="none"/>
        </w:rPr>
      </w:pPr>
      <w:r w:rsidRPr="0017583C">
        <w:rPr>
          <w:rFonts w:cs="Arial"/>
          <w:color w:val="000000"/>
          <w:kern w:val="0"/>
          <w:sz w:val="24"/>
          <w:szCs w:val="24"/>
          <w:u w:val="single"/>
          <w14:ligatures w14:val="none"/>
        </w:rPr>
        <w:t>Roles -</w:t>
      </w:r>
    </w:p>
    <w:p w14:paraId="0D6ADC89" w14:textId="77777777" w:rsidR="0017583C" w:rsidRPr="0017583C" w:rsidRDefault="0017583C" w:rsidP="0017583C">
      <w:pPr>
        <w:numPr>
          <w:ilvl w:val="0"/>
          <w:numId w:val="1"/>
        </w:numPr>
        <w:spacing w:before="240"/>
        <w:textAlignment w:val="baseline"/>
        <w:divId w:val="1740710728"/>
        <w:rPr>
          <w:rFonts w:cs="Arial"/>
          <w:color w:val="000000"/>
          <w:kern w:val="0"/>
          <w:sz w:val="24"/>
          <w:szCs w:val="24"/>
          <w14:ligatures w14:val="none"/>
        </w:rPr>
      </w:pPr>
      <w:r w:rsidRPr="0017583C">
        <w:rPr>
          <w:rFonts w:cs="Arial"/>
          <w:color w:val="000000"/>
          <w:kern w:val="0"/>
          <w:sz w:val="24"/>
          <w:szCs w:val="24"/>
          <w:u w:val="single"/>
          <w14:ligatures w14:val="none"/>
        </w:rPr>
        <w:t>Leah - Social Worker</w:t>
      </w:r>
    </w:p>
    <w:p w14:paraId="579B2286" w14:textId="77777777" w:rsidR="0017583C" w:rsidRPr="0017583C" w:rsidRDefault="0017583C" w:rsidP="0017583C">
      <w:pPr>
        <w:numPr>
          <w:ilvl w:val="0"/>
          <w:numId w:val="1"/>
        </w:numPr>
        <w:textAlignment w:val="baseline"/>
        <w:divId w:val="1740710728"/>
        <w:rPr>
          <w:rFonts w:cs="Arial"/>
          <w:color w:val="000000"/>
          <w:kern w:val="0"/>
          <w:sz w:val="24"/>
          <w:szCs w:val="24"/>
          <w14:ligatures w14:val="none"/>
        </w:rPr>
      </w:pPr>
      <w:r w:rsidRPr="0017583C">
        <w:rPr>
          <w:rFonts w:cs="Arial"/>
          <w:color w:val="000000"/>
          <w:kern w:val="0"/>
          <w:sz w:val="24"/>
          <w:szCs w:val="24"/>
          <w:u w:val="single"/>
          <w14:ligatures w14:val="none"/>
        </w:rPr>
        <w:t>Charleigh - Key Worker </w:t>
      </w:r>
    </w:p>
    <w:p w14:paraId="758855B4" w14:textId="77777777" w:rsidR="0017583C" w:rsidRPr="0017583C" w:rsidRDefault="0017583C" w:rsidP="0017583C">
      <w:pPr>
        <w:numPr>
          <w:ilvl w:val="0"/>
          <w:numId w:val="1"/>
        </w:numPr>
        <w:textAlignment w:val="baseline"/>
        <w:divId w:val="1740710728"/>
        <w:rPr>
          <w:rFonts w:cs="Arial"/>
          <w:color w:val="000000"/>
          <w:kern w:val="0"/>
          <w:sz w:val="24"/>
          <w:szCs w:val="24"/>
          <w14:ligatures w14:val="none"/>
        </w:rPr>
      </w:pPr>
      <w:r w:rsidRPr="0017583C">
        <w:rPr>
          <w:rFonts w:cs="Arial"/>
          <w:color w:val="000000"/>
          <w:kern w:val="0"/>
          <w:sz w:val="24"/>
          <w:szCs w:val="24"/>
          <w:u w:val="single"/>
          <w14:ligatures w14:val="none"/>
        </w:rPr>
        <w:t>Cerys - Police Officer </w:t>
      </w:r>
    </w:p>
    <w:p w14:paraId="0A4CD13B" w14:textId="77777777" w:rsidR="0017583C" w:rsidRPr="0017583C" w:rsidRDefault="0017583C" w:rsidP="0017583C">
      <w:pPr>
        <w:numPr>
          <w:ilvl w:val="0"/>
          <w:numId w:val="1"/>
        </w:numPr>
        <w:textAlignment w:val="baseline"/>
        <w:divId w:val="1740710728"/>
        <w:rPr>
          <w:rFonts w:cs="Arial"/>
          <w:color w:val="000000"/>
          <w:kern w:val="0"/>
          <w:sz w:val="24"/>
          <w:szCs w:val="24"/>
          <w14:ligatures w14:val="none"/>
        </w:rPr>
      </w:pPr>
      <w:r w:rsidRPr="0017583C">
        <w:rPr>
          <w:rFonts w:cs="Arial"/>
          <w:color w:val="000000"/>
          <w:kern w:val="0"/>
          <w:sz w:val="24"/>
          <w:szCs w:val="24"/>
          <w:u w:val="single"/>
          <w14:ligatures w14:val="none"/>
        </w:rPr>
        <w:t>Molly - Substance Misuse Support Officer </w:t>
      </w:r>
    </w:p>
    <w:p w14:paraId="40037B0F" w14:textId="77777777" w:rsidR="0017583C" w:rsidRPr="0017583C" w:rsidRDefault="0017583C" w:rsidP="0017583C">
      <w:pPr>
        <w:numPr>
          <w:ilvl w:val="0"/>
          <w:numId w:val="1"/>
        </w:numPr>
        <w:spacing w:after="240"/>
        <w:textAlignment w:val="baseline"/>
        <w:divId w:val="1740710728"/>
        <w:rPr>
          <w:rFonts w:cs="Arial"/>
          <w:color w:val="000000"/>
          <w:kern w:val="0"/>
          <w:sz w:val="24"/>
          <w:szCs w:val="24"/>
          <w14:ligatures w14:val="none"/>
        </w:rPr>
      </w:pPr>
      <w:r w:rsidRPr="0017583C">
        <w:rPr>
          <w:rFonts w:cs="Arial"/>
          <w:color w:val="000000"/>
          <w:kern w:val="0"/>
          <w:sz w:val="24"/>
          <w:szCs w:val="24"/>
          <w:u w:val="single"/>
          <w14:ligatures w14:val="none"/>
        </w:rPr>
        <w:t>Lily - Health Visitor</w:t>
      </w:r>
    </w:p>
    <w:p w14:paraId="6094B1E2" w14:textId="77777777" w:rsidR="0017583C" w:rsidRPr="0017583C" w:rsidRDefault="0017583C" w:rsidP="0017583C">
      <w:pPr>
        <w:spacing w:before="240" w:after="240"/>
        <w:divId w:val="1740710728"/>
        <w:rPr>
          <w:rFonts w:cs="Times New Roman"/>
          <w:kern w:val="0"/>
          <w:sz w:val="24"/>
          <w:szCs w:val="24"/>
          <w14:ligatures w14:val="none"/>
        </w:rPr>
      </w:pPr>
      <w:r w:rsidRPr="0017583C">
        <w:rPr>
          <w:rFonts w:cs="Arial"/>
          <w:color w:val="000000"/>
          <w:kern w:val="0"/>
          <w:sz w:val="24"/>
          <w:szCs w:val="24"/>
          <w:u w:val="single"/>
          <w:shd w:val="clear" w:color="auto" w:fill="D5A6BD"/>
          <w14:ligatures w14:val="none"/>
        </w:rPr>
        <w:t>Leah - 844 Words </w:t>
      </w:r>
    </w:p>
    <w:p w14:paraId="4379173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Good morning, my name is Leah Waters, and my student number is 2205231. My role within this conference is Sam’s Social Worker. As explained by Action for Me (2019), it is a social worker's duty to provide support to children and their families through tough experiences, whilst also ensuring that those who are vulnerable are protected from harm. Further supported by Ealing Council (no date), it is the social worker's responsibility to contact all agencies that are directly linked to the child and their family to gather novel knowledge and evidence of potential harm inflicted to the child.</w:t>
      </w:r>
    </w:p>
    <w:p w14:paraId="177CC3AB"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To preface this meeting, following guidance from the Data Protection Act (2018), it is advised that confidentiality is consistent throughout this meeting, therefore, Child A will be referred to as Sam, and Child B will be referred to as Rosie.</w:t>
      </w:r>
    </w:p>
    <w:p w14:paraId="286B486C"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I have reached out to the parents of the following children; however, they have not responded. Therefore, this meeting will commence with those who are here today.</w:t>
      </w:r>
    </w:p>
    <w:p w14:paraId="36C60DC8"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Today we are gathered in this Child Protection Conference to discuss the welfare of Sam and Rosie based on the concerns raised by those present. Leading up to this meeting, I reviewed multiple referrals from various professionals who were directly in contact with the children and adults involved. After which, I and my team decided immediately to hold a strategy discussion meeting, this allowed us to determine if Section 47 inquiries were needed. As supported by SCIE (2012), a section 47 inquiry is an investigation the social services pursue when they suspect a child is potentially experiencing harm. It permits professionals the ability to gather all the information from multi-agency professionals to make an informed decision on if a child is suffering. After section 47 inquiries are made, if it is determined that children within the household are at risk of potential harm, a Child Protection Conference is planned. This is why we are here today. </w:t>
      </w:r>
    </w:p>
    <w:p w14:paraId="670B947C"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Furthermore, the aim of this meeting is for everyone present to agree upon a conclusion that ensures the safety of both children, as well as provide support to any vulnerable adults involved.</w:t>
      </w:r>
    </w:p>
    <w:p w14:paraId="424C494A"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I would like to highlight Article 19 of The UNCRC (2019), which emphasises the importance of protecting children from violence, abuse, and neglect. Additionally, as noted within the Children’s Act (2004), it is paramount that those working with children are aware of their roles and responsibilities. This includes, safeguarding and protection of all children. As supported by UK Government (2023) safeguarding can be defined as actions taken to prevent and protect children from harm.</w:t>
      </w:r>
    </w:p>
    <w:p w14:paraId="03A4797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As supported by NSPCC (No date) neglect can be described as the failure to reach children’s basic needs. They further explain that many factors can fit into this term, such as Physical, Educational, Emotional, and Medical.</w:t>
      </w:r>
    </w:p>
    <w:p w14:paraId="57D4C56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As supported by Giardino, et al. (2018) physical neglect can be when children’s basic needs, such as food, shelter, or appropriate clothing are not met. Additionally, Van Wert, et al. (2018) suggest that Educational Neglect is when a parent or guardian passively or purposefully dismisses a child’s educational needs, this can often have a detrimental effect on children’s development and well-being. As supported by Hughes and Cossar (2016) Emotional Neglect can be widely defined as non-physical, damaging experiences between a child and their caregivers. Lastly, Alwash and Palusci (2022) explain that Medical Neglect can be described as insufficient medical care given to children when they require it. This can include, dental care, and the denial of medical recommendations or appointments. Expanded upon by Sterling (2019), this form of neglect can regularly result in detrimental health consequences, often leading to fatalities.</w:t>
      </w:r>
    </w:p>
    <w:p w14:paraId="18A63EAA"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Regarding this specific case, many of us here today have highlighted concerns linked to physical and emotional neglect.</w:t>
      </w:r>
    </w:p>
    <w:p w14:paraId="3CBEBA5A"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When discussing possible neglect cases, it is significant for all professionals involved to consider Maslow’s Hierarchy of Needs (1943), as this provides insight into the negative impact that the lack of food, love, and shelter has on children’s holistic development. For example, Dahake, et al. (2018) discuss that children who encounter neglect and abuse may experience immediate psychological and physical health effects, which often translate into adulthood.</w:t>
      </w:r>
    </w:p>
    <w:p w14:paraId="7BFFEA2E"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Miss Steel, may you please enlighten us on your experiences with this case…</w:t>
      </w:r>
    </w:p>
    <w:p w14:paraId="23C7DE9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u w:val="single"/>
          <w:shd w:val="clear" w:color="auto" w:fill="008B8B"/>
          <w14:ligatures w14:val="none"/>
        </w:rPr>
        <w:t>Solution -</w:t>
      </w:r>
      <w:r w:rsidRPr="0017583C">
        <w:rPr>
          <w:rFonts w:cs="Arial"/>
          <w:color w:val="000000"/>
          <w:kern w:val="0"/>
          <w:sz w:val="28"/>
          <w:szCs w:val="28"/>
          <w:u w:val="single"/>
          <w:shd w:val="clear" w:color="auto" w:fill="A2C4C9"/>
          <w14:ligatures w14:val="none"/>
        </w:rPr>
        <w:t> </w:t>
      </w:r>
    </w:p>
    <w:p w14:paraId="45B35F0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I would like to thank everyone who has voiced their concerns regarding both children this morning. From the evidence-based statements made within this meeting, are we all in agreement that the male in question should be removed from the family home and placed in a support programme? </w:t>
      </w:r>
    </w:p>
    <w:p w14:paraId="0D51B2BD"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14:ligatures w14:val="none"/>
        </w:rPr>
        <w:t>Additionally, as a team, we have agreed that both children shall remain in the mother's custody. However, As supported by the Social Services and Well-being (Wales) Act (2014) an assessment shall be carried out to discover the appropriate support the family requires. This Act further aims to improve the well-being of those in need of extra support, alongside keeping children safe. Nevertheless, if the condition of the children, and home do not improve, an additional meeting shall be held to determine the next stages to ensure the children receive the best quality care and support.</w:t>
      </w:r>
    </w:p>
    <w:p w14:paraId="1242C7AB" w14:textId="77777777" w:rsidR="0017583C" w:rsidRPr="0017583C" w:rsidRDefault="0017583C" w:rsidP="0017583C">
      <w:pPr>
        <w:spacing w:after="240"/>
        <w:divId w:val="1740710728"/>
        <w:rPr>
          <w:rFonts w:eastAsia="Times New Roman" w:cs="Times New Roman"/>
          <w:kern w:val="0"/>
          <w:sz w:val="24"/>
          <w:szCs w:val="24"/>
          <w14:ligatures w14:val="none"/>
        </w:rPr>
      </w:pPr>
    </w:p>
    <w:p w14:paraId="26F297C8" w14:textId="77777777" w:rsidR="0017583C" w:rsidRPr="0017583C" w:rsidRDefault="0017583C" w:rsidP="0017583C">
      <w:pPr>
        <w:spacing w:before="240" w:after="240"/>
        <w:divId w:val="1740710728"/>
        <w:rPr>
          <w:rFonts w:cs="Times New Roman"/>
          <w:kern w:val="0"/>
          <w:sz w:val="24"/>
          <w:szCs w:val="24"/>
          <w14:ligatures w14:val="none"/>
        </w:rPr>
      </w:pPr>
      <w:r w:rsidRPr="0017583C">
        <w:rPr>
          <w:rFonts w:cs="Arial"/>
          <w:color w:val="000000"/>
          <w:kern w:val="0"/>
          <w:sz w:val="28"/>
          <w:szCs w:val="28"/>
          <w:u w:val="single"/>
          <w:shd w:val="clear" w:color="auto" w:fill="B4A7D6"/>
          <w14:ligatures w14:val="none"/>
        </w:rPr>
        <w:t>Charleigh - 796 words</w:t>
      </w:r>
    </w:p>
    <w:p w14:paraId="43B59106" w14:textId="77777777" w:rsidR="0017583C" w:rsidRPr="0017583C" w:rsidRDefault="0017583C" w:rsidP="0017583C">
      <w:pPr>
        <w:numPr>
          <w:ilvl w:val="0"/>
          <w:numId w:val="2"/>
        </w:numPr>
        <w:spacing w:before="240" w:after="240"/>
        <w:textAlignment w:val="baseline"/>
        <w:divId w:val="1740710728"/>
        <w:rPr>
          <w:rFonts w:cs="Arial"/>
          <w:color w:val="000000"/>
          <w:kern w:val="0"/>
          <w14:ligatures w14:val="none"/>
        </w:rPr>
      </w:pPr>
      <w:r w:rsidRPr="0017583C">
        <w:rPr>
          <w:rFonts w:cs="Times New Roman"/>
          <w:color w:val="000000"/>
          <w:kern w:val="0"/>
          <w:sz w:val="14"/>
          <w:szCs w:val="14"/>
          <w:shd w:val="clear" w:color="auto" w:fill="B4A7D6"/>
          <w14:ligatures w14:val="none"/>
        </w:rPr>
        <w:t> </w:t>
      </w:r>
      <w:r w:rsidRPr="0017583C">
        <w:rPr>
          <w:rFonts w:cs="Arial"/>
          <w:color w:val="000000"/>
          <w:kern w:val="0"/>
          <w:sz w:val="26"/>
          <w:szCs w:val="26"/>
          <w:shd w:val="clear" w:color="auto" w:fill="B4A7D6"/>
          <w14:ligatures w14:val="none"/>
        </w:rPr>
        <w:t>Described by Birth to five matters (no date) a key worker within the early years is a person responsible for supporting a specific group of children and their families.</w:t>
      </w:r>
    </w:p>
    <w:p w14:paraId="278963F4"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6"/>
          <w:szCs w:val="26"/>
          <w14:ligatures w14:val="none"/>
        </w:rPr>
        <w:t>Good morning, my name is Charleigh Steel, My role within this meeting is the key worker based in the setting in which the child attends. As Sam’s key worker, I have observed that he is usually a happy, enthusiastic, and confident little boy. However, within the last month, I and co-workers have noticed a drastic change in both Sam’s behaviour and appearance. Due to this, we have periodically taken note of it in our ‘my concern’ diary. Within this conference today, I will be voicing such concerns, in order to find the best outcome for both the child and family.</w:t>
      </w:r>
    </w:p>
    <w:p w14:paraId="5CCC5A23"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6"/>
          <w:szCs w:val="26"/>
          <w14:ligatures w14:val="none"/>
        </w:rPr>
        <w:t>The concerns noted include Sam attending the setting wearing dirty clothes. In addition to this, the child’s level of hygiene has deteriorated significantly over the course of the last few weeks, this consists of Sam not brushing his teeth or his hair. We have also noticed a drastic change in Sam’s demeanor. For example, within the setting he has become isolated from his peers, and noticeably withdrawn, quiet and often does not want to engage during activities. A further concern was one morning, where Sam arrived at the setting with an unknown male,  which evidently smelt like alcohol. </w:t>
      </w:r>
    </w:p>
    <w:p w14:paraId="26AACA08"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6"/>
          <w:szCs w:val="26"/>
          <w14:ligatures w14:val="none"/>
        </w:rPr>
        <w:t>The impact of the listed concerns on Sam’s holistic development can be significant. As stated by, Child Welfare (2023) a child’s experiences and interactions within the early years can have a fundamental impact on their development, specifically cognitive development. Negative experiences as a child where caregivers abuse or provide no interactions at all, results in the brain becoming hyper alert to danger or is unable to fully develop. This influences their responses to kindness and nurture impairing their perspective of positive relationships and environments. This is supported by Killam and Degges-White (2017) when describing Bronfenbrenner’s theory (1994) on child development. Bronfenbrenner’s perspective focused on the quality and context of a child’s environment. Considering this theory, it was recognised that children who grow through stimulating experiences and positive relationships are able to foster a pleasant sense of self and the world around them. Further consequences of neglect on a child’s development are indicated by the Safeguarding Children Partnership Board (2019) when describing the physical, emotional and social impacts of neglect. Such impacts include physical attributes like malnutrition, hearing loss, vision problems additionally, respiratory damage due to a lack in a proper diet and access to health care. As well as, children developing the inability to  acquire social skills, having an effect on their ability to form attachments and play skills causing disorders like anxiety. The child’s emotional development can also be implicated, children who are neglected often are withdrawn, sad and unresponsive. Creating a lack in their self-esteem, the child may then become aggressive or openly rebellious. As practitioners we should consider the Care Standards Act (2000) describing that caregivers should meet regulated standards of care, hygiene and education whilst taking into consideration the UNCRC (2019) article 6. Where it is stated that every child has the right to life. Governments must do all they can to ensure that children survive and develop to their full potential. Described by the Early Years alliance (2019) through effective policies and procedures with regard to framework’s within early years settings practitioners are able to provide a safe and stimulating environment for children, which promotes both their health and well-being. Considering child protection and safeguarding procedures within settings with the main priority being a child centred approach whilst protecting all staff involved when voicing their concerns. Policies and procedures based upon legislation such as the Children’s Act (2004) promotes that child centred approach which requires multi agency working, where each child is allocated a personal safeguarding officer that places focus on protecting the child’s holistic development. Based upon previous tragedies for example Victoria Climbie legislation was developed further to improve practice of safeguarding within settings. This is supported by Harding (2014) perspective of child care policies within settings. Harding recognised that change was needed within settings, this theory was put into practice enabiling practitioners to effectively recognise signs of mistreatment and abuse. Described by NSPCC (2023) practitioners should be aware of why children may feel unable to disclose potential mistreatment, for example, they may feel that they have no one to turn to or that the person may not understand, as well as, the child not having a true understanding of what is happening to them, the fear of the consequences of disclosing or having negative feelings of what they have experienced suggesting embarrassment or shame. Young children require a sense of being reassured by practitioners in order to encourage children to talk about their experiences accompanying their home life. Through observations and effective relationships key workers are able to gather an idea of the state of a child’s health and well-being at home.</w:t>
      </w:r>
    </w:p>
    <w:p w14:paraId="01155C2B"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u w:val="single"/>
          <w14:ligatures w14:val="none"/>
        </w:rPr>
        <w:t>Reflection- 344 words</w:t>
      </w:r>
    </w:p>
    <w:p w14:paraId="2B7D8722"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To reflect, prior to this module through my health care GCSE and A level I was aware of what safeguarding was and the significance it has within practice however I had not fully considered what an abused child may look like or what is regarded as a concern whereas I now feel confident in these areas, as it is a practitioner's duty of care to express concerns when necessary. Cases like Victoria Climbie have connected with me on a personal level, as I was offered a sense of insight on the importance of professional love within the Early Years, in addition to building relationships to determine the norms of the child. Whilst considering the policies and procedures put into place to meet a high standard of care for children like the DBS check. Considering myself within practice through analysing case study three, which has been both upsetting yet insightful. I have become more aware of some of the upsetting circumstances that may become real life throughout my time as an early year's professional. As well as, that Legislation is inevitably progressing to meet the requirements to provide a greater holistic approach to safeguarding. A further development of legislation is the Children’s Act 2004 which offers opportunities for multiagency. Regarding this assignment working in a team, I enjoyed yet found difficult. Gaining different perspectives and ideas from each member's point of view was very beneficial and exciting. However, I did find it complex combining everyone’s different opinions and schedules although I felt we worked well as a team. I felt this prepared me for future circumstances where I will be part of a team both in practice and throughout my studies. Additionally, I have become more educated on the UNCRC along with the variety of roles that are available when safeguarding. I feel this module will benefit me greatly in practice, as I am now confident in who I am able to contact if I have a concern along with what a concern may look like and why it is wrong based upon legislative acts.</w:t>
      </w:r>
    </w:p>
    <w:p w14:paraId="09B5EEF6"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8"/>
          <w:szCs w:val="28"/>
          <w:u w:val="single"/>
          <w:shd w:val="clear" w:color="auto" w:fill="93C47D"/>
          <w14:ligatures w14:val="none"/>
        </w:rPr>
        <w:t xml:space="preserve">Cerys - 744 words </w:t>
      </w:r>
      <w:r w:rsidRPr="0017583C">
        <w:rPr>
          <w:rFonts w:cs="Arial"/>
          <w:color w:val="000000"/>
          <w:kern w:val="0"/>
          <w14:ligatures w14:val="none"/>
        </w:rPr>
        <w:t> </w:t>
      </w:r>
    </w:p>
    <w:p w14:paraId="239CF68C"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Good morning my name is Cerys Floyd, and I am here today as a police officer, I have been invited to attend this meeting today following a recent visit to the family home due to concerns about the health, well being and the safety of the children.</w:t>
      </w:r>
    </w:p>
    <w:p w14:paraId="57AB2A45"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In addition to Miss Steel’s input, I as a Police Officer have attended the child’s household on numerous occasions due to multiple complaints of disturbances within the family home.</w:t>
      </w:r>
    </w:p>
    <w:p w14:paraId="5C816D3F"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Upon arrival, the male in question met myself and another officer at the entrance to the property. Our first impression was that it was evident that the male was intoxicated and that there was an unpleasant odour coming from within the home. He further demonstrated an aggressive and agitated demeanour. </w:t>
      </w:r>
    </w:p>
    <w:p w14:paraId="6C48F9C1"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We attended to a report of shouting and the sound of a child crying, as we walked into the living room there was a female holding a baby, which after further investigation, we later discovered that it was the mother and little sister of Sam. During this visit, she appeared to be visibly distressed and seemed to be very uncomfortable and withdrawn. Entering into the kitchen we noticed that there were a number of empty alcoholic beverages placed upon the worktop. After my colleague attempted to communicate with the distraught female, the known male assertively spoke for her. Whilst my colleague was consoling the female, I could hear crying from a young child upstairs.</w:t>
      </w:r>
    </w:p>
    <w:p w14:paraId="46A24238"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 I promptly assessed the situation to find a young child distressed. After allowing the child time to settle, they were able to express their concerns and fear of the events taking place inside the home. Visually I noticed the poor condition of the appearance and living situation of the child. Following this discovery, I decided to question the mother and said man regarding the state of the home, and the child’s appearance. Throughout the questioning process, the known man insisted that the reasoning behind the child’s poor hygiene was due to lack of funds on the water and electric meter. After leaving the property myself and my colleague had a discussion, which resulted in the decision for the situation to be monitored based on the conditions of the home and child.</w:t>
      </w:r>
    </w:p>
    <w:p w14:paraId="59D347C4"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Based upon Article 27 of the United Nations Convention on the Rights of the Child every child should have an adequate standard of living this means that every child has the right to live with sufficient standards to be able to meet and support all the developmental needs of the child. </w:t>
      </w:r>
    </w:p>
    <w:p w14:paraId="197519D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Further linking to safeguarding, protecting children is a priority within the police force. It is highlighted to protect children from danger or harm within the police force criteria and to ensure the safety of children is investigated if any worries are raised. Such worries can be raised by members of the public and other health professionals that may have contact with the child or family. Within the police force there are dedicated child protection officers which receive regular specialist training to develop their knowledge and understanding of child abuse cases, however, as suggested by UK Government (2016) every police officer has a role to identify and protect children from abuse or harm. </w:t>
      </w:r>
    </w:p>
    <w:p w14:paraId="3C6D6609"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The protection of Children’s Act 1999 is an act which requires the police force to be aware of the individuals that are unable to work with children. Previous checks such as CRB which is the criminal record bureau system was an introduction of the independent safeguarding authority (ISA). Due to previous events such as the Holly Wells and Jessica Chapman case the police have tightened the vetting of the process within the criminal record bureau. As a result of this people who work with children require a DBS check.</w:t>
      </w:r>
    </w:p>
    <w:p w14:paraId="4BF036B1"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According to UK Government (2012) the Disclosure and barring system (DBS) was introduced by the merging of criminal records bureau and the independent safeguarding authority. This process requires employers to check criminal records of individuals that are applying for jobs. Linking to this act, South Wales Police (2023) suggests that it is significant to raise any concerns that you may have even if you are not certain they are factual as these reports could save a childs life. There are many services and professionals that you can report your concerns to or request help. For example, NSPCC offer individuals the ability to speak with professionals with confidentiality in mind. Moving on from this we will be hearing from miss dyre’s perspective.</w:t>
      </w:r>
    </w:p>
    <w:p w14:paraId="596F12D2" w14:textId="77777777" w:rsidR="0017583C" w:rsidRPr="0017583C" w:rsidRDefault="0017583C" w:rsidP="0017583C">
      <w:pPr>
        <w:spacing w:after="240"/>
        <w:divId w:val="1740710728"/>
        <w:rPr>
          <w:rFonts w:eastAsia="Times New Roman" w:cs="Times New Roman"/>
          <w:kern w:val="0"/>
          <w:sz w:val="24"/>
          <w:szCs w:val="24"/>
          <w14:ligatures w14:val="none"/>
        </w:rPr>
      </w:pPr>
    </w:p>
    <w:p w14:paraId="1531D90F"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6"/>
          <w:szCs w:val="26"/>
          <w:shd w:val="clear" w:color="auto" w:fill="76A5AF"/>
          <w14:ligatures w14:val="none"/>
        </w:rPr>
        <w:t>Lily-Mai (865 words)</w:t>
      </w:r>
    </w:p>
    <w:p w14:paraId="3460D4F7" w14:textId="77777777" w:rsidR="0017583C" w:rsidRPr="0017583C" w:rsidRDefault="0017583C" w:rsidP="0017583C">
      <w:pPr>
        <w:spacing w:after="240"/>
        <w:jc w:val="both"/>
        <w:divId w:val="1740710728"/>
        <w:rPr>
          <w:rFonts w:cs="Times New Roman"/>
          <w:kern w:val="0"/>
          <w:sz w:val="24"/>
          <w:szCs w:val="24"/>
          <w14:ligatures w14:val="none"/>
        </w:rPr>
      </w:pPr>
      <w:r w:rsidRPr="0017583C">
        <w:rPr>
          <w:rFonts w:cs="Arial"/>
          <w:color w:val="000000"/>
          <w:kern w:val="0"/>
          <w:sz w:val="24"/>
          <w:szCs w:val="24"/>
          <w14:ligatures w14:val="none"/>
        </w:rPr>
        <w:t>Good morning, my name is Lily-Mai Dyer. As both Sam and Rosie’s family health visitor, I am present in this conference today as I have also noticed indications that lead me to believe that there are possible health and safety issues concerning Sam and his living conditions. As stated by the NHS (no date) my role as a health visitor is not only to ensure that the child is healthy, but also to support their well-being. However, most importantly to this meeting, they also state that as a health visitor it is very common for you to be the first professional to recognise that a child is at risk of harm as you work very closely to the family and the child immediately after they are born. In effect it is the health visitor’s duty to ensure that the child is safeguarded and is able to identify any risk or harm that the child may be exposed to.   </w:t>
      </w:r>
    </w:p>
    <w:p w14:paraId="01D6CA45"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During my visit to the home, I can agree with Miss Floyd when saying that the home environment was untidy and also unhygienic to a certain degree. My visit to the home took place on a Monday and I was also greeted by several empty beer bottles around the house. When the male in question was asked about this due to the amount of alcoholic beverages, he was quite defensive, and his reasoning behind the empty bottles was that he had a few to drink on the weekend and had just not discarded the empty glass bottles. Office for National Statistics (2017) shows that not only are men more subjected to being excessive drinkers than women, but they also show that the most harmful drinking is most prevalent amongst middle-aged men. Putting this together with Miss Steel's evidence of the male in question attending the setting with a clear scent of alcohol, this shows that the male in question is more often than not intoxicated which definitely needs to be dealt with for the safety of himself and his family. As well as this, some of the glass bottles were left in reach of Sam and NHS (2022) shows that young children should not be exposed to glass bottles as it can cause serious cuts and children should not be allowed to hold anything made of glass and it should be discarded immediately. As well as this, Institute of Alcohol Studies (2023) show that in some studies it has been found that 73% of abuse takes place when the abuser is under the influence of alcohol. This raises my concern for Sam and Rosie as if this issue is not dealt with, it could further negatively affect their mental health. DomesticsShelter.org (2017) also shows that unfortunately verbal abuse often escalates to physical abuse. With this being known, it is crucial to intervene with this situation to prevent the abuse from escalating and becoming physical which would affect Sam further. It is possible that the alcohol intake is due to the stress of having two young children and therefore I would recommend that the male is offered extra support to help with this queried addiction. </w:t>
      </w:r>
    </w:p>
    <w:p w14:paraId="281A77EF"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UNICEF (1992) displays the UN Convention on the Rights of the Child (UNCRC) including article 24. The UNCRC Article 24 states that every child has the right to the best possible health and to ensure that each child is supplied with quality health care by health professionals such as health visitors. Mcleod (2023) focuses on Maslow’s hierarchy of needs. Maslow's theory states that each child requires the most basic needs such as food, clean water, shelter, and a safe and hygienic environment in order to grow and develop in life. Maslow also shows that the child's health is crucial to a child and needs to be monitored and supported by their parents and adults around them. After reviewing Sam from birth to age 3, I have noticed a decline in the child's health and well-being. When I first started working with the family there didn't seem to be any initial issues or concerns about the child or the living environment. However, after conceiving Sam’s sister Rosie, it seems that the entire family has been struggling with their health and well-being. Comparing my notes from my visits with Miss Steel’s observations of Sam, it is clear to see that the child is struggling with their health both physically and mentally. Also, I noticed that mum is especially withdrawn and doesn't communicate much during my visits and is often spoken for by the intoxicated male. Due to this I am suggesting that frequent welfare checkups are put in place for both children and mum as well as the consistent health visitor sessions. Mcleod (2023) explains Bandura’s social learning theory. Within this theory Bandura explains that children depend and rely on the adults around them and view them as role models. Due to this, it is very likely that Sam, and possibly Rosie in the future, may develop learnt behaviour from the mother’s stress which could take a drastic toll on the child’s well-being and mental health. This reinforces the importance of us professionals taking the appropriate steps in order to improve Sam’s quality of life.</w:t>
      </w:r>
    </w:p>
    <w:p w14:paraId="1A77CE84" w14:textId="77777777" w:rsidR="0017583C" w:rsidRPr="0017583C" w:rsidRDefault="0017583C" w:rsidP="0017583C">
      <w:pPr>
        <w:divId w:val="1740710728"/>
        <w:rPr>
          <w:rFonts w:eastAsia="Times New Roman" w:cs="Times New Roman"/>
          <w:kern w:val="0"/>
          <w:sz w:val="24"/>
          <w:szCs w:val="24"/>
          <w14:ligatures w14:val="none"/>
        </w:rPr>
      </w:pPr>
    </w:p>
    <w:p w14:paraId="013A5B66"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6"/>
          <w:szCs w:val="26"/>
          <w:u w:val="single"/>
          <w:shd w:val="clear" w:color="auto" w:fill="76A5AF"/>
          <w14:ligatures w14:val="none"/>
        </w:rPr>
        <w:t> Molly 744 words</w:t>
      </w:r>
    </w:p>
    <w:p w14:paraId="36D1096F" w14:textId="77777777" w:rsidR="0017583C" w:rsidRPr="0017583C" w:rsidRDefault="0017583C" w:rsidP="0017583C">
      <w:pPr>
        <w:spacing w:before="240" w:after="240"/>
        <w:jc w:val="both"/>
        <w:divId w:val="1740710728"/>
        <w:rPr>
          <w:rFonts w:cs="Times New Roman"/>
          <w:kern w:val="0"/>
          <w:sz w:val="24"/>
          <w:szCs w:val="24"/>
          <w14:ligatures w14:val="none"/>
        </w:rPr>
      </w:pPr>
      <w:r w:rsidRPr="0017583C">
        <w:rPr>
          <w:rFonts w:cs="Arial"/>
          <w:color w:val="000000"/>
          <w:kern w:val="0"/>
          <w:sz w:val="24"/>
          <w:szCs w:val="24"/>
          <w14:ligatures w14:val="none"/>
        </w:rPr>
        <w:t>Good morning, my name is Molly Evans. Building on Miss Dyer's overview of the welfare and conditions concerning both the children and the relevant residence, I have served as the substance misuse support officer for the mother's partner during his incarceration. According to National Careers Service (no date) a substance misuse support worker provides people who suffer with addiction from drugs and alcohol with relevant support and referrals to local support services. Throughout his time in prison, he exhibited remorse for his past actions, which translated into a demonstrated commitment to adopting positive behaviours and cultivating a mindset to change. I have been closely involved with the individual’s journey toward overcoming addiction, and the progress that was made was substantial. He actively participated in various drug and alcohol support meetings, leading to the disclosure of adverse childhood experiences. As stated by Herzog and Schmahl (2018) adverse childhood experiences (ACE) are often marked by detrimental exposure to instances of sexual and physical abuse or neglect, which pose significant stressors with long lasting consequences on the brain, as well as mental and physical well-being. In addition to this, Boullier and Blair (2018) discuss how ACEs are presently regarded as equivalent in significance to other influential factors such as smoking. The accumulating evidence highlights how repeated adverse experiences or toxic stress can lead to lasting damage to the developing brain and disrupt the functioning of immune, neurological, and endocrine systems, increasing the risk of chronic diseases and premature death. Furthermore, Boullier and Blair (2018) state that as understanding grows, the imminent challenge for the health system is to adapt and respond effectively to alter these outcomes early in an individual's life. Originally deeply consumed by substance abuse, the individual has demonstrated commendable commitment to the process.</w:t>
      </w:r>
      <w:r w:rsidRPr="0017583C">
        <w:rPr>
          <w:rFonts w:cs="Arial"/>
          <w:color w:val="000000"/>
          <w:kern w:val="0"/>
          <w:sz w:val="24"/>
          <w:szCs w:val="24"/>
          <w:shd w:val="clear" w:color="auto" w:fill="FFFFFF"/>
          <w14:ligatures w14:val="none"/>
        </w:rPr>
        <w:t xml:space="preserve"> </w:t>
      </w:r>
      <w:r w:rsidRPr="0017583C">
        <w:rPr>
          <w:rFonts w:cs="Arial"/>
          <w:color w:val="000000"/>
          <w:kern w:val="0"/>
          <w:sz w:val="24"/>
          <w:szCs w:val="24"/>
          <w14:ligatures w14:val="none"/>
        </w:rPr>
        <w:t>Our approach involved tailored interventions and candid discussions. Together, we confronted the challenges of withdrawal and addressed specific triggers that maintained the cycle. Notably, there's a marked improvement in their self-awareness and the attainment of effective coping mechanisms. According to Algorani and Gupta (2023) When individuals encounter a stressor, their approaches to handling it are referred to as 'coping styles,' characterised by relatively stable traits that dictate their behaviour in response to stress. Our strategy involves a combination of support, accountability, and practical interventions. Celebrating achievements and learning from setbacks has contributed to the overall success of the intervention. Past experiences highlight the importance of using a specific and personalised approach in substance abuse counselling. Ultimately this revelation implies potential connections between these experiences and his choices during adolescence and adulthood, particularly in relation to alcohol and drug misuse. According to Leijdesdorff et al (2017) Children of parents with mental illness or addiction are at a high risk of developing mental health problems themselves. Worldwide, 15–23% of children live with a mentally ill parent, facing up to a 50% chance of developing a mental illness. Following extensive discussions about his actions and their repercussions, we mutually agreed on a plan. This plan involves his continued attendance at support meetings and the initiation of weekly counselling sessions since his release from prison. According to DiClemente (2018) People facing addiction are on a path towards recovery, and they are currently in the early phase known as precontemplation. This stage might look like not much is happening, mainly with problems piling up. However, even in this seemingly slow period, there are possibilities for change. DiClemente (2018) suggests that by encouraging these potential triggers for change, we can help those struggling with addiction move towards stopping or adjusting their behaviour. Whilst it is important to note the previous progress made by the individual, protecting children from violence is essential for their overall development, as exposure to abuse or neglect can have profound and lasting effects on their physical, emotional, and psychological well-being. Article 19 of the UNCRC (no date) highlights the importance of preventing harm to children and ensuring that they are provided with the necessary care and support to thrive. In line with the statutory guidance from the HM Government (2023) on collaborative efforts to safeguard children, it emphasises the crucial role of robust multi-agency and multi-disciplinary collaboration in recognizing and addressing the needs of children and families. Effectively preventing children from experiencing abuse, neglect, and exploitation requires coordinated efforts and cooperation across various agencies and disciplines at all levels. Local organisations and agencies involved in supporting children and families hold a significant and frequently mandated responsibility in the realm of child safeguarding.</w:t>
      </w:r>
    </w:p>
    <w:p w14:paraId="0F136966" w14:textId="77777777" w:rsidR="006128B8" w:rsidRDefault="006128B8" w:rsidP="006128B8">
      <w:pPr>
        <w:spacing w:after="160" w:line="259" w:lineRule="auto"/>
        <w:rPr>
          <w:rFonts w:eastAsiaTheme="minorHAnsi" w:cs="Arial"/>
          <w:sz w:val="24"/>
          <w:szCs w:val="24"/>
          <w:u w:val="single"/>
          <w:lang w:eastAsia="en-US"/>
        </w:rPr>
      </w:pPr>
    </w:p>
    <w:p w14:paraId="0764FBB6" w14:textId="003F14F3" w:rsidR="006128B8" w:rsidRPr="006128B8" w:rsidRDefault="006128B8" w:rsidP="006128B8">
      <w:pPr>
        <w:spacing w:after="160" w:line="259" w:lineRule="auto"/>
        <w:rPr>
          <w:rFonts w:eastAsiaTheme="minorHAnsi" w:cs="Arial"/>
          <w:sz w:val="24"/>
          <w:szCs w:val="24"/>
          <w:u w:val="single"/>
          <w:lang w:eastAsia="en-US"/>
        </w:rPr>
      </w:pPr>
      <w:r w:rsidRPr="006128B8">
        <w:rPr>
          <w:rFonts w:eastAsiaTheme="minorHAnsi" w:cs="Arial"/>
          <w:sz w:val="24"/>
          <w:szCs w:val="24"/>
          <w:u w:val="single"/>
          <w:lang w:eastAsia="en-US"/>
        </w:rPr>
        <w:t xml:space="preserve">Leah, Charleigh, Molly, Cerys, and Lily’s Reference List </w:t>
      </w:r>
    </w:p>
    <w:p w14:paraId="48191F3A"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Action For Me (2019) The role of a social worker. Available at: </w:t>
      </w:r>
      <w:hyperlink r:id="rId5" w:history="1">
        <w:r w:rsidRPr="006128B8">
          <w:rPr>
            <w:rFonts w:eastAsiaTheme="minorHAnsi" w:cs="Arial"/>
            <w:color w:val="0563C1" w:themeColor="hyperlink"/>
            <w:sz w:val="24"/>
            <w:szCs w:val="24"/>
            <w:u w:val="single"/>
            <w:lang w:eastAsia="en-US"/>
          </w:rPr>
          <w:t>https://www.actionforme.org.uk/uploads/pdfs/role-of-social-worker-factsheet.pdf</w:t>
        </w:r>
      </w:hyperlink>
      <w:r w:rsidRPr="006128B8">
        <w:rPr>
          <w:rFonts w:eastAsiaTheme="minorHAnsi" w:cs="Arial"/>
          <w:sz w:val="24"/>
          <w:szCs w:val="24"/>
          <w:lang w:eastAsia="en-US"/>
        </w:rPr>
        <w:t xml:space="preserve"> (Accessed 12th January 2024). </w:t>
      </w:r>
    </w:p>
    <w:p w14:paraId="06CFD10F"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Algorani, E.B. and Gupta, V. (2023) Coping mechanisms - statpearls - NCBI bookshelf. Available at: </w:t>
      </w:r>
      <w:hyperlink r:id="rId6" w:history="1">
        <w:r w:rsidRPr="006128B8">
          <w:rPr>
            <w:rFonts w:eastAsiaTheme="minorHAnsi" w:cs="Arial"/>
            <w:color w:val="0563C1" w:themeColor="hyperlink"/>
            <w:sz w:val="24"/>
            <w:szCs w:val="24"/>
            <w:u w:val="single"/>
            <w:lang w:eastAsia="en-US"/>
          </w:rPr>
          <w:t>https://www.ncbi.nlm.nih.gov/books/NBK559031/</w:t>
        </w:r>
      </w:hyperlink>
      <w:r w:rsidRPr="006128B8">
        <w:rPr>
          <w:rFonts w:eastAsiaTheme="minorHAnsi" w:cs="Arial"/>
          <w:sz w:val="24"/>
          <w:szCs w:val="24"/>
          <w:lang w:eastAsia="en-US"/>
        </w:rPr>
        <w:t xml:space="preserve"> (Accessed: 02 January 2024).</w:t>
      </w:r>
    </w:p>
    <w:p w14:paraId="6D93EFE2"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Alwash, N.M. and Palusci, V.J. (2022) ‘Factors related to medical neglect recurrence and foster care and adoption services’, Child Abuse &amp; Neglect, 123, p.105378. DOI: 10.1016/j.chiabu.2021.105378</w:t>
      </w:r>
      <w:r w:rsidRPr="006128B8">
        <w:rPr>
          <w:rFonts w:eastAsiaTheme="minorHAnsi" w:cs="Arial"/>
          <w:color w:val="0563C1" w:themeColor="hyperlink"/>
          <w:sz w:val="24"/>
          <w:szCs w:val="24"/>
          <w:u w:val="single"/>
          <w:lang w:eastAsia="en-US"/>
        </w:rPr>
        <w:t xml:space="preserve"> </w:t>
      </w:r>
    </w:p>
    <w:p w14:paraId="5F669D39"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Birth to five matters (no date) Attachment and the role of the key person. Available at: </w:t>
      </w:r>
      <w:hyperlink r:id="rId7" w:anchor=":~:text=A%20key%20person%20has%20special,a%20baby%20or%20young%20child" w:history="1">
        <w:r w:rsidRPr="006128B8">
          <w:rPr>
            <w:rFonts w:eastAsiaTheme="minorHAnsi" w:cs="Arial"/>
            <w:color w:val="0563C1" w:themeColor="hyperlink"/>
            <w:sz w:val="24"/>
            <w:szCs w:val="24"/>
            <w:u w:val="single"/>
            <w:lang w:eastAsia="en-US"/>
          </w:rPr>
          <w:t>https://birthto5matters.org.uk/attachment-and-the-role-of-the-key-person/#:~:text=A%20key%20person%20has%20special,a%20baby%20or%20young%20child</w:t>
        </w:r>
      </w:hyperlink>
      <w:r w:rsidRPr="006128B8">
        <w:rPr>
          <w:rFonts w:eastAsiaTheme="minorHAnsi" w:cs="Arial"/>
          <w:sz w:val="24"/>
          <w:szCs w:val="24"/>
          <w:lang w:eastAsia="en-US"/>
        </w:rPr>
        <w:t xml:space="preserve"> (Accessed: 11th January 2024).</w:t>
      </w:r>
    </w:p>
    <w:p w14:paraId="7EAA71BD"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Boullier, M. and Blair, M. (2018) ‘Adverse childhood experiences’, Paediatrics and Child Health, 28(3), pp. 132–137. DOI: 10.1016/j.paed.2017.12.008 </w:t>
      </w:r>
    </w:p>
    <w:p w14:paraId="6BDA5E49"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Child Welfare Information Gateway (2023) Child Maltreatment and Brain Development: A Primer for Child Welfare Professionals. Available at: </w:t>
      </w:r>
      <w:hyperlink r:id="rId8" w:history="1">
        <w:r w:rsidRPr="006128B8">
          <w:rPr>
            <w:rFonts w:eastAsiaTheme="minorHAnsi" w:cs="Arial"/>
            <w:color w:val="0563C1" w:themeColor="hyperlink"/>
            <w:sz w:val="24"/>
            <w:szCs w:val="24"/>
            <w:u w:val="single"/>
            <w:lang w:eastAsia="en-US"/>
          </w:rPr>
          <w:t>https://www.childwelfare.gov/resources/child-maltreatment-and-brain-development-primer-child-welfare-professionals/</w:t>
        </w:r>
      </w:hyperlink>
      <w:r w:rsidRPr="006128B8">
        <w:rPr>
          <w:rFonts w:eastAsiaTheme="minorHAnsi" w:cs="Arial"/>
          <w:sz w:val="24"/>
          <w:szCs w:val="24"/>
          <w:lang w:eastAsia="en-US"/>
        </w:rPr>
        <w:t xml:space="preserve"> (Accessed: 7th December 2023).</w:t>
      </w:r>
    </w:p>
    <w:p w14:paraId="336015AD"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Care Standards Act 2000. Available at: </w:t>
      </w:r>
      <w:hyperlink r:id="rId9" w:history="1">
        <w:r w:rsidRPr="006128B8">
          <w:rPr>
            <w:rFonts w:eastAsiaTheme="minorHAnsi" w:cs="Arial"/>
            <w:color w:val="0563C1" w:themeColor="hyperlink"/>
            <w:sz w:val="24"/>
            <w:szCs w:val="24"/>
            <w:u w:val="single"/>
            <w:lang w:eastAsia="en-US"/>
          </w:rPr>
          <w:t>https://www.legislation.gov.uk/ukpga/2000/14/contents</w:t>
        </w:r>
      </w:hyperlink>
      <w:r w:rsidRPr="006128B8">
        <w:rPr>
          <w:rFonts w:eastAsiaTheme="minorHAnsi" w:cs="Arial"/>
          <w:sz w:val="24"/>
          <w:szCs w:val="24"/>
          <w:lang w:eastAsia="en-US"/>
        </w:rPr>
        <w:t xml:space="preserve"> (Accessed: 14th December 2023).</w:t>
      </w:r>
    </w:p>
    <w:p w14:paraId="082C4AC5"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Children’s Act 2004. Available at: </w:t>
      </w:r>
      <w:hyperlink r:id="rId10" w:history="1">
        <w:r w:rsidRPr="006128B8">
          <w:rPr>
            <w:rFonts w:eastAsiaTheme="minorHAnsi" w:cs="Arial"/>
            <w:color w:val="0563C1" w:themeColor="hyperlink"/>
            <w:sz w:val="24"/>
            <w:szCs w:val="24"/>
            <w:u w:val="single"/>
            <w:lang w:eastAsia="en-US"/>
          </w:rPr>
          <w:t>https://www.legislation.gov.uk/ukpga/2004/31/contents</w:t>
        </w:r>
      </w:hyperlink>
      <w:r w:rsidRPr="006128B8">
        <w:rPr>
          <w:rFonts w:eastAsiaTheme="minorHAnsi" w:cs="Arial"/>
          <w:sz w:val="24"/>
          <w:szCs w:val="24"/>
          <w:lang w:eastAsia="en-US"/>
        </w:rPr>
        <w:t xml:space="preserve"> (Accessed: 16th December 2023). </w:t>
      </w:r>
    </w:p>
    <w:p w14:paraId="263D0E88"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Data Protection Act 2018. Available at: </w:t>
      </w:r>
      <w:hyperlink r:id="rId11" w:history="1">
        <w:r w:rsidRPr="006128B8">
          <w:rPr>
            <w:rFonts w:eastAsiaTheme="minorHAnsi" w:cs="Arial"/>
            <w:color w:val="0563C1" w:themeColor="hyperlink"/>
            <w:sz w:val="24"/>
            <w:szCs w:val="24"/>
            <w:u w:val="single"/>
            <w:lang w:eastAsia="en-US"/>
          </w:rPr>
          <w:t>https://www.legislation.gov.uk/ukpga/2018/12/wales</w:t>
        </w:r>
      </w:hyperlink>
      <w:r w:rsidRPr="006128B8">
        <w:rPr>
          <w:rFonts w:eastAsiaTheme="minorHAnsi" w:cs="Arial"/>
          <w:sz w:val="24"/>
          <w:szCs w:val="24"/>
          <w:lang w:eastAsia="en-US"/>
        </w:rPr>
        <w:t xml:space="preserve"> (Accessed: 6</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2024).</w:t>
      </w:r>
    </w:p>
    <w:p w14:paraId="0F633C45"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Dahake, P.T., Kale, Y., Dadpe, M., Kendre, S., Shep, S. and Dhore, S. (2018) ‘Impact of Child Abuse &amp; Neglect on Children: A’, Journal of Dental Research, 1(1), pp.36-49. Available at: </w:t>
      </w:r>
      <w:hyperlink r:id="rId12" w:history="1">
        <w:r w:rsidRPr="006128B8">
          <w:rPr>
            <w:rFonts w:eastAsiaTheme="minorHAnsi" w:cs="Arial"/>
            <w:color w:val="0563C1" w:themeColor="hyperlink"/>
            <w:sz w:val="24"/>
            <w:szCs w:val="24"/>
            <w:u w:val="single"/>
            <w:lang w:eastAsia="en-US"/>
          </w:rPr>
          <w:t>https://journal.mitmidsr.edu.in/public/pdf/volume_1_issue_1/impact_of-child-abuse_and_neglect_on_children_a_review_article.pdf</w:t>
        </w:r>
      </w:hyperlink>
      <w:r w:rsidRPr="006128B8">
        <w:rPr>
          <w:rFonts w:eastAsiaTheme="minorHAnsi" w:cs="Arial"/>
          <w:sz w:val="24"/>
          <w:szCs w:val="24"/>
          <w:lang w:eastAsia="en-US"/>
        </w:rPr>
        <w:t xml:space="preserve"> (Accessed: 7</w:t>
      </w:r>
      <w:r w:rsidRPr="006128B8">
        <w:rPr>
          <w:rFonts w:eastAsiaTheme="minorHAnsi" w:cs="Arial"/>
          <w:sz w:val="24"/>
          <w:szCs w:val="24"/>
          <w:vertAlign w:val="superscript"/>
          <w:lang w:eastAsia="en-US"/>
        </w:rPr>
        <w:t xml:space="preserve">th </w:t>
      </w:r>
      <w:r w:rsidRPr="006128B8">
        <w:rPr>
          <w:rFonts w:eastAsiaTheme="minorHAnsi" w:cs="Arial"/>
          <w:sz w:val="24"/>
          <w:szCs w:val="24"/>
          <w:lang w:eastAsia="en-US"/>
        </w:rPr>
        <w:t xml:space="preserve">January 2024). </w:t>
      </w:r>
    </w:p>
    <w:p w14:paraId="6D0BD3C4"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DiClemente, C.C. (2018) Addiction and change: How addictions develop and addicted people recover. New York: The Guilford Press. </w:t>
      </w:r>
    </w:p>
    <w:p w14:paraId="79C808F3"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DomesticsShelters.org (2017) When abuse Goes from Shouting to Striking. Available at: </w:t>
      </w:r>
      <w:hyperlink r:id="rId13" w:history="1">
        <w:r w:rsidRPr="006128B8">
          <w:rPr>
            <w:rFonts w:eastAsiaTheme="minorHAnsi" w:cs="Arial"/>
            <w:color w:val="0563C1" w:themeColor="hyperlink"/>
            <w:sz w:val="24"/>
            <w:szCs w:val="24"/>
            <w:u w:val="single"/>
            <w:lang w:eastAsia="en-US"/>
          </w:rPr>
          <w:t>https://www.domesticshelters.org/articles/identifying-abuse/when-abuse-goes-from-shouting-to-shoving</w:t>
        </w:r>
      </w:hyperlink>
      <w:r w:rsidRPr="006128B8">
        <w:rPr>
          <w:rFonts w:eastAsiaTheme="minorHAnsi" w:cs="Arial"/>
          <w:sz w:val="24"/>
          <w:szCs w:val="24"/>
          <w:lang w:eastAsia="en-US"/>
        </w:rPr>
        <w:t xml:space="preserve"> (Accessed: 12th January 2024). </w:t>
      </w:r>
    </w:p>
    <w:p w14:paraId="0A0C5122"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Early Years Alliance (2019) Safeguarding in the Early Years. Available at: </w:t>
      </w:r>
      <w:hyperlink r:id="rId14" w:history="1">
        <w:r w:rsidRPr="006128B8">
          <w:rPr>
            <w:rFonts w:eastAsiaTheme="minorHAnsi" w:cs="Arial"/>
            <w:color w:val="0563C1" w:themeColor="hyperlink"/>
            <w:sz w:val="24"/>
            <w:szCs w:val="24"/>
            <w:u w:val="single"/>
            <w:lang w:eastAsia="en-US"/>
          </w:rPr>
          <w:t>https://www.eyalliance.org.uk/safeguarding-early-years</w:t>
        </w:r>
      </w:hyperlink>
      <w:r w:rsidRPr="006128B8">
        <w:rPr>
          <w:rFonts w:eastAsiaTheme="minorHAnsi" w:cs="Arial"/>
          <w:sz w:val="24"/>
          <w:szCs w:val="24"/>
          <w:lang w:eastAsia="en-US"/>
        </w:rPr>
        <w:t xml:space="preserve"> (Accessed: 14th December 2023).</w:t>
      </w:r>
    </w:p>
    <w:p w14:paraId="15914CC3"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Ealing Council (No date) Child Protection and Safeguarding. Available at: </w:t>
      </w:r>
      <w:hyperlink r:id="rId15" w:anchor=":~:text=They%20will%3A,information%20about%20the%20child's%20welfare" w:history="1">
        <w:r w:rsidRPr="006128B8">
          <w:rPr>
            <w:rFonts w:eastAsiaTheme="minorHAnsi" w:cs="Arial"/>
            <w:color w:val="0563C1" w:themeColor="hyperlink"/>
            <w:sz w:val="24"/>
            <w:szCs w:val="24"/>
            <w:u w:val="single"/>
            <w:lang w:eastAsia="en-US"/>
          </w:rPr>
          <w:t>https://www.ealing.gov.uk/info/201023/children_and_families_social_care/169/child_protection_and_safeguarding/2#:~:text=They%20will%3A,information%20about%20the%20child's%20welfare</w:t>
        </w:r>
      </w:hyperlink>
      <w:r w:rsidRPr="006128B8">
        <w:rPr>
          <w:rFonts w:eastAsiaTheme="minorHAnsi" w:cs="Arial"/>
          <w:sz w:val="24"/>
          <w:szCs w:val="24"/>
          <w:lang w:eastAsia="en-US"/>
        </w:rPr>
        <w:t xml:space="preserve"> (Accessed 12</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2024). </w:t>
      </w:r>
    </w:p>
    <w:p w14:paraId="023A8C4A"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Giardino, A.P., Lyn, M.A. and Giardino, E.R. (2018) A practical guide to the evaluation of child physical abuse and neglect. 3</w:t>
      </w:r>
      <w:r w:rsidRPr="006128B8">
        <w:rPr>
          <w:rFonts w:eastAsiaTheme="minorHAnsi" w:cs="Arial"/>
          <w:sz w:val="24"/>
          <w:szCs w:val="24"/>
          <w:vertAlign w:val="superscript"/>
          <w:lang w:eastAsia="en-US"/>
        </w:rPr>
        <w:t>rd</w:t>
      </w:r>
      <w:r w:rsidRPr="006128B8">
        <w:rPr>
          <w:rFonts w:eastAsiaTheme="minorHAnsi" w:cs="Arial"/>
          <w:sz w:val="24"/>
          <w:szCs w:val="24"/>
          <w:lang w:eastAsia="en-US"/>
        </w:rPr>
        <w:t xml:space="preserve"> edn. New York: Springer.</w:t>
      </w:r>
    </w:p>
    <w:p w14:paraId="1B24B63F"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Harding, F.L. (2014) Perspectives in Child Care Policy. 2</w:t>
      </w:r>
      <w:r w:rsidRPr="006128B8">
        <w:rPr>
          <w:rFonts w:eastAsiaTheme="minorHAnsi" w:cs="Arial"/>
          <w:sz w:val="24"/>
          <w:szCs w:val="24"/>
          <w:vertAlign w:val="superscript"/>
          <w:lang w:eastAsia="en-US"/>
        </w:rPr>
        <w:t>nd</w:t>
      </w:r>
      <w:r w:rsidRPr="006128B8">
        <w:rPr>
          <w:rFonts w:eastAsiaTheme="minorHAnsi" w:cs="Arial"/>
          <w:sz w:val="24"/>
          <w:szCs w:val="24"/>
          <w:lang w:eastAsia="en-US"/>
        </w:rPr>
        <w:t xml:space="preserve"> edn. London: Routledge.</w:t>
      </w:r>
    </w:p>
    <w:p w14:paraId="6A704DAD"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Herzog, J.I. and Schmahl, C. (2018) ‘Adverse childhood experiences and the consequences on neurobiological, psychosocial, and somatic conditions across the lifespan’, Frontiers in Psychiatry, 9. DOI: 10.3389/fpsyt.2018.00420</w:t>
      </w:r>
    </w:p>
    <w:p w14:paraId="7160DEEE"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Hughes, M. and Cossar, J. (2016). ‘The relationship between maternal childhood emotional abuse/neglect and parenting outcomes: A systematic review’. Child Abuse Review, 25(1), pp.31-45. DOI: 10.1002/car.2393 </w:t>
      </w:r>
    </w:p>
    <w:p w14:paraId="2C553EAF"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Institute of Alcohol Studies (2023) Alcohol, domestic abuse and sexual assault. Available at: </w:t>
      </w:r>
      <w:hyperlink r:id="rId16" w:history="1">
        <w:r w:rsidRPr="006128B8">
          <w:rPr>
            <w:rFonts w:eastAsiaTheme="minorHAnsi" w:cs="Arial"/>
            <w:color w:val="0563C1" w:themeColor="hyperlink"/>
            <w:sz w:val="24"/>
            <w:szCs w:val="24"/>
            <w:u w:val="single"/>
            <w:lang w:eastAsia="en-US"/>
          </w:rPr>
          <w:t>https://www.ias.org.uk/wp-content/uploads/2020/09/rp12092014.pdf</w:t>
        </w:r>
      </w:hyperlink>
      <w:r w:rsidRPr="006128B8">
        <w:rPr>
          <w:rFonts w:eastAsiaTheme="minorHAnsi" w:cs="Arial"/>
          <w:sz w:val="24"/>
          <w:szCs w:val="24"/>
          <w:lang w:eastAsia="en-US"/>
        </w:rPr>
        <w:t xml:space="preserve"> (Accessed: 11th January 2024).</w:t>
      </w:r>
    </w:p>
    <w:p w14:paraId="5D527A8B"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Killam, K. W. and Degges-White, S. (2017) College Student Development: Applying Theory to Practice on the Diverse Campus. New York: Springer.</w:t>
      </w:r>
    </w:p>
    <w:p w14:paraId="4033FE76"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Leijdesdorff, S. et al. (2017) ‘Prevalence of psychopathology in children of parents with mental illness and/or addiction’, Current Opinion in Psychiatry, 30(4), pp. 312–317. DOI: 10.1097/YCO.0000000000000341 </w:t>
      </w:r>
    </w:p>
    <w:p w14:paraId="25B5D826"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Mcleod, S. (2023) Albert Bandura’s Social Learning Theory. Available at:</w:t>
      </w:r>
      <w:hyperlink r:id="rId17" w:history="1">
        <w:r w:rsidRPr="006128B8">
          <w:rPr>
            <w:rFonts w:eastAsiaTheme="minorHAnsi" w:cs="Arial"/>
            <w:color w:val="0563C1" w:themeColor="hyperlink"/>
            <w:sz w:val="24"/>
            <w:szCs w:val="24"/>
            <w:u w:val="single"/>
            <w:lang w:eastAsia="en-US"/>
          </w:rPr>
          <w:t xml:space="preserve"> https://www.simplypsychology.org/bandura.html</w:t>
        </w:r>
      </w:hyperlink>
      <w:r w:rsidRPr="006128B8">
        <w:rPr>
          <w:rFonts w:eastAsiaTheme="minorHAnsi" w:cs="Arial"/>
          <w:sz w:val="24"/>
          <w:szCs w:val="24"/>
          <w:lang w:eastAsia="en-US"/>
        </w:rPr>
        <w:t xml:space="preserve"> (Accessed: 17</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4C31F721"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Mcleod, S. (2023) Maslow’s Hierarchy of Needs. Available at:</w:t>
      </w:r>
      <w:hyperlink r:id="rId18" w:history="1">
        <w:r w:rsidRPr="006128B8">
          <w:rPr>
            <w:rFonts w:eastAsiaTheme="minorHAnsi" w:cs="Arial"/>
            <w:color w:val="0563C1" w:themeColor="hyperlink"/>
            <w:sz w:val="24"/>
            <w:szCs w:val="24"/>
            <w:u w:val="single"/>
            <w:lang w:eastAsia="en-US"/>
          </w:rPr>
          <w:t xml:space="preserve"> https://www.simplypsychology.org/maslow.html</w:t>
        </w:r>
      </w:hyperlink>
      <w:r w:rsidRPr="006128B8">
        <w:rPr>
          <w:rFonts w:eastAsiaTheme="minorHAnsi" w:cs="Arial"/>
          <w:sz w:val="24"/>
          <w:szCs w:val="24"/>
          <w:lang w:eastAsia="en-US"/>
        </w:rPr>
        <w:t xml:space="preserve"> (Accessed: 17</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 </w:t>
      </w:r>
    </w:p>
    <w:p w14:paraId="33E29836"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Maslow, A. H. (1943) A theory of human motivation. Psychological Review, 50(4), 370–396. DOI: 10.1037/h0054346 </w:t>
      </w:r>
    </w:p>
    <w:p w14:paraId="16F626B0"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National Careers Service (no date) Substance Misuse Outreach Worker| Explore careers | National Careers Service. Available at: </w:t>
      </w:r>
      <w:hyperlink r:id="rId19" w:history="1">
        <w:r w:rsidRPr="006128B8">
          <w:rPr>
            <w:rFonts w:eastAsiaTheme="minorHAnsi" w:cs="Arial"/>
            <w:color w:val="0563C1" w:themeColor="hyperlink"/>
            <w:sz w:val="24"/>
            <w:szCs w:val="24"/>
            <w:u w:val="single"/>
            <w:lang w:eastAsia="en-US"/>
          </w:rPr>
          <w:t>https://nationalcareers.service.gov.uk/job-profiles/substance-misuse-outreach-worker</w:t>
        </w:r>
      </w:hyperlink>
      <w:r w:rsidRPr="006128B8">
        <w:rPr>
          <w:rFonts w:eastAsiaTheme="minorHAnsi" w:cs="Arial"/>
          <w:sz w:val="24"/>
          <w:szCs w:val="24"/>
          <w:lang w:eastAsia="en-US"/>
        </w:rPr>
        <w:t xml:space="preserve"> (Accessed: 8th January 2024).</w:t>
      </w:r>
    </w:p>
    <w:p w14:paraId="7C36E3F5"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NHS (2022) Baby and toddler safety. Available at:</w:t>
      </w:r>
      <w:hyperlink r:id="rId20" w:history="1">
        <w:r w:rsidRPr="006128B8">
          <w:rPr>
            <w:rFonts w:eastAsiaTheme="minorHAnsi" w:cs="Arial"/>
            <w:color w:val="0563C1" w:themeColor="hyperlink"/>
            <w:sz w:val="24"/>
            <w:szCs w:val="24"/>
            <w:u w:val="single"/>
            <w:lang w:eastAsia="en-US"/>
          </w:rPr>
          <w:t xml:space="preserve"> https://www.nhs.uk/conditions/baby/first-aid-and-safety/safety/baby-and-toddler-safety/</w:t>
        </w:r>
      </w:hyperlink>
      <w:r w:rsidRPr="006128B8">
        <w:rPr>
          <w:rFonts w:eastAsiaTheme="minorHAnsi" w:cs="Arial"/>
          <w:sz w:val="24"/>
          <w:szCs w:val="24"/>
          <w:lang w:eastAsia="en-US"/>
        </w:rPr>
        <w:t xml:space="preserve"> (Accessed: 11</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60D42CC8"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NHS (no date) Health Visitor. Available at:</w:t>
      </w:r>
      <w:hyperlink r:id="rId21" w:history="1">
        <w:r w:rsidRPr="006128B8">
          <w:rPr>
            <w:rFonts w:eastAsiaTheme="minorHAnsi" w:cs="Arial"/>
            <w:color w:val="0563C1" w:themeColor="hyperlink"/>
            <w:sz w:val="24"/>
            <w:szCs w:val="24"/>
            <w:u w:val="single"/>
            <w:lang w:eastAsia="en-US"/>
          </w:rPr>
          <w:t xml:space="preserve"> https://www.healthcareers.nhs.uk/explore-roles/public-health/roles-public-health/health-visitor</w:t>
        </w:r>
      </w:hyperlink>
      <w:r w:rsidRPr="006128B8">
        <w:rPr>
          <w:rFonts w:eastAsiaTheme="minorHAnsi" w:cs="Arial"/>
          <w:sz w:val="24"/>
          <w:szCs w:val="24"/>
          <w:lang w:eastAsia="en-US"/>
        </w:rPr>
        <w:t xml:space="preserve"> (Accessed: 10</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46C6DB62"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NSPCC (2023) A Study of Disclosures of Childhood Abuse. Available at: </w:t>
      </w:r>
      <w:hyperlink r:id="rId22" w:anchor=":~:text=Reasons%20for%20not%20disclosing%20included,the%20consequences%20of%20speaking%20out" w:history="1">
        <w:r w:rsidRPr="006128B8">
          <w:rPr>
            <w:rFonts w:eastAsiaTheme="minorHAnsi" w:cs="Arial"/>
            <w:color w:val="0563C1" w:themeColor="hyperlink"/>
            <w:sz w:val="24"/>
            <w:szCs w:val="24"/>
            <w:u w:val="single"/>
            <w:lang w:eastAsia="en-US"/>
          </w:rPr>
          <w:t>https://learning.nspcc.org.uk/research-resources/2013/no-one-noticed-no-one-heard/#:~:text=Reasons%20for%20not%20disclosing%20included,the%20consequences%20of%20speaking%20out</w:t>
        </w:r>
      </w:hyperlink>
      <w:r w:rsidRPr="006128B8">
        <w:rPr>
          <w:rFonts w:eastAsiaTheme="minorHAnsi" w:cs="Arial"/>
          <w:sz w:val="24"/>
          <w:szCs w:val="24"/>
          <w:lang w:eastAsia="en-US"/>
        </w:rPr>
        <w:t xml:space="preserve"> (Accessed: 20th December 2023).</w:t>
      </w:r>
    </w:p>
    <w:p w14:paraId="55DB1990"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NSPCC (No date) Neglect. Available at: </w:t>
      </w:r>
      <w:hyperlink r:id="rId23" w:history="1">
        <w:r w:rsidRPr="006128B8">
          <w:rPr>
            <w:rFonts w:eastAsiaTheme="minorHAnsi" w:cs="Arial"/>
            <w:color w:val="0563C1" w:themeColor="hyperlink"/>
            <w:sz w:val="24"/>
            <w:szCs w:val="24"/>
            <w:u w:val="single"/>
            <w:lang w:eastAsia="en-US"/>
          </w:rPr>
          <w:t>https://www.nspcc.org.uk/what-is-child-abuse/types-of-abuse/neglect/</w:t>
        </w:r>
      </w:hyperlink>
      <w:r w:rsidRPr="006128B8">
        <w:rPr>
          <w:rFonts w:eastAsiaTheme="minorHAnsi" w:cs="Arial"/>
          <w:sz w:val="24"/>
          <w:szCs w:val="24"/>
          <w:lang w:eastAsia="en-US"/>
        </w:rPr>
        <w:t xml:space="preserve"> (Accessed: 10</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 </w:t>
      </w:r>
    </w:p>
    <w:p w14:paraId="517096C8"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Office for National Statistics (2017) Adult drinking habits in Great Britain: 2005 to 2016. Available at:</w:t>
      </w:r>
      <w:hyperlink r:id="rId24" w:history="1">
        <w:r w:rsidRPr="006128B8">
          <w:rPr>
            <w:rFonts w:eastAsiaTheme="minorHAnsi" w:cs="Arial"/>
            <w:color w:val="0563C1" w:themeColor="hyperlink"/>
            <w:sz w:val="24"/>
            <w:szCs w:val="24"/>
            <w:u w:val="single"/>
            <w:lang w:eastAsia="en-US"/>
          </w:rPr>
          <w:t xml:space="preserve"> https://www.ons.gov.uk/peoplepopulationandcommunity/healthandsocialcare/drugusealcoholandsmoking/bulletins/opinionsandlifestylesurveyadultdrinkinghabitsingreatbritain/2005to2016</w:t>
        </w:r>
      </w:hyperlink>
      <w:r w:rsidRPr="006128B8">
        <w:rPr>
          <w:rFonts w:eastAsiaTheme="minorHAnsi" w:cs="Arial"/>
          <w:sz w:val="24"/>
          <w:szCs w:val="24"/>
          <w:lang w:eastAsia="en-US"/>
        </w:rPr>
        <w:t xml:space="preserve"> (Accessed: 10</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67555EF4"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Protection of Children Act 1999. Available at: </w:t>
      </w:r>
      <w:hyperlink r:id="rId25" w:history="1">
        <w:r w:rsidRPr="006128B8">
          <w:rPr>
            <w:rFonts w:eastAsiaTheme="minorHAnsi" w:cs="Arial"/>
            <w:color w:val="0563C1" w:themeColor="hyperlink"/>
            <w:sz w:val="24"/>
            <w:szCs w:val="24"/>
            <w:u w:val="single"/>
            <w:lang w:eastAsia="en-US"/>
          </w:rPr>
          <w:t>https://www.legislation.gov.uk/ukpga/1999/14/pdfs/ukpga_19990014_en.pdf</w:t>
        </w:r>
      </w:hyperlink>
      <w:r w:rsidRPr="006128B8">
        <w:rPr>
          <w:rFonts w:eastAsiaTheme="minorHAnsi" w:cs="Arial"/>
          <w:sz w:val="24"/>
          <w:szCs w:val="24"/>
          <w:lang w:eastAsia="en-US"/>
        </w:rPr>
        <w:t xml:space="preserve"> (Accessed: 14</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5128B0D9"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Safeguarding Children Partnership Board (2019) The effects of Abuse and Neglect on Child Development. Available at: </w:t>
      </w:r>
      <w:hyperlink r:id="rId26" w:history="1">
        <w:r w:rsidRPr="006128B8">
          <w:rPr>
            <w:rFonts w:eastAsiaTheme="minorHAnsi" w:cs="Arial"/>
            <w:color w:val="0563C1" w:themeColor="hyperlink"/>
            <w:sz w:val="24"/>
            <w:szCs w:val="24"/>
            <w:u w:val="single"/>
            <w:lang w:eastAsia="en-US"/>
          </w:rPr>
          <w:t>https://www.safeguardingcambspeterborough.org.uk/wp-content/uploads/2019/08/The-Effects-of-Abuse-and-Neglect-on-Child-Development.pdf</w:t>
        </w:r>
      </w:hyperlink>
      <w:r w:rsidRPr="006128B8">
        <w:rPr>
          <w:rFonts w:eastAsiaTheme="minorHAnsi" w:cs="Arial"/>
          <w:sz w:val="24"/>
          <w:szCs w:val="24"/>
          <w:lang w:eastAsia="en-US"/>
        </w:rPr>
        <w:t xml:space="preserve"> (Accessed: 8th December 2023).</w:t>
      </w:r>
    </w:p>
    <w:p w14:paraId="2115587D"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Social Care Institute for Excellence (2012) Introduction to Children’s Social Care. Available at: </w:t>
      </w:r>
      <w:hyperlink r:id="rId27" w:anchor=":~:text=A%20Section%2047%20enquiry%20means,suffer%2C%20significant%20harm'1" w:history="1">
        <w:r w:rsidRPr="006128B8">
          <w:rPr>
            <w:rFonts w:eastAsiaTheme="minorHAnsi" w:cs="Arial"/>
            <w:color w:val="0563C1" w:themeColor="hyperlink"/>
            <w:sz w:val="24"/>
            <w:szCs w:val="24"/>
            <w:u w:val="single"/>
            <w:lang w:eastAsia="en-US"/>
          </w:rPr>
          <w:t>https://www.scie.org.uk/publications/introductionto/childrenssocialcare/childprotection.asp#:~:text=A%20Section%2047%20enquiry%20means,suffer%2C%20significant%20harm'1</w:t>
        </w:r>
      </w:hyperlink>
      <w:r w:rsidRPr="006128B8">
        <w:rPr>
          <w:rFonts w:eastAsiaTheme="minorHAnsi" w:cs="Arial"/>
          <w:sz w:val="24"/>
          <w:szCs w:val="24"/>
          <w:lang w:eastAsia="en-US"/>
        </w:rPr>
        <w:t>. (Accessed: 12</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2024).  </w:t>
      </w:r>
    </w:p>
    <w:p w14:paraId="4AF07D37"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Social Services and Well-being (Wales) Act 2014. Available at: </w:t>
      </w:r>
      <w:hyperlink r:id="rId28" w:history="1">
        <w:r w:rsidRPr="006128B8">
          <w:rPr>
            <w:rFonts w:eastAsiaTheme="minorHAnsi" w:cs="Arial"/>
            <w:color w:val="0563C1" w:themeColor="hyperlink"/>
            <w:sz w:val="24"/>
            <w:szCs w:val="24"/>
            <w:u w:val="single"/>
            <w:lang w:eastAsia="en-US"/>
          </w:rPr>
          <w:t>https://www.legislation.gov.uk/anaw/2014/4/contents</w:t>
        </w:r>
      </w:hyperlink>
      <w:r w:rsidRPr="006128B8">
        <w:rPr>
          <w:rFonts w:eastAsiaTheme="minorHAnsi" w:cs="Arial"/>
          <w:sz w:val="24"/>
          <w:szCs w:val="24"/>
          <w:lang w:eastAsia="en-US"/>
        </w:rPr>
        <w:t xml:space="preserve"> (Accessed: 6</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2024).</w:t>
      </w:r>
    </w:p>
    <w:p w14:paraId="07007D9A"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South Wales Police (2023) How to report possible child abuse. Available at: </w:t>
      </w:r>
      <w:hyperlink r:id="rId29" w:history="1">
        <w:r w:rsidRPr="006128B8">
          <w:rPr>
            <w:rFonts w:eastAsiaTheme="minorHAnsi" w:cs="Arial"/>
            <w:color w:val="0563C1" w:themeColor="hyperlink"/>
            <w:sz w:val="24"/>
            <w:szCs w:val="24"/>
            <w:u w:val="single"/>
            <w:lang w:eastAsia="en-US"/>
          </w:rPr>
          <w:t>https://www.south-wales.police.uk/advice/advice-and-information/caa/child-abuse/how-to-report-possible-child-abuse/</w:t>
        </w:r>
      </w:hyperlink>
      <w:r w:rsidRPr="006128B8">
        <w:rPr>
          <w:rFonts w:eastAsiaTheme="minorHAnsi" w:cs="Arial"/>
          <w:sz w:val="24"/>
          <w:szCs w:val="24"/>
          <w:lang w:eastAsia="en-US"/>
        </w:rPr>
        <w:t xml:space="preserve"> (Accessed: 10</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38DF2F86"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Stirling, J. (2020) ‘Understanding medical neglect: When needed care is delayed or refuse’, Journal of Child &amp; Adolescent Trauma, 13(3), pp.271-276. DOI: 10.1007/s40653-019-00260-6</w:t>
      </w:r>
    </w:p>
    <w:p w14:paraId="652EF275"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UK Government (2016) safeguarding children and vulnerable adults. Available at: </w:t>
      </w:r>
      <w:hyperlink r:id="rId30" w:history="1">
        <w:r w:rsidRPr="006128B8">
          <w:rPr>
            <w:rFonts w:eastAsiaTheme="minorHAnsi" w:cs="Arial"/>
            <w:color w:val="0563C1" w:themeColor="hyperlink"/>
            <w:sz w:val="24"/>
            <w:szCs w:val="24"/>
            <w:u w:val="single"/>
            <w:lang w:eastAsia="en-US"/>
          </w:rPr>
          <w:t>https://assets.publishing.service.gov.uk/media/5a800adfed915d74e622c21c/safeguarding-childrenarchive.pdf</w:t>
        </w:r>
      </w:hyperlink>
      <w:r w:rsidRPr="006128B8">
        <w:rPr>
          <w:rFonts w:eastAsiaTheme="minorHAnsi" w:cs="Arial"/>
          <w:sz w:val="24"/>
          <w:szCs w:val="24"/>
          <w:lang w:eastAsia="en-US"/>
        </w:rPr>
        <w:t xml:space="preserve"> (Accessed: 10</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December 2023).</w:t>
      </w:r>
    </w:p>
    <w:p w14:paraId="551856FB"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UK Government (2023) Working together to safeguard children. Available at:  </w:t>
      </w:r>
      <w:hyperlink r:id="rId31" w:history="1">
        <w:r w:rsidRPr="006128B8">
          <w:rPr>
            <w:rFonts w:eastAsiaTheme="minorHAnsi" w:cs="Arial"/>
            <w:color w:val="0563C1" w:themeColor="hyperlink"/>
            <w:sz w:val="24"/>
            <w:szCs w:val="24"/>
            <w:u w:val="single"/>
            <w:lang w:eastAsia="en-US"/>
          </w:rPr>
          <w:t>https://www.gov.uk/government/publications/working-together-to-safeguard-children--2</w:t>
        </w:r>
      </w:hyperlink>
      <w:r w:rsidRPr="006128B8">
        <w:rPr>
          <w:rFonts w:eastAsiaTheme="minorHAnsi" w:cs="Arial"/>
          <w:sz w:val="24"/>
          <w:szCs w:val="24"/>
          <w:lang w:eastAsia="en-US"/>
        </w:rPr>
        <w:t xml:space="preserve"> (Accessed: 4</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2023).</w:t>
      </w:r>
    </w:p>
    <w:p w14:paraId="21CDCB47"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UNCRC (2019) A Summary of the UN Convention on the Rights of the Child. Available at: </w:t>
      </w:r>
      <w:hyperlink r:id="rId32" w:history="1">
        <w:r w:rsidRPr="006128B8">
          <w:rPr>
            <w:rFonts w:eastAsiaTheme="minorHAnsi" w:cs="Arial"/>
            <w:color w:val="0563C1" w:themeColor="hyperlink"/>
            <w:sz w:val="24"/>
            <w:szCs w:val="24"/>
            <w:u w:val="single"/>
            <w:lang w:eastAsia="en-US"/>
          </w:rPr>
          <w:t>https://www.unicef.org.uk/wp-content/uploads/2019/10/UNCRC_summary-1_1.pdf</w:t>
        </w:r>
      </w:hyperlink>
      <w:r w:rsidRPr="006128B8">
        <w:rPr>
          <w:rFonts w:eastAsiaTheme="minorHAnsi" w:cs="Arial"/>
          <w:sz w:val="24"/>
          <w:szCs w:val="24"/>
          <w:lang w:eastAsia="en-US"/>
        </w:rPr>
        <w:t xml:space="preserve"> (Accessed: 14th December 2023).</w:t>
      </w:r>
    </w:p>
    <w:p w14:paraId="6EFC3270" w14:textId="77777777" w:rsidR="006128B8" w:rsidRPr="006128B8" w:rsidRDefault="006128B8" w:rsidP="006128B8">
      <w:pPr>
        <w:spacing w:after="160" w:line="360" w:lineRule="auto"/>
        <w:rPr>
          <w:rFonts w:eastAsiaTheme="minorHAnsi" w:cs="Arial"/>
          <w:sz w:val="24"/>
          <w:szCs w:val="24"/>
          <w:lang w:eastAsia="en-US"/>
        </w:rPr>
      </w:pPr>
      <w:r w:rsidRPr="006128B8">
        <w:rPr>
          <w:rFonts w:eastAsiaTheme="minorHAnsi" w:cs="Arial"/>
          <w:sz w:val="24"/>
          <w:szCs w:val="24"/>
          <w:lang w:eastAsia="en-US"/>
        </w:rPr>
        <w:t xml:space="preserve">UK Government (2012) The Disclosure and Barring Service is created. Available at: </w:t>
      </w:r>
      <w:hyperlink r:id="rId33" w:history="1">
        <w:r w:rsidRPr="006128B8">
          <w:rPr>
            <w:rFonts w:eastAsiaTheme="minorHAnsi" w:cs="Arial"/>
            <w:color w:val="0563C1" w:themeColor="hyperlink"/>
            <w:sz w:val="24"/>
            <w:szCs w:val="24"/>
            <w:u w:val="single"/>
            <w:lang w:eastAsia="en-US"/>
          </w:rPr>
          <w:t>https://www.gov.uk/government/news/the-disclosure-and-barring-service-is-created</w:t>
        </w:r>
      </w:hyperlink>
      <w:r w:rsidRPr="006128B8">
        <w:rPr>
          <w:rFonts w:eastAsiaTheme="minorHAnsi" w:cs="Arial"/>
          <w:sz w:val="24"/>
          <w:szCs w:val="24"/>
          <w:lang w:eastAsia="en-US"/>
        </w:rPr>
        <w:t xml:space="preserve"> (Accessed: 4</w:t>
      </w:r>
      <w:r w:rsidRPr="006128B8">
        <w:rPr>
          <w:rFonts w:eastAsiaTheme="minorHAnsi" w:cs="Arial"/>
          <w:sz w:val="24"/>
          <w:szCs w:val="24"/>
          <w:vertAlign w:val="superscript"/>
          <w:lang w:eastAsia="en-US"/>
        </w:rPr>
        <w:t>th</w:t>
      </w:r>
      <w:r w:rsidRPr="006128B8">
        <w:rPr>
          <w:rFonts w:eastAsiaTheme="minorHAnsi" w:cs="Arial"/>
          <w:sz w:val="24"/>
          <w:szCs w:val="24"/>
          <w:lang w:eastAsia="en-US"/>
        </w:rPr>
        <w:t xml:space="preserve"> January 2024).</w:t>
      </w:r>
    </w:p>
    <w:p w14:paraId="5C27F61C" w14:textId="77777777" w:rsidR="006128B8" w:rsidRPr="006128B8" w:rsidRDefault="006128B8" w:rsidP="006128B8">
      <w:pPr>
        <w:spacing w:after="160" w:line="360" w:lineRule="auto"/>
        <w:rPr>
          <w:rFonts w:eastAsiaTheme="minorHAnsi"/>
          <w:sz w:val="24"/>
          <w:szCs w:val="24"/>
          <w:u w:val="single"/>
          <w:lang w:eastAsia="en-US"/>
        </w:rPr>
      </w:pPr>
      <w:r w:rsidRPr="006128B8">
        <w:rPr>
          <w:rFonts w:eastAsiaTheme="minorHAnsi" w:cs="Arial"/>
          <w:sz w:val="24"/>
          <w:szCs w:val="24"/>
          <w:lang w:eastAsia="en-US"/>
        </w:rPr>
        <w:t>Van Wert, M., Fallon, B., Trocme, N. and Collin-Vézina, D. (2018). ‘Educational neglect: understanding 20 years of child welfare trends’, Child Abuse &amp; Neglect, 75, pp.50-60. DOI: 10.1016/j.chiabu.2017.04.034</w:t>
      </w:r>
    </w:p>
    <w:p w14:paraId="0C63B5B4" w14:textId="77777777" w:rsidR="0017583C" w:rsidRPr="0017583C" w:rsidRDefault="0017583C" w:rsidP="0017583C">
      <w:pPr>
        <w:spacing w:after="240"/>
        <w:divId w:val="1740710728"/>
        <w:rPr>
          <w:rFonts w:eastAsia="Times New Roman" w:cs="Times New Roman"/>
          <w:kern w:val="0"/>
          <w:sz w:val="24"/>
          <w:szCs w:val="24"/>
          <w14:ligatures w14:val="none"/>
        </w:rPr>
      </w:pP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r w:rsidRPr="0017583C">
        <w:rPr>
          <w:rFonts w:eastAsia="Times New Roman" w:cs="Times New Roman"/>
          <w:kern w:val="0"/>
          <w:sz w:val="24"/>
          <w:szCs w:val="24"/>
          <w14:ligatures w14:val="none"/>
        </w:rPr>
        <w:br/>
      </w:r>
    </w:p>
    <w:p w14:paraId="53ED2DF0" w14:textId="77777777" w:rsidR="0017583C" w:rsidRPr="0017583C" w:rsidRDefault="0017583C" w:rsidP="0017583C">
      <w:pPr>
        <w:rPr>
          <w:rFonts w:cs="Times New Roman"/>
          <w:kern w:val="0"/>
          <w:sz w:val="24"/>
          <w:szCs w:val="24"/>
          <w14:ligatures w14:val="none"/>
        </w:rPr>
      </w:pPr>
    </w:p>
    <w:p w14:paraId="654E39D2" w14:textId="77777777" w:rsidR="0017583C" w:rsidRDefault="0017583C"/>
    <w:p w14:paraId="04223E61" w14:textId="77777777" w:rsidR="000D255B" w:rsidRDefault="000D255B"/>
    <w:p w14:paraId="4A2D1AAA" w14:textId="77777777" w:rsidR="000D255B" w:rsidRDefault="000D255B"/>
    <w:p w14:paraId="1AD76F68" w14:textId="77777777" w:rsidR="000D255B" w:rsidRDefault="000D255B"/>
    <w:p w14:paraId="1C573318" w14:textId="77777777" w:rsidR="000D255B" w:rsidRDefault="000D255B"/>
    <w:p w14:paraId="0B37A1E3" w14:textId="77777777" w:rsidR="000D255B" w:rsidRDefault="000D255B"/>
    <w:p w14:paraId="6D3C2C6C" w14:textId="77777777" w:rsidR="000D255B" w:rsidRDefault="000D255B"/>
    <w:p w14:paraId="4D0D8936" w14:textId="77777777" w:rsidR="000D255B" w:rsidRDefault="000D255B"/>
    <w:p w14:paraId="43DAC5F1" w14:textId="77777777" w:rsidR="000D255B" w:rsidRDefault="000D255B"/>
    <w:p w14:paraId="04DC607B" w14:textId="77777777" w:rsidR="000D255B" w:rsidRDefault="000D255B"/>
    <w:p w14:paraId="368CA521" w14:textId="77777777" w:rsidR="000D255B" w:rsidRDefault="000D255B"/>
    <w:p w14:paraId="5A687E29" w14:textId="77777777" w:rsidR="000D255B" w:rsidRDefault="000D255B"/>
    <w:p w14:paraId="672482D6" w14:textId="77777777" w:rsidR="000D255B" w:rsidRDefault="000D255B"/>
    <w:p w14:paraId="15677ADF" w14:textId="77777777" w:rsidR="000D255B" w:rsidRDefault="000D255B"/>
    <w:p w14:paraId="0B690B50" w14:textId="77777777" w:rsidR="000D255B" w:rsidRDefault="000D255B"/>
    <w:p w14:paraId="53B29FBD" w14:textId="77777777" w:rsidR="000D255B" w:rsidRDefault="000D255B"/>
    <w:p w14:paraId="4BB22505" w14:textId="77777777" w:rsidR="000D255B" w:rsidRDefault="000D255B"/>
    <w:p w14:paraId="01E8AD1F" w14:textId="77777777" w:rsidR="000D255B" w:rsidRDefault="000D255B"/>
    <w:p w14:paraId="5FA99D6B" w14:textId="77777777" w:rsidR="000D255B" w:rsidRDefault="000D255B"/>
    <w:p w14:paraId="368993D1" w14:textId="77777777" w:rsidR="000D255B" w:rsidRDefault="000D255B"/>
    <w:p w14:paraId="165D3AD2" w14:textId="77777777" w:rsidR="000D255B" w:rsidRDefault="000D255B"/>
    <w:p w14:paraId="349BD759" w14:textId="77777777" w:rsidR="000D255B" w:rsidRDefault="000D255B"/>
    <w:p w14:paraId="17D13692" w14:textId="77777777" w:rsidR="000D255B" w:rsidRDefault="000D255B"/>
    <w:p w14:paraId="0B7EDB7B" w14:textId="77777777" w:rsidR="000D255B" w:rsidRDefault="000D255B"/>
    <w:p w14:paraId="28FC14F4" w14:textId="77777777" w:rsidR="000D255B" w:rsidRDefault="000D255B"/>
    <w:p w14:paraId="05A12051" w14:textId="77777777" w:rsidR="000D255B" w:rsidRDefault="000D255B"/>
    <w:p w14:paraId="64999C63" w14:textId="77777777" w:rsidR="000D255B" w:rsidRDefault="000D255B"/>
    <w:p w14:paraId="5D03B114" w14:textId="77777777" w:rsidR="000D255B" w:rsidRDefault="000D255B"/>
    <w:p w14:paraId="1D0E4F4A" w14:textId="77777777" w:rsidR="000D255B" w:rsidRDefault="000D255B"/>
    <w:p w14:paraId="4F915E54" w14:textId="77777777" w:rsidR="000D255B" w:rsidRDefault="000D255B"/>
    <w:p w14:paraId="2B13099B" w14:textId="77777777" w:rsidR="000D255B" w:rsidRDefault="000D255B"/>
    <w:p w14:paraId="67BFE3DB" w14:textId="77777777" w:rsidR="000D255B" w:rsidRDefault="000D255B"/>
    <w:p w14:paraId="41DF1780" w14:textId="77777777" w:rsidR="000D255B" w:rsidRDefault="000D255B"/>
    <w:p w14:paraId="4A67656B" w14:textId="77777777" w:rsidR="000D255B" w:rsidRDefault="000D255B"/>
    <w:p w14:paraId="594AC64A" w14:textId="77777777" w:rsidR="000D255B" w:rsidRDefault="000D255B"/>
    <w:p w14:paraId="0BA02266" w14:textId="77777777" w:rsidR="000D255B" w:rsidRPr="00DC7992" w:rsidRDefault="000D255B">
      <w:pPr>
        <w:rPr>
          <w:sz w:val="24"/>
          <w:szCs w:val="24"/>
        </w:rPr>
      </w:pPr>
    </w:p>
    <w:p w14:paraId="534933EC" w14:textId="77777777" w:rsidR="000D255B" w:rsidRPr="00DC7992" w:rsidRDefault="000D255B">
      <w:pPr>
        <w:rPr>
          <w:sz w:val="24"/>
          <w:szCs w:val="24"/>
        </w:rPr>
      </w:pPr>
    </w:p>
    <w:sectPr w:rsidR="000D255B" w:rsidRPr="00DC79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D626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F560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6309314">
    <w:abstractNumId w:val="0"/>
  </w:num>
  <w:num w:numId="2" w16cid:durableId="14207552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A1B"/>
    <w:rsid w:val="00013D59"/>
    <w:rsid w:val="00017733"/>
    <w:rsid w:val="000403F8"/>
    <w:rsid w:val="000D255B"/>
    <w:rsid w:val="000D46D7"/>
    <w:rsid w:val="0017583C"/>
    <w:rsid w:val="00196860"/>
    <w:rsid w:val="001D0F24"/>
    <w:rsid w:val="001E07AB"/>
    <w:rsid w:val="001E101D"/>
    <w:rsid w:val="00214F3E"/>
    <w:rsid w:val="0022625F"/>
    <w:rsid w:val="0023784F"/>
    <w:rsid w:val="002C4F5B"/>
    <w:rsid w:val="00312A1B"/>
    <w:rsid w:val="0031570B"/>
    <w:rsid w:val="003239D3"/>
    <w:rsid w:val="00332E31"/>
    <w:rsid w:val="003342F6"/>
    <w:rsid w:val="0041603E"/>
    <w:rsid w:val="00441E09"/>
    <w:rsid w:val="00442D5B"/>
    <w:rsid w:val="004621E4"/>
    <w:rsid w:val="004874DE"/>
    <w:rsid w:val="00606C51"/>
    <w:rsid w:val="006128B8"/>
    <w:rsid w:val="006E0852"/>
    <w:rsid w:val="007C2996"/>
    <w:rsid w:val="007F7D27"/>
    <w:rsid w:val="00822BF5"/>
    <w:rsid w:val="00863515"/>
    <w:rsid w:val="008D6EEC"/>
    <w:rsid w:val="00933D4C"/>
    <w:rsid w:val="009C5F2F"/>
    <w:rsid w:val="00A40115"/>
    <w:rsid w:val="00A73AD5"/>
    <w:rsid w:val="00A86BDA"/>
    <w:rsid w:val="00B565C3"/>
    <w:rsid w:val="00BB2348"/>
    <w:rsid w:val="00BF507D"/>
    <w:rsid w:val="00BF5E6B"/>
    <w:rsid w:val="00C07CAB"/>
    <w:rsid w:val="00C105A2"/>
    <w:rsid w:val="00C44528"/>
    <w:rsid w:val="00C673AC"/>
    <w:rsid w:val="00C805DB"/>
    <w:rsid w:val="00C810F0"/>
    <w:rsid w:val="00CA201C"/>
    <w:rsid w:val="00D527DC"/>
    <w:rsid w:val="00D66A3C"/>
    <w:rsid w:val="00D70054"/>
    <w:rsid w:val="00D724AE"/>
    <w:rsid w:val="00D73683"/>
    <w:rsid w:val="00D8250B"/>
    <w:rsid w:val="00DA5F6E"/>
    <w:rsid w:val="00DC7992"/>
    <w:rsid w:val="00DD60E2"/>
    <w:rsid w:val="00DF616E"/>
    <w:rsid w:val="00E03C4F"/>
    <w:rsid w:val="00E604B4"/>
    <w:rsid w:val="00E6288D"/>
    <w:rsid w:val="00E63C6E"/>
    <w:rsid w:val="00E66EDE"/>
    <w:rsid w:val="00EB0349"/>
    <w:rsid w:val="00EF4D55"/>
    <w:rsid w:val="00F51366"/>
    <w:rsid w:val="00F74964"/>
    <w:rsid w:val="00F91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765FD3"/>
  <w15:chartTrackingRefBased/>
  <w15:docId w15:val="{EB4FA854-E253-4992-9FC2-00529D9D6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255B"/>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1758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73602">
      <w:bodyDiv w:val="1"/>
      <w:marLeft w:val="0"/>
      <w:marRight w:val="0"/>
      <w:marTop w:val="0"/>
      <w:marBottom w:val="0"/>
      <w:divBdr>
        <w:top w:val="none" w:sz="0" w:space="0" w:color="auto"/>
        <w:left w:val="none" w:sz="0" w:space="0" w:color="auto"/>
        <w:bottom w:val="none" w:sz="0" w:space="0" w:color="auto"/>
        <w:right w:val="none" w:sz="0" w:space="0" w:color="auto"/>
      </w:divBdr>
      <w:divsChild>
        <w:div w:id="488980635">
          <w:marLeft w:val="0"/>
          <w:marRight w:val="0"/>
          <w:marTop w:val="0"/>
          <w:marBottom w:val="0"/>
          <w:divBdr>
            <w:top w:val="none" w:sz="0" w:space="0" w:color="auto"/>
            <w:left w:val="none" w:sz="0" w:space="0" w:color="auto"/>
            <w:bottom w:val="none" w:sz="0" w:space="0" w:color="auto"/>
            <w:right w:val="none" w:sz="0" w:space="0" w:color="auto"/>
          </w:divBdr>
        </w:div>
      </w:divsChild>
    </w:div>
    <w:div w:id="1740710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mesticshelters.org/articles/identifying-abuse/when-abuse-goes-from-shouting-to-shoving" TargetMode="External"/><Relationship Id="rId18" Type="http://schemas.openxmlformats.org/officeDocument/2006/relationships/hyperlink" Target="https://www.simplypsychology.org/maslow.html" TargetMode="External"/><Relationship Id="rId26" Type="http://schemas.openxmlformats.org/officeDocument/2006/relationships/hyperlink" Target="https://www.safeguardingcambspeterborough.org.uk/wp-content/uploads/2019/08/The-Effects-of-Abuse-and-Neglect-on-Child-Development.pdf" TargetMode="External"/><Relationship Id="rId3" Type="http://schemas.openxmlformats.org/officeDocument/2006/relationships/settings" Target="settings.xml"/><Relationship Id="rId21" Type="http://schemas.openxmlformats.org/officeDocument/2006/relationships/hyperlink" Target="https://www.healthcareers.nhs.uk/explore-roles/public-health/roles-public-health/health-visitor" TargetMode="External"/><Relationship Id="rId34" Type="http://schemas.openxmlformats.org/officeDocument/2006/relationships/fontTable" Target="fontTable.xml"/><Relationship Id="rId7" Type="http://schemas.openxmlformats.org/officeDocument/2006/relationships/hyperlink" Target="https://birthto5matters.org.uk/attachment-and-the-role-of-the-key-person/" TargetMode="External"/><Relationship Id="rId12" Type="http://schemas.openxmlformats.org/officeDocument/2006/relationships/hyperlink" Target="https://journal.mitmidsr.edu.in/public/pdf/volume_1_issue_1/impact_of-child-abuse_and_neglect_on_children_a_review_article.pdf" TargetMode="External"/><Relationship Id="rId17" Type="http://schemas.openxmlformats.org/officeDocument/2006/relationships/hyperlink" Target="https://www.simplypsychology.org/bandura.html" TargetMode="External"/><Relationship Id="rId25" Type="http://schemas.openxmlformats.org/officeDocument/2006/relationships/hyperlink" Target="https://www.legislation.gov.uk/ukpga/1999/14/pdfs/ukpga_19990014_en.pdf" TargetMode="External"/><Relationship Id="rId33" Type="http://schemas.openxmlformats.org/officeDocument/2006/relationships/hyperlink" Target="https://www.gov.uk/government/news/the-disclosure-and-barring-service-is-created" TargetMode="External"/><Relationship Id="rId2" Type="http://schemas.openxmlformats.org/officeDocument/2006/relationships/styles" Target="styles.xml"/><Relationship Id="rId16" Type="http://schemas.openxmlformats.org/officeDocument/2006/relationships/hyperlink" Target="https://www.ias.org.uk/wp-content/uploads/2020/09/rp12092014.pdf" TargetMode="External"/><Relationship Id="rId20" Type="http://schemas.openxmlformats.org/officeDocument/2006/relationships/hyperlink" Target="https://www.nhs.uk/conditions/baby/first-aid-and-safety/safety/baby-and-toddler-safety/" TargetMode="External"/><Relationship Id="rId29" Type="http://schemas.openxmlformats.org/officeDocument/2006/relationships/hyperlink" Target="https://www.south-wales.police.uk/advice/advice-and-information/caa/child-abuse/how-to-report-possible-child-abuse/" TargetMode="External"/><Relationship Id="rId1" Type="http://schemas.openxmlformats.org/officeDocument/2006/relationships/numbering" Target="numbering.xml"/><Relationship Id="rId6" Type="http://schemas.openxmlformats.org/officeDocument/2006/relationships/hyperlink" Target="https://www.ncbi.nlm.nih.gov/books/NBK559031/" TargetMode="External"/><Relationship Id="rId11" Type="http://schemas.openxmlformats.org/officeDocument/2006/relationships/hyperlink" Target="https://www.legislation.gov.uk/ukpga/2018/12/wales" TargetMode="External"/><Relationship Id="rId24"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32" Type="http://schemas.openxmlformats.org/officeDocument/2006/relationships/hyperlink" Target="https://www.unicef.org.uk/wp-content/uploads/2019/10/UNCRC_summary-1_1.pdf" TargetMode="External"/><Relationship Id="rId5" Type="http://schemas.openxmlformats.org/officeDocument/2006/relationships/hyperlink" Target="https://www.actionforme.org.uk/uploads/pdfs/role-of-social-worker-factsheet.pdf" TargetMode="External"/><Relationship Id="rId15" Type="http://schemas.openxmlformats.org/officeDocument/2006/relationships/hyperlink" Target="https://www.ealing.gov.uk/info/201023/children_and_families_social_care/169/child_protection_and_safeguarding/2" TargetMode="External"/><Relationship Id="rId23" Type="http://schemas.openxmlformats.org/officeDocument/2006/relationships/hyperlink" Target="https://www.nspcc.org.uk/what-is-child-abuse/types-of-abuse/neglect/" TargetMode="External"/><Relationship Id="rId28" Type="http://schemas.openxmlformats.org/officeDocument/2006/relationships/hyperlink" Target="https://www.legislation.gov.uk/anaw/2014/4/contents" TargetMode="External"/><Relationship Id="rId10" Type="http://schemas.openxmlformats.org/officeDocument/2006/relationships/hyperlink" Target="https://www.legislation.gov.uk/ukpga/2004/31/contents" TargetMode="External"/><Relationship Id="rId19" Type="http://schemas.openxmlformats.org/officeDocument/2006/relationships/hyperlink" Target="https://nationalcareers.service.gov.uk/job-profiles/substance-misuse-outreach-worker" TargetMode="External"/><Relationship Id="rId31" Type="http://schemas.openxmlformats.org/officeDocument/2006/relationships/hyperlink" Target="https://www.gov.uk/government/publications/working-together-to-safeguard-children--2" TargetMode="External"/><Relationship Id="rId4" Type="http://schemas.openxmlformats.org/officeDocument/2006/relationships/webSettings" Target="webSettings.xml"/><Relationship Id="rId9" Type="http://schemas.openxmlformats.org/officeDocument/2006/relationships/hyperlink" Target="https://www.legislation.gov.uk/ukpga/2000/14/contents" TargetMode="External"/><Relationship Id="rId14" Type="http://schemas.openxmlformats.org/officeDocument/2006/relationships/hyperlink" Target="https://www.eyalliance.org.uk/safeguarding-early-years" TargetMode="External"/><Relationship Id="rId22" Type="http://schemas.openxmlformats.org/officeDocument/2006/relationships/hyperlink" Target="https://learning.nspcc.org.uk/research-resources/2013/no-one-noticed-no-one-heard/" TargetMode="External"/><Relationship Id="rId27" Type="http://schemas.openxmlformats.org/officeDocument/2006/relationships/hyperlink" Target="https://www.scie.org.uk/publications/introductionto/childrenssocialcare/childprotection.asp" TargetMode="External"/><Relationship Id="rId30" Type="http://schemas.openxmlformats.org/officeDocument/2006/relationships/hyperlink" Target="https://assets.publishing.service.gov.uk/media/5a800adfed915d74e622c21c/safeguarding-childrenarchive.pdf" TargetMode="External"/><Relationship Id="rId35" Type="http://schemas.openxmlformats.org/officeDocument/2006/relationships/theme" Target="theme/theme1.xml"/><Relationship Id="rId8" Type="http://schemas.openxmlformats.org/officeDocument/2006/relationships/hyperlink" Target="https://www.childwelfare.gov/resources/child-maltreatment-and-brain-development-primer-child-welfare-professio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1</Pages>
  <Words>6029</Words>
  <Characters>34366</Characters>
  <Application>Microsoft Office Word</Application>
  <DocSecurity>4</DocSecurity>
  <Lines>286</Lines>
  <Paragraphs>80</Paragraphs>
  <ScaleCrop>false</ScaleCrop>
  <Company/>
  <LinksUpToDate>false</LinksUpToDate>
  <CharactersWithSpaces>40315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Floyd (2203525)</dc:creator>
  <cp:keywords/>
  <dc:description/>
  <cp:lastModifiedBy>Cerys Floyd (2203525)</cp:lastModifiedBy>
  <cp:revision>66</cp:revision>
  <dcterms:created xsi:type="dcterms:W3CDTF">2024-01-04T22:50:00Z</dcterms:created>
  <dcterms:modified xsi:type="dcterms:W3CDTF">2024-01-18T21:14:00Z</dcterms:modified>
</cp:coreProperties>
</file>