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781"/>
        <w:tblW w:w="9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5"/>
        <w:gridCol w:w="2860"/>
        <w:gridCol w:w="2862"/>
      </w:tblGrid>
      <w:tr w:rsidR="00CA215C" w:rsidRPr="0006724C" w14:paraId="49996624" w14:textId="77777777" w:rsidTr="0006724C">
        <w:trPr>
          <w:trHeight w:val="380"/>
        </w:trPr>
        <w:tc>
          <w:tcPr>
            <w:tcW w:w="9877" w:type="dxa"/>
            <w:gridSpan w:val="3"/>
          </w:tcPr>
          <w:p w14:paraId="5C01BC15" w14:textId="5DFDF51E" w:rsidR="00CA215C" w:rsidRPr="0006724C" w:rsidRDefault="00CA215C" w:rsidP="0006724C">
            <w:pPr>
              <w:spacing w:before="120" w:after="120" w:line="360" w:lineRule="auto"/>
              <w:jc w:val="center"/>
              <w:rPr>
                <w:rFonts w:ascii="Arial" w:eastAsia="Times New Roman" w:hAnsi="Arial" w:cs="Arial"/>
                <w:bCs/>
                <w:kern w:val="0"/>
                <w:sz w:val="22"/>
                <w:szCs w:val="22"/>
                <w:lang w:eastAsia="en-GB"/>
                <w14:ligatures w14:val="none"/>
              </w:rPr>
            </w:pPr>
            <w:r w:rsidRPr="0006724C">
              <w:rPr>
                <w:rFonts w:ascii="Arial" w:hAnsi="Arial" w:cs="Arial"/>
                <w:bCs/>
                <w:sz w:val="22"/>
                <w:szCs w:val="22"/>
              </w:rPr>
              <w:t>BSc Health and Social Care</w:t>
            </w:r>
          </w:p>
        </w:tc>
      </w:tr>
      <w:tr w:rsidR="00CA215C" w:rsidRPr="0006724C" w14:paraId="4C5BA72B" w14:textId="77777777" w:rsidTr="0006724C">
        <w:trPr>
          <w:trHeight w:val="368"/>
        </w:trPr>
        <w:tc>
          <w:tcPr>
            <w:tcW w:w="9877" w:type="dxa"/>
            <w:gridSpan w:val="3"/>
          </w:tcPr>
          <w:p w14:paraId="1CF05E3A" w14:textId="35A96ABF" w:rsidR="00CA215C" w:rsidRPr="0006724C" w:rsidRDefault="00CA215C" w:rsidP="0006724C">
            <w:pPr>
              <w:spacing w:before="120" w:after="120" w:line="360" w:lineRule="auto"/>
              <w:jc w:val="both"/>
              <w:rPr>
                <w:rFonts w:ascii="Arial" w:eastAsia="Times New Roman" w:hAnsi="Arial" w:cs="Arial"/>
                <w:bCs/>
                <w:kern w:val="0"/>
                <w:sz w:val="22"/>
                <w:szCs w:val="22"/>
                <w:lang w:eastAsia="en-GB"/>
                <w14:ligatures w14:val="none"/>
              </w:rPr>
            </w:pPr>
            <w:r w:rsidRPr="0006724C">
              <w:rPr>
                <w:rFonts w:ascii="Arial" w:hAnsi="Arial" w:cs="Arial"/>
                <w:bCs/>
                <w:sz w:val="22"/>
                <w:szCs w:val="22"/>
              </w:rPr>
              <w:t>Principles of Health and Social Care Practice</w:t>
            </w:r>
          </w:p>
        </w:tc>
      </w:tr>
      <w:tr w:rsidR="00CA215C" w:rsidRPr="0006724C" w14:paraId="6752FDD2" w14:textId="77777777" w:rsidTr="0006724C">
        <w:trPr>
          <w:trHeight w:val="380"/>
        </w:trPr>
        <w:tc>
          <w:tcPr>
            <w:tcW w:w="4155" w:type="dxa"/>
          </w:tcPr>
          <w:p w14:paraId="7328FD20" w14:textId="2C1D33D9" w:rsidR="00CA215C" w:rsidRPr="0006724C" w:rsidRDefault="00CA215C" w:rsidP="0006724C">
            <w:pPr>
              <w:spacing w:before="120" w:after="120" w:line="360" w:lineRule="auto"/>
              <w:jc w:val="both"/>
              <w:rPr>
                <w:rFonts w:ascii="Arial" w:eastAsia="Times New Roman" w:hAnsi="Arial" w:cs="Arial"/>
                <w:bCs/>
                <w:kern w:val="0"/>
                <w:sz w:val="22"/>
                <w:szCs w:val="22"/>
                <w:lang w:eastAsia="en-GB"/>
                <w14:ligatures w14:val="none"/>
              </w:rPr>
            </w:pPr>
            <w:r w:rsidRPr="0006724C">
              <w:rPr>
                <w:rFonts w:ascii="Arial" w:hAnsi="Arial" w:cs="Arial"/>
                <w:bCs/>
                <w:sz w:val="22"/>
                <w:szCs w:val="22"/>
              </w:rPr>
              <w:t>BMHP5016</w:t>
            </w:r>
          </w:p>
        </w:tc>
        <w:tc>
          <w:tcPr>
            <w:tcW w:w="2860" w:type="dxa"/>
            <w:shd w:val="clear" w:color="auto" w:fill="D9D9D9"/>
          </w:tcPr>
          <w:p w14:paraId="0683B308" w14:textId="77777777" w:rsidR="00CA215C" w:rsidRPr="0006724C" w:rsidRDefault="00CA215C" w:rsidP="0006724C">
            <w:pPr>
              <w:keepNext/>
              <w:spacing w:after="0" w:line="360" w:lineRule="auto"/>
              <w:jc w:val="both"/>
              <w:outlineLvl w:val="1"/>
              <w:rPr>
                <w:rFonts w:ascii="Arial" w:eastAsia="Times New Roman" w:hAnsi="Arial" w:cs="Arial"/>
                <w:bCs/>
                <w:kern w:val="0"/>
                <w:sz w:val="22"/>
                <w:szCs w:val="22"/>
                <w:lang w:eastAsia="en-GB"/>
                <w14:ligatures w14:val="none"/>
              </w:rPr>
            </w:pPr>
            <w:bookmarkStart w:id="0" w:name="_Toc213595465"/>
            <w:bookmarkStart w:id="1" w:name="_Toc214140648"/>
            <w:r w:rsidRPr="0006724C">
              <w:rPr>
                <w:rFonts w:ascii="Arial" w:eastAsia="Times New Roman" w:hAnsi="Arial" w:cs="Arial"/>
                <w:bCs/>
                <w:kern w:val="0"/>
                <w:sz w:val="22"/>
                <w:szCs w:val="22"/>
                <w:lang w:eastAsia="en-GB"/>
                <w14:ligatures w14:val="none"/>
              </w:rPr>
              <w:t>Contribution to Overall Module Assessment (%):</w:t>
            </w:r>
            <w:bookmarkEnd w:id="0"/>
            <w:bookmarkEnd w:id="1"/>
          </w:p>
        </w:tc>
        <w:tc>
          <w:tcPr>
            <w:tcW w:w="2862" w:type="dxa"/>
          </w:tcPr>
          <w:p w14:paraId="0577FDDF" w14:textId="77777777" w:rsidR="00CA215C" w:rsidRPr="0006724C" w:rsidRDefault="00CA215C" w:rsidP="0006724C">
            <w:pPr>
              <w:spacing w:before="120" w:after="120" w:line="360" w:lineRule="auto"/>
              <w:jc w:val="both"/>
              <w:rPr>
                <w:rFonts w:ascii="Arial" w:eastAsia="Times New Roman" w:hAnsi="Arial" w:cs="Arial"/>
                <w:bCs/>
                <w:kern w:val="0"/>
                <w:sz w:val="22"/>
                <w:szCs w:val="22"/>
                <w:lang w:eastAsia="en-GB"/>
                <w14:ligatures w14:val="none"/>
              </w:rPr>
            </w:pPr>
            <w:r w:rsidRPr="0006724C">
              <w:rPr>
                <w:rFonts w:ascii="Arial" w:eastAsia="Times New Roman" w:hAnsi="Arial" w:cs="Arial"/>
                <w:bCs/>
                <w:kern w:val="0"/>
                <w:sz w:val="22"/>
                <w:szCs w:val="22"/>
                <w:lang w:eastAsia="en-GB"/>
                <w14:ligatures w14:val="none"/>
              </w:rPr>
              <w:t>50%</w:t>
            </w:r>
          </w:p>
        </w:tc>
      </w:tr>
      <w:tr w:rsidR="00CA215C" w:rsidRPr="0006724C" w14:paraId="72343025" w14:textId="77777777" w:rsidTr="0006724C">
        <w:trPr>
          <w:trHeight w:val="380"/>
        </w:trPr>
        <w:tc>
          <w:tcPr>
            <w:tcW w:w="4155" w:type="dxa"/>
          </w:tcPr>
          <w:p w14:paraId="75E048C3" w14:textId="77777777" w:rsidR="00CA215C" w:rsidRPr="0006724C" w:rsidRDefault="00CA215C" w:rsidP="0006724C">
            <w:pPr>
              <w:spacing w:before="120" w:after="120" w:line="360" w:lineRule="auto"/>
              <w:jc w:val="both"/>
              <w:rPr>
                <w:rFonts w:ascii="Arial" w:eastAsia="Times New Roman" w:hAnsi="Arial" w:cs="Arial"/>
                <w:bCs/>
                <w:kern w:val="0"/>
                <w:sz w:val="22"/>
                <w:szCs w:val="22"/>
                <w:lang w:eastAsia="en-GB"/>
                <w14:ligatures w14:val="none"/>
              </w:rPr>
            </w:pPr>
          </w:p>
        </w:tc>
        <w:tc>
          <w:tcPr>
            <w:tcW w:w="2860" w:type="dxa"/>
            <w:shd w:val="clear" w:color="auto" w:fill="D9D9D9"/>
          </w:tcPr>
          <w:p w14:paraId="38545B20" w14:textId="77777777" w:rsidR="00CA215C" w:rsidRPr="0006724C" w:rsidRDefault="00CA215C" w:rsidP="0006724C">
            <w:pPr>
              <w:spacing w:before="120" w:after="120" w:line="360" w:lineRule="auto"/>
              <w:jc w:val="both"/>
              <w:rPr>
                <w:rFonts w:ascii="Arial" w:eastAsia="Times New Roman" w:hAnsi="Arial" w:cs="Arial"/>
                <w:bCs/>
                <w:kern w:val="0"/>
                <w:sz w:val="22"/>
                <w:szCs w:val="22"/>
                <w:lang w:eastAsia="en-GB"/>
                <w14:ligatures w14:val="none"/>
              </w:rPr>
            </w:pPr>
            <w:r w:rsidRPr="0006724C">
              <w:rPr>
                <w:rFonts w:ascii="Arial" w:eastAsia="Times New Roman" w:hAnsi="Arial" w:cs="Arial"/>
                <w:bCs/>
                <w:kern w:val="0"/>
                <w:sz w:val="22"/>
                <w:szCs w:val="22"/>
                <w:lang w:eastAsia="en-GB"/>
                <w14:ligatures w14:val="none"/>
              </w:rPr>
              <w:t>Internal Verifier:</w:t>
            </w:r>
          </w:p>
        </w:tc>
        <w:tc>
          <w:tcPr>
            <w:tcW w:w="2862" w:type="dxa"/>
          </w:tcPr>
          <w:p w14:paraId="17389EE3" w14:textId="32C34360" w:rsidR="00CA215C" w:rsidRPr="0006724C" w:rsidRDefault="00CA215C" w:rsidP="0006724C">
            <w:pPr>
              <w:spacing w:before="120" w:after="120" w:line="360" w:lineRule="auto"/>
              <w:jc w:val="both"/>
              <w:rPr>
                <w:rFonts w:ascii="Arial" w:eastAsia="Times New Roman" w:hAnsi="Arial" w:cs="Arial"/>
                <w:bCs/>
                <w:kern w:val="0"/>
                <w:sz w:val="22"/>
                <w:szCs w:val="22"/>
                <w:lang w:eastAsia="en-GB"/>
                <w14:ligatures w14:val="none"/>
              </w:rPr>
            </w:pPr>
            <w:r w:rsidRPr="0006724C">
              <w:rPr>
                <w:rFonts w:ascii="Arial" w:hAnsi="Arial" w:cs="Arial"/>
                <w:bCs/>
                <w:sz w:val="22"/>
                <w:szCs w:val="22"/>
              </w:rPr>
              <w:t>Dr Mark Gallagher-Read</w:t>
            </w:r>
          </w:p>
        </w:tc>
      </w:tr>
      <w:tr w:rsidR="00CA215C" w:rsidRPr="0006724C" w14:paraId="5C7F9002" w14:textId="77777777" w:rsidTr="0006724C">
        <w:trPr>
          <w:trHeight w:val="380"/>
        </w:trPr>
        <w:tc>
          <w:tcPr>
            <w:tcW w:w="4155" w:type="dxa"/>
          </w:tcPr>
          <w:p w14:paraId="5727F8CC" w14:textId="77777777" w:rsidR="00CA215C" w:rsidRPr="0006724C" w:rsidRDefault="00CA215C" w:rsidP="0006724C">
            <w:pPr>
              <w:spacing w:before="120" w:after="120" w:line="360" w:lineRule="auto"/>
              <w:jc w:val="both"/>
              <w:rPr>
                <w:rFonts w:ascii="Arial" w:eastAsia="Times New Roman" w:hAnsi="Arial" w:cs="Arial"/>
                <w:bCs/>
                <w:kern w:val="0"/>
                <w:sz w:val="22"/>
                <w:szCs w:val="22"/>
                <w:lang w:eastAsia="en-GB"/>
                <w14:ligatures w14:val="none"/>
              </w:rPr>
            </w:pPr>
            <w:r w:rsidRPr="0006724C">
              <w:rPr>
                <w:rFonts w:ascii="Arial" w:eastAsia="Times New Roman" w:hAnsi="Arial" w:cs="Arial"/>
                <w:bCs/>
                <w:kern w:val="0"/>
                <w:sz w:val="22"/>
                <w:szCs w:val="22"/>
                <w:lang w:eastAsia="en-GB"/>
                <w14:ligatures w14:val="none"/>
              </w:rPr>
              <w:t>Name:</w:t>
            </w:r>
            <w:r w:rsidRPr="0006724C">
              <w:rPr>
                <w:rFonts w:ascii="Arial" w:eastAsia="Times New Roman" w:hAnsi="Arial" w:cs="Arial"/>
                <w:bCs/>
                <w:kern w:val="0"/>
                <w:sz w:val="22"/>
                <w:szCs w:val="22"/>
                <w:lang w:eastAsia="en-GB"/>
                <w14:ligatures w14:val="none"/>
              </w:rPr>
              <w:tab/>
              <w:t>Mevish Noor</w:t>
            </w:r>
            <w:r w:rsidRPr="0006724C">
              <w:rPr>
                <w:rFonts w:ascii="Arial" w:eastAsia="Times New Roman" w:hAnsi="Arial" w:cs="Arial"/>
                <w:bCs/>
                <w:kern w:val="0"/>
                <w:sz w:val="22"/>
                <w:szCs w:val="22"/>
                <w:lang w:eastAsia="en-GB"/>
                <w14:ligatures w14:val="none"/>
              </w:rPr>
              <w:tab/>
            </w:r>
          </w:p>
        </w:tc>
        <w:tc>
          <w:tcPr>
            <w:tcW w:w="2860" w:type="dxa"/>
            <w:shd w:val="clear" w:color="auto" w:fill="D9D9D9"/>
          </w:tcPr>
          <w:p w14:paraId="33807F9B" w14:textId="6F6C6C2F" w:rsidR="00CA215C" w:rsidRPr="0006724C" w:rsidRDefault="00CA215C" w:rsidP="0006724C">
            <w:pPr>
              <w:spacing w:before="120" w:after="120" w:line="360" w:lineRule="auto"/>
              <w:jc w:val="both"/>
              <w:rPr>
                <w:rFonts w:ascii="Arial" w:eastAsia="Times New Roman" w:hAnsi="Arial" w:cs="Arial"/>
                <w:bCs/>
                <w:kern w:val="0"/>
                <w:sz w:val="22"/>
                <w:szCs w:val="22"/>
                <w:lang w:eastAsia="en-GB"/>
                <w14:ligatures w14:val="none"/>
              </w:rPr>
            </w:pPr>
            <w:r w:rsidRPr="0006724C">
              <w:rPr>
                <w:rFonts w:ascii="Arial" w:hAnsi="Arial" w:cs="Arial"/>
                <w:bCs/>
                <w:sz w:val="22"/>
                <w:szCs w:val="22"/>
              </w:rPr>
              <w:t>Student ID:</w:t>
            </w:r>
          </w:p>
        </w:tc>
        <w:tc>
          <w:tcPr>
            <w:tcW w:w="2862" w:type="dxa"/>
          </w:tcPr>
          <w:p w14:paraId="63AC1A73" w14:textId="7FBD9B6A" w:rsidR="00CA215C" w:rsidRPr="0006724C" w:rsidRDefault="00CA215C" w:rsidP="0006724C">
            <w:pPr>
              <w:spacing w:before="120" w:after="120" w:line="360" w:lineRule="auto"/>
              <w:jc w:val="both"/>
              <w:rPr>
                <w:rFonts w:ascii="Arial" w:eastAsia="Times New Roman" w:hAnsi="Arial" w:cs="Arial"/>
                <w:bCs/>
                <w:kern w:val="0"/>
                <w:sz w:val="22"/>
                <w:szCs w:val="22"/>
                <w:lang w:eastAsia="en-GB"/>
                <w14:ligatures w14:val="none"/>
              </w:rPr>
            </w:pPr>
            <w:r w:rsidRPr="0006724C">
              <w:rPr>
                <w:rFonts w:ascii="Arial" w:eastAsia="Times New Roman" w:hAnsi="Arial" w:cs="Arial"/>
                <w:bCs/>
                <w:kern w:val="0"/>
                <w:sz w:val="22"/>
                <w:szCs w:val="22"/>
                <w:lang w:eastAsia="en-GB"/>
                <w14:ligatures w14:val="none"/>
              </w:rPr>
              <w:t>2407526</w:t>
            </w:r>
          </w:p>
        </w:tc>
      </w:tr>
      <w:tr w:rsidR="00CA215C" w:rsidRPr="0006724C" w14:paraId="6D20D204" w14:textId="77777777" w:rsidTr="0006724C">
        <w:trPr>
          <w:trHeight w:val="760"/>
        </w:trPr>
        <w:tc>
          <w:tcPr>
            <w:tcW w:w="4155" w:type="dxa"/>
          </w:tcPr>
          <w:p w14:paraId="24C47B96" w14:textId="44FFB2A0" w:rsidR="00CA215C" w:rsidRPr="0006724C" w:rsidRDefault="00CA215C" w:rsidP="0006724C">
            <w:pPr>
              <w:spacing w:before="120" w:after="120" w:line="360" w:lineRule="auto"/>
              <w:rPr>
                <w:rFonts w:ascii="Arial" w:eastAsia="Times New Roman" w:hAnsi="Arial" w:cs="Arial"/>
                <w:bCs/>
                <w:kern w:val="0"/>
                <w:sz w:val="22"/>
                <w:szCs w:val="22"/>
                <w:lang w:eastAsia="en-GB"/>
                <w14:ligatures w14:val="none"/>
              </w:rPr>
            </w:pPr>
            <w:r w:rsidRPr="0006724C">
              <w:rPr>
                <w:rFonts w:ascii="Arial" w:hAnsi="Arial" w:cs="Arial"/>
                <w:bCs/>
                <w:sz w:val="22"/>
                <w:szCs w:val="22"/>
              </w:rPr>
              <w:t>Component 2: Written Assignment (Report)</w:t>
            </w:r>
          </w:p>
        </w:tc>
        <w:tc>
          <w:tcPr>
            <w:tcW w:w="2860" w:type="dxa"/>
            <w:shd w:val="pct15" w:color="auto" w:fill="auto"/>
          </w:tcPr>
          <w:p w14:paraId="20C601AF" w14:textId="77777777" w:rsidR="00CA215C" w:rsidRPr="0006724C" w:rsidRDefault="00CA215C" w:rsidP="0006724C">
            <w:pPr>
              <w:spacing w:before="120" w:after="120" w:line="360" w:lineRule="auto"/>
              <w:jc w:val="both"/>
              <w:rPr>
                <w:rFonts w:ascii="Arial" w:eastAsia="Times New Roman" w:hAnsi="Arial" w:cs="Arial"/>
                <w:bCs/>
                <w:kern w:val="0"/>
                <w:sz w:val="22"/>
                <w:szCs w:val="22"/>
                <w:lang w:eastAsia="en-GB"/>
                <w14:ligatures w14:val="none"/>
              </w:rPr>
            </w:pPr>
            <w:r w:rsidRPr="0006724C">
              <w:rPr>
                <w:rFonts w:ascii="Arial" w:eastAsia="Times New Roman" w:hAnsi="Arial" w:cs="Arial"/>
                <w:bCs/>
                <w:kern w:val="0"/>
                <w:sz w:val="22"/>
                <w:szCs w:val="22"/>
                <w:lang w:eastAsia="en-GB"/>
                <w14:ligatures w14:val="none"/>
              </w:rPr>
              <w:t>Word count (or equivalent):</w:t>
            </w:r>
          </w:p>
        </w:tc>
        <w:tc>
          <w:tcPr>
            <w:tcW w:w="2862" w:type="dxa"/>
          </w:tcPr>
          <w:p w14:paraId="673B6865" w14:textId="77777777" w:rsidR="00CA215C" w:rsidRPr="0006724C" w:rsidRDefault="00CA215C" w:rsidP="0006724C">
            <w:pPr>
              <w:spacing w:before="120" w:after="120" w:line="360" w:lineRule="auto"/>
              <w:jc w:val="both"/>
              <w:rPr>
                <w:rFonts w:ascii="Arial" w:eastAsia="Times New Roman" w:hAnsi="Arial" w:cs="Arial"/>
                <w:bCs/>
                <w:kern w:val="0"/>
                <w:sz w:val="22"/>
                <w:szCs w:val="22"/>
                <w:lang w:eastAsia="en-GB"/>
                <w14:ligatures w14:val="none"/>
              </w:rPr>
            </w:pPr>
            <w:r w:rsidRPr="0006724C">
              <w:rPr>
                <w:rFonts w:ascii="Arial" w:eastAsia="Times New Roman" w:hAnsi="Arial" w:cs="Arial"/>
                <w:bCs/>
                <w:kern w:val="0"/>
                <w:sz w:val="22"/>
                <w:szCs w:val="22"/>
                <w:lang w:eastAsia="en-GB"/>
                <w14:ligatures w14:val="none"/>
              </w:rPr>
              <w:t>2,000 words (+/- 10%)</w:t>
            </w:r>
          </w:p>
        </w:tc>
      </w:tr>
      <w:tr w:rsidR="00CA215C" w:rsidRPr="0006724C" w14:paraId="7FF57279" w14:textId="77777777" w:rsidTr="0006724C">
        <w:trPr>
          <w:trHeight w:val="760"/>
        </w:trPr>
        <w:tc>
          <w:tcPr>
            <w:tcW w:w="4155" w:type="dxa"/>
          </w:tcPr>
          <w:p w14:paraId="502440F9" w14:textId="77777777" w:rsidR="00CA215C" w:rsidRPr="00CA215C" w:rsidRDefault="00CA215C" w:rsidP="0006724C">
            <w:pPr>
              <w:spacing w:before="120" w:after="120" w:line="360" w:lineRule="auto"/>
              <w:jc w:val="both"/>
              <w:rPr>
                <w:rFonts w:ascii="Arial" w:eastAsia="Times New Roman" w:hAnsi="Arial" w:cs="Arial"/>
                <w:bCs/>
                <w:kern w:val="0"/>
                <w:sz w:val="22"/>
                <w:szCs w:val="22"/>
                <w:lang w:eastAsia="en-GB"/>
                <w14:ligatures w14:val="none"/>
              </w:rPr>
            </w:pPr>
            <w:r w:rsidRPr="00CA215C">
              <w:rPr>
                <w:rFonts w:ascii="Arial" w:eastAsia="Times New Roman" w:hAnsi="Arial" w:cs="Arial"/>
                <w:bCs/>
                <w:kern w:val="0"/>
                <w:sz w:val="22"/>
                <w:szCs w:val="22"/>
                <w:lang w:eastAsia="en-GB"/>
                <w14:ligatures w14:val="none"/>
              </w:rPr>
              <w:t>17</w:t>
            </w:r>
            <w:r w:rsidRPr="00CA215C">
              <w:rPr>
                <w:rFonts w:ascii="Arial" w:eastAsia="Times New Roman" w:hAnsi="Arial" w:cs="Arial"/>
                <w:bCs/>
                <w:kern w:val="0"/>
                <w:sz w:val="22"/>
                <w:szCs w:val="22"/>
                <w:vertAlign w:val="superscript"/>
                <w:lang w:eastAsia="en-GB"/>
                <w14:ligatures w14:val="none"/>
              </w:rPr>
              <w:t>th</w:t>
            </w:r>
            <w:r w:rsidRPr="00CA215C">
              <w:rPr>
                <w:rFonts w:ascii="Arial" w:eastAsia="Times New Roman" w:hAnsi="Arial" w:cs="Arial"/>
                <w:bCs/>
                <w:kern w:val="0"/>
                <w:sz w:val="22"/>
                <w:szCs w:val="22"/>
                <w:lang w:eastAsia="en-GB"/>
                <w14:ligatures w14:val="none"/>
              </w:rPr>
              <w:t xml:space="preserve"> November 2025</w:t>
            </w:r>
          </w:p>
          <w:p w14:paraId="08A1B821" w14:textId="19DD6EA5" w:rsidR="00CA215C" w:rsidRPr="0006724C" w:rsidRDefault="00CA215C" w:rsidP="0006724C">
            <w:pPr>
              <w:spacing w:before="120" w:after="120" w:line="360" w:lineRule="auto"/>
              <w:jc w:val="both"/>
              <w:rPr>
                <w:rFonts w:ascii="Arial" w:eastAsia="Times New Roman" w:hAnsi="Arial" w:cs="Arial"/>
                <w:bCs/>
                <w:kern w:val="0"/>
                <w:sz w:val="22"/>
                <w:szCs w:val="22"/>
                <w:lang w:eastAsia="en-GB"/>
                <w14:ligatures w14:val="none"/>
              </w:rPr>
            </w:pPr>
            <w:r w:rsidRPr="0006724C">
              <w:rPr>
                <w:rFonts w:ascii="Arial" w:eastAsia="Times New Roman" w:hAnsi="Arial" w:cs="Arial"/>
                <w:bCs/>
                <w:kern w:val="0"/>
                <w:sz w:val="22"/>
                <w:szCs w:val="22"/>
                <w:lang w:eastAsia="en-GB"/>
                <w14:ligatures w14:val="none"/>
              </w:rPr>
              <w:t>14:00 (2PM)</w:t>
            </w:r>
          </w:p>
        </w:tc>
        <w:tc>
          <w:tcPr>
            <w:tcW w:w="2860" w:type="dxa"/>
            <w:shd w:val="pct15" w:color="auto" w:fill="auto"/>
          </w:tcPr>
          <w:p w14:paraId="3F21767F" w14:textId="77777777" w:rsidR="00CA215C" w:rsidRPr="0006724C" w:rsidRDefault="00CA215C" w:rsidP="0006724C">
            <w:pPr>
              <w:spacing w:before="120" w:after="120" w:line="360" w:lineRule="auto"/>
              <w:jc w:val="both"/>
              <w:rPr>
                <w:rFonts w:ascii="Arial" w:eastAsia="Times New Roman" w:hAnsi="Arial" w:cs="Arial"/>
                <w:bCs/>
                <w:kern w:val="0"/>
                <w:sz w:val="22"/>
                <w:szCs w:val="22"/>
                <w:lang w:eastAsia="en-GB"/>
                <w14:ligatures w14:val="none"/>
              </w:rPr>
            </w:pPr>
            <w:r w:rsidRPr="0006724C">
              <w:rPr>
                <w:rFonts w:ascii="Arial" w:eastAsia="Times New Roman" w:hAnsi="Arial" w:cs="Arial"/>
                <w:bCs/>
                <w:kern w:val="0"/>
                <w:sz w:val="22"/>
                <w:szCs w:val="22"/>
                <w:lang w:eastAsia="en-GB"/>
                <w14:ligatures w14:val="none"/>
              </w:rPr>
              <w:t>Return date of provisional marks &amp; written feedback:</w:t>
            </w:r>
          </w:p>
        </w:tc>
        <w:tc>
          <w:tcPr>
            <w:tcW w:w="2862" w:type="dxa"/>
          </w:tcPr>
          <w:p w14:paraId="01CBBBEF" w14:textId="74FC6B92" w:rsidR="00CA215C" w:rsidRPr="0006724C" w:rsidRDefault="00CA215C" w:rsidP="0006724C">
            <w:pPr>
              <w:spacing w:before="120" w:after="120" w:line="360" w:lineRule="auto"/>
              <w:jc w:val="both"/>
              <w:rPr>
                <w:rFonts w:ascii="Arial" w:eastAsia="Times New Roman" w:hAnsi="Arial" w:cs="Arial"/>
                <w:bCs/>
                <w:kern w:val="0"/>
                <w:sz w:val="22"/>
                <w:szCs w:val="22"/>
                <w:lang w:eastAsia="en-GB"/>
                <w14:ligatures w14:val="none"/>
              </w:rPr>
            </w:pPr>
            <w:r w:rsidRPr="0006724C">
              <w:rPr>
                <w:rFonts w:ascii="Arial" w:hAnsi="Arial" w:cs="Arial"/>
                <w:bCs/>
                <w:sz w:val="22"/>
                <w:szCs w:val="22"/>
              </w:rPr>
              <w:t>15</w:t>
            </w:r>
            <w:r w:rsidRPr="0006724C">
              <w:rPr>
                <w:rFonts w:ascii="Arial" w:hAnsi="Arial" w:cs="Arial"/>
                <w:bCs/>
                <w:sz w:val="22"/>
                <w:szCs w:val="22"/>
                <w:vertAlign w:val="superscript"/>
              </w:rPr>
              <w:t>th</w:t>
            </w:r>
            <w:r w:rsidRPr="0006724C">
              <w:rPr>
                <w:rFonts w:ascii="Arial" w:hAnsi="Arial" w:cs="Arial"/>
                <w:bCs/>
                <w:sz w:val="22"/>
                <w:szCs w:val="22"/>
              </w:rPr>
              <w:t xml:space="preserve"> December 2025</w:t>
            </w:r>
          </w:p>
        </w:tc>
      </w:tr>
    </w:tbl>
    <w:p w14:paraId="0F78AB8F" w14:textId="77777777" w:rsidR="00C90478" w:rsidRPr="0006724C" w:rsidRDefault="00C90478" w:rsidP="0006724C">
      <w:pPr>
        <w:spacing w:line="360" w:lineRule="auto"/>
        <w:rPr>
          <w:rFonts w:ascii="Arial" w:hAnsi="Arial" w:cs="Arial"/>
          <w:bCs/>
        </w:rPr>
      </w:pPr>
    </w:p>
    <w:p w14:paraId="1AA843E7" w14:textId="77777777" w:rsidR="00CA215C" w:rsidRPr="0006724C" w:rsidRDefault="00CA215C" w:rsidP="0006724C">
      <w:pPr>
        <w:spacing w:line="360" w:lineRule="auto"/>
        <w:rPr>
          <w:rFonts w:ascii="Arial" w:hAnsi="Arial" w:cs="Arial"/>
          <w:bCs/>
        </w:rPr>
      </w:pPr>
    </w:p>
    <w:p w14:paraId="262827C2" w14:textId="24F7DC04" w:rsidR="00CA215C" w:rsidRPr="0006724C" w:rsidRDefault="00A32E58" w:rsidP="0006724C">
      <w:pPr>
        <w:spacing w:line="360" w:lineRule="auto"/>
        <w:rPr>
          <w:rFonts w:ascii="Arial" w:hAnsi="Arial" w:cs="Arial"/>
          <w:bCs/>
        </w:rPr>
      </w:pPr>
      <w:r w:rsidRPr="0006724C">
        <w:rPr>
          <w:rFonts w:ascii="Arial" w:hAnsi="Arial" w:cs="Arial"/>
          <w:bCs/>
        </w:rPr>
        <w:t xml:space="preserve"> </w:t>
      </w:r>
    </w:p>
    <w:p w14:paraId="122F1ECC" w14:textId="77777777" w:rsidR="00A32E58" w:rsidRPr="0006724C" w:rsidRDefault="00A32E58" w:rsidP="0006724C">
      <w:pPr>
        <w:spacing w:line="360" w:lineRule="auto"/>
        <w:rPr>
          <w:rFonts w:ascii="Arial" w:hAnsi="Arial" w:cs="Arial"/>
          <w:bCs/>
        </w:rPr>
      </w:pPr>
    </w:p>
    <w:p w14:paraId="59C1F9B4" w14:textId="77777777" w:rsidR="00A32E58" w:rsidRPr="0006724C" w:rsidRDefault="00A32E58" w:rsidP="0006724C">
      <w:pPr>
        <w:spacing w:line="360" w:lineRule="auto"/>
        <w:rPr>
          <w:rFonts w:ascii="Arial" w:hAnsi="Arial" w:cs="Arial"/>
          <w:bCs/>
        </w:rPr>
      </w:pPr>
    </w:p>
    <w:sdt>
      <w:sdtPr>
        <w:id w:val="75849097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B143B61" w14:textId="22C264A0" w:rsidR="00664E55" w:rsidRDefault="00664E55">
          <w:pPr>
            <w:pStyle w:val="TOCHeading"/>
          </w:pPr>
          <w:r>
            <w:t>Table of Contents</w:t>
          </w:r>
        </w:p>
        <w:p w14:paraId="3AD79451" w14:textId="5C04C67E" w:rsidR="00664E55" w:rsidRDefault="00664E55">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140648" w:history="1">
            <w:r w:rsidRPr="00A10B7A">
              <w:rPr>
                <w:rStyle w:val="Hyperlink"/>
                <w:rFonts w:ascii="Arial" w:eastAsia="Times New Roman" w:hAnsi="Arial" w:cs="Arial"/>
                <w:bCs/>
                <w:noProof/>
                <w:kern w:val="0"/>
                <w:lang w:eastAsia="en-GB"/>
                <w14:ligatures w14:val="none"/>
              </w:rPr>
              <w:t>Contribution to Overall Module Assessment (%):</w:t>
            </w:r>
            <w:r>
              <w:rPr>
                <w:noProof/>
                <w:webHidden/>
              </w:rPr>
              <w:tab/>
            </w:r>
            <w:r>
              <w:rPr>
                <w:noProof/>
                <w:webHidden/>
              </w:rPr>
              <w:fldChar w:fldCharType="begin"/>
            </w:r>
            <w:r>
              <w:rPr>
                <w:noProof/>
                <w:webHidden/>
              </w:rPr>
              <w:instrText xml:space="preserve"> PAGEREF _Toc214140648 \h </w:instrText>
            </w:r>
            <w:r>
              <w:rPr>
                <w:noProof/>
                <w:webHidden/>
              </w:rPr>
            </w:r>
            <w:r>
              <w:rPr>
                <w:noProof/>
                <w:webHidden/>
              </w:rPr>
              <w:fldChar w:fldCharType="separate"/>
            </w:r>
            <w:r>
              <w:rPr>
                <w:noProof/>
                <w:webHidden/>
              </w:rPr>
              <w:t>1</w:t>
            </w:r>
            <w:r>
              <w:rPr>
                <w:noProof/>
                <w:webHidden/>
              </w:rPr>
              <w:fldChar w:fldCharType="end"/>
            </w:r>
          </w:hyperlink>
        </w:p>
        <w:p w14:paraId="7B61AB62" w14:textId="2EB0774C" w:rsidR="00664E55" w:rsidRDefault="00664E55">
          <w:pPr>
            <w:pStyle w:val="TOC2"/>
            <w:tabs>
              <w:tab w:val="right" w:leader="dot" w:pos="9016"/>
            </w:tabs>
            <w:rPr>
              <w:rFonts w:eastAsiaTheme="minorEastAsia"/>
              <w:noProof/>
              <w:lang w:eastAsia="en-GB"/>
            </w:rPr>
          </w:pPr>
          <w:hyperlink w:anchor="_Toc214140649" w:history="1">
            <w:r w:rsidRPr="00A10B7A">
              <w:rPr>
                <w:rStyle w:val="Hyperlink"/>
                <w:rFonts w:ascii="Arial" w:eastAsia="Times New Roman" w:hAnsi="Arial" w:cs="Arial"/>
                <w:bCs/>
                <w:noProof/>
                <w:lang w:eastAsia="en-GB"/>
              </w:rPr>
              <w:t>Introduction</w:t>
            </w:r>
            <w:r>
              <w:rPr>
                <w:noProof/>
                <w:webHidden/>
              </w:rPr>
              <w:tab/>
            </w:r>
            <w:r>
              <w:rPr>
                <w:noProof/>
                <w:webHidden/>
              </w:rPr>
              <w:fldChar w:fldCharType="begin"/>
            </w:r>
            <w:r>
              <w:rPr>
                <w:noProof/>
                <w:webHidden/>
              </w:rPr>
              <w:instrText xml:space="preserve"> PAGEREF _Toc214140649 \h </w:instrText>
            </w:r>
            <w:r>
              <w:rPr>
                <w:noProof/>
                <w:webHidden/>
              </w:rPr>
            </w:r>
            <w:r>
              <w:rPr>
                <w:noProof/>
                <w:webHidden/>
              </w:rPr>
              <w:fldChar w:fldCharType="separate"/>
            </w:r>
            <w:r>
              <w:rPr>
                <w:noProof/>
                <w:webHidden/>
              </w:rPr>
              <w:t>2</w:t>
            </w:r>
            <w:r>
              <w:rPr>
                <w:noProof/>
                <w:webHidden/>
              </w:rPr>
              <w:fldChar w:fldCharType="end"/>
            </w:r>
          </w:hyperlink>
        </w:p>
        <w:p w14:paraId="6CF8C523" w14:textId="45DE3FE3" w:rsidR="00664E55" w:rsidRDefault="00664E55">
          <w:pPr>
            <w:pStyle w:val="TOC2"/>
            <w:tabs>
              <w:tab w:val="right" w:leader="dot" w:pos="9016"/>
            </w:tabs>
            <w:rPr>
              <w:rFonts w:eastAsiaTheme="minorEastAsia"/>
              <w:noProof/>
              <w:lang w:eastAsia="en-GB"/>
            </w:rPr>
          </w:pPr>
          <w:hyperlink w:anchor="_Toc214140650" w:history="1">
            <w:r w:rsidRPr="00A10B7A">
              <w:rPr>
                <w:rStyle w:val="Hyperlink"/>
                <w:rFonts w:ascii="Arial" w:hAnsi="Arial" w:cs="Arial"/>
                <w:bCs/>
                <w:noProof/>
              </w:rPr>
              <w:t>Person-Centred Care: Definition, Benefits and Limitations</w:t>
            </w:r>
            <w:r>
              <w:rPr>
                <w:noProof/>
                <w:webHidden/>
              </w:rPr>
              <w:tab/>
            </w:r>
            <w:r>
              <w:rPr>
                <w:noProof/>
                <w:webHidden/>
              </w:rPr>
              <w:fldChar w:fldCharType="begin"/>
            </w:r>
            <w:r>
              <w:rPr>
                <w:noProof/>
                <w:webHidden/>
              </w:rPr>
              <w:instrText xml:space="preserve"> PAGEREF _Toc214140650 \h </w:instrText>
            </w:r>
            <w:r>
              <w:rPr>
                <w:noProof/>
                <w:webHidden/>
              </w:rPr>
            </w:r>
            <w:r>
              <w:rPr>
                <w:noProof/>
                <w:webHidden/>
              </w:rPr>
              <w:fldChar w:fldCharType="separate"/>
            </w:r>
            <w:r>
              <w:rPr>
                <w:noProof/>
                <w:webHidden/>
              </w:rPr>
              <w:t>2</w:t>
            </w:r>
            <w:r>
              <w:rPr>
                <w:noProof/>
                <w:webHidden/>
              </w:rPr>
              <w:fldChar w:fldCharType="end"/>
            </w:r>
          </w:hyperlink>
        </w:p>
        <w:p w14:paraId="1EAFB758" w14:textId="6334E690" w:rsidR="00664E55" w:rsidRDefault="00664E55">
          <w:pPr>
            <w:pStyle w:val="TOC2"/>
            <w:tabs>
              <w:tab w:val="right" w:leader="dot" w:pos="9016"/>
            </w:tabs>
            <w:rPr>
              <w:rFonts w:eastAsiaTheme="minorEastAsia"/>
              <w:noProof/>
              <w:lang w:eastAsia="en-GB"/>
            </w:rPr>
          </w:pPr>
          <w:hyperlink w:anchor="_Toc214140651" w:history="1">
            <w:r w:rsidRPr="00A10B7A">
              <w:rPr>
                <w:rStyle w:val="Hyperlink"/>
                <w:rFonts w:ascii="Arial" w:hAnsi="Arial" w:cs="Arial"/>
                <w:bCs/>
                <w:noProof/>
              </w:rPr>
              <w:t>Theoretical Model Underpinning Person-Centred Care</w:t>
            </w:r>
            <w:r>
              <w:rPr>
                <w:noProof/>
                <w:webHidden/>
              </w:rPr>
              <w:tab/>
            </w:r>
            <w:r>
              <w:rPr>
                <w:noProof/>
                <w:webHidden/>
              </w:rPr>
              <w:fldChar w:fldCharType="begin"/>
            </w:r>
            <w:r>
              <w:rPr>
                <w:noProof/>
                <w:webHidden/>
              </w:rPr>
              <w:instrText xml:space="preserve"> PAGEREF _Toc214140651 \h </w:instrText>
            </w:r>
            <w:r>
              <w:rPr>
                <w:noProof/>
                <w:webHidden/>
              </w:rPr>
            </w:r>
            <w:r>
              <w:rPr>
                <w:noProof/>
                <w:webHidden/>
              </w:rPr>
              <w:fldChar w:fldCharType="separate"/>
            </w:r>
            <w:r>
              <w:rPr>
                <w:noProof/>
                <w:webHidden/>
              </w:rPr>
              <w:t>3</w:t>
            </w:r>
            <w:r>
              <w:rPr>
                <w:noProof/>
                <w:webHidden/>
              </w:rPr>
              <w:fldChar w:fldCharType="end"/>
            </w:r>
          </w:hyperlink>
        </w:p>
        <w:p w14:paraId="56196689" w14:textId="23330852" w:rsidR="00664E55" w:rsidRDefault="00664E55">
          <w:pPr>
            <w:pStyle w:val="TOC2"/>
            <w:tabs>
              <w:tab w:val="right" w:leader="dot" w:pos="9016"/>
            </w:tabs>
            <w:rPr>
              <w:rFonts w:eastAsiaTheme="minorEastAsia"/>
              <w:noProof/>
              <w:lang w:eastAsia="en-GB"/>
            </w:rPr>
          </w:pPr>
          <w:hyperlink w:anchor="_Toc214140652" w:history="1">
            <w:r w:rsidRPr="00A10B7A">
              <w:rPr>
                <w:rStyle w:val="Hyperlink"/>
                <w:rFonts w:ascii="Arial" w:hAnsi="Arial" w:cs="Arial"/>
                <w:bCs/>
                <w:noProof/>
              </w:rPr>
              <w:t>Ethical Fundamentals in Health and Social Care</w:t>
            </w:r>
            <w:r>
              <w:rPr>
                <w:noProof/>
                <w:webHidden/>
              </w:rPr>
              <w:tab/>
            </w:r>
            <w:r>
              <w:rPr>
                <w:noProof/>
                <w:webHidden/>
              </w:rPr>
              <w:fldChar w:fldCharType="begin"/>
            </w:r>
            <w:r>
              <w:rPr>
                <w:noProof/>
                <w:webHidden/>
              </w:rPr>
              <w:instrText xml:space="preserve"> PAGEREF _Toc214140652 \h </w:instrText>
            </w:r>
            <w:r>
              <w:rPr>
                <w:noProof/>
                <w:webHidden/>
              </w:rPr>
            </w:r>
            <w:r>
              <w:rPr>
                <w:noProof/>
                <w:webHidden/>
              </w:rPr>
              <w:fldChar w:fldCharType="separate"/>
            </w:r>
            <w:r>
              <w:rPr>
                <w:noProof/>
                <w:webHidden/>
              </w:rPr>
              <w:t>4</w:t>
            </w:r>
            <w:r>
              <w:rPr>
                <w:noProof/>
                <w:webHidden/>
              </w:rPr>
              <w:fldChar w:fldCharType="end"/>
            </w:r>
          </w:hyperlink>
        </w:p>
        <w:p w14:paraId="277F7F1F" w14:textId="71BAA779" w:rsidR="00664E55" w:rsidRDefault="00664E55">
          <w:pPr>
            <w:pStyle w:val="TOC2"/>
            <w:tabs>
              <w:tab w:val="right" w:leader="dot" w:pos="9016"/>
            </w:tabs>
            <w:rPr>
              <w:rFonts w:eastAsiaTheme="minorEastAsia"/>
              <w:noProof/>
              <w:lang w:eastAsia="en-GB"/>
            </w:rPr>
          </w:pPr>
          <w:hyperlink w:anchor="_Toc214140653" w:history="1">
            <w:r w:rsidRPr="00A10B7A">
              <w:rPr>
                <w:rStyle w:val="Hyperlink"/>
                <w:rFonts w:ascii="Arial" w:hAnsi="Arial" w:cs="Arial"/>
                <w:bCs/>
                <w:noProof/>
              </w:rPr>
              <w:t>Evaluating Partnership Working in Health and Social Care</w:t>
            </w:r>
            <w:r>
              <w:rPr>
                <w:noProof/>
                <w:webHidden/>
              </w:rPr>
              <w:tab/>
            </w:r>
            <w:r>
              <w:rPr>
                <w:noProof/>
                <w:webHidden/>
              </w:rPr>
              <w:fldChar w:fldCharType="begin"/>
            </w:r>
            <w:r>
              <w:rPr>
                <w:noProof/>
                <w:webHidden/>
              </w:rPr>
              <w:instrText xml:space="preserve"> PAGEREF _Toc214140653 \h </w:instrText>
            </w:r>
            <w:r>
              <w:rPr>
                <w:noProof/>
                <w:webHidden/>
              </w:rPr>
            </w:r>
            <w:r>
              <w:rPr>
                <w:noProof/>
                <w:webHidden/>
              </w:rPr>
              <w:fldChar w:fldCharType="separate"/>
            </w:r>
            <w:r>
              <w:rPr>
                <w:noProof/>
                <w:webHidden/>
              </w:rPr>
              <w:t>6</w:t>
            </w:r>
            <w:r>
              <w:rPr>
                <w:noProof/>
                <w:webHidden/>
              </w:rPr>
              <w:fldChar w:fldCharType="end"/>
            </w:r>
          </w:hyperlink>
        </w:p>
        <w:p w14:paraId="613C8A92" w14:textId="46E76866" w:rsidR="00664E55" w:rsidRDefault="00664E55">
          <w:pPr>
            <w:pStyle w:val="TOC2"/>
            <w:tabs>
              <w:tab w:val="right" w:leader="dot" w:pos="9016"/>
            </w:tabs>
            <w:rPr>
              <w:rFonts w:eastAsiaTheme="minorEastAsia"/>
              <w:noProof/>
              <w:lang w:eastAsia="en-GB"/>
            </w:rPr>
          </w:pPr>
          <w:hyperlink w:anchor="_Toc214140654" w:history="1">
            <w:r w:rsidRPr="00A10B7A">
              <w:rPr>
                <w:rStyle w:val="Hyperlink"/>
                <w:rFonts w:ascii="Arial" w:hAnsi="Arial" w:cs="Arial"/>
                <w:bCs/>
                <w:noProof/>
              </w:rPr>
              <w:t>Application of Person-Centred Care and Partnership Working in a Community Mental Health Team</w:t>
            </w:r>
            <w:r>
              <w:rPr>
                <w:noProof/>
                <w:webHidden/>
              </w:rPr>
              <w:tab/>
            </w:r>
            <w:r>
              <w:rPr>
                <w:noProof/>
                <w:webHidden/>
              </w:rPr>
              <w:fldChar w:fldCharType="begin"/>
            </w:r>
            <w:r>
              <w:rPr>
                <w:noProof/>
                <w:webHidden/>
              </w:rPr>
              <w:instrText xml:space="preserve"> PAGEREF _Toc214140654 \h </w:instrText>
            </w:r>
            <w:r>
              <w:rPr>
                <w:noProof/>
                <w:webHidden/>
              </w:rPr>
            </w:r>
            <w:r>
              <w:rPr>
                <w:noProof/>
                <w:webHidden/>
              </w:rPr>
              <w:fldChar w:fldCharType="separate"/>
            </w:r>
            <w:r>
              <w:rPr>
                <w:noProof/>
                <w:webHidden/>
              </w:rPr>
              <w:t>6</w:t>
            </w:r>
            <w:r>
              <w:rPr>
                <w:noProof/>
                <w:webHidden/>
              </w:rPr>
              <w:fldChar w:fldCharType="end"/>
            </w:r>
          </w:hyperlink>
        </w:p>
        <w:p w14:paraId="6A9CF9B9" w14:textId="3DCF3AA6" w:rsidR="00664E55" w:rsidRDefault="00664E55">
          <w:pPr>
            <w:pStyle w:val="TOC2"/>
            <w:tabs>
              <w:tab w:val="right" w:leader="dot" w:pos="9016"/>
            </w:tabs>
            <w:rPr>
              <w:rFonts w:eastAsiaTheme="minorEastAsia"/>
              <w:noProof/>
              <w:lang w:eastAsia="en-GB"/>
            </w:rPr>
          </w:pPr>
          <w:hyperlink w:anchor="_Toc214140655" w:history="1">
            <w:r w:rsidRPr="00A10B7A">
              <w:rPr>
                <w:rStyle w:val="Hyperlink"/>
                <w:rFonts w:ascii="Arial" w:hAnsi="Arial" w:cs="Arial"/>
                <w:bCs/>
                <w:noProof/>
              </w:rPr>
              <w:t>Policy and Legislation Relating to Person-Centred Care and Partnership Working</w:t>
            </w:r>
            <w:r>
              <w:rPr>
                <w:noProof/>
                <w:webHidden/>
              </w:rPr>
              <w:tab/>
            </w:r>
            <w:r>
              <w:rPr>
                <w:noProof/>
                <w:webHidden/>
              </w:rPr>
              <w:fldChar w:fldCharType="begin"/>
            </w:r>
            <w:r>
              <w:rPr>
                <w:noProof/>
                <w:webHidden/>
              </w:rPr>
              <w:instrText xml:space="preserve"> PAGEREF _Toc214140655 \h </w:instrText>
            </w:r>
            <w:r>
              <w:rPr>
                <w:noProof/>
                <w:webHidden/>
              </w:rPr>
            </w:r>
            <w:r>
              <w:rPr>
                <w:noProof/>
                <w:webHidden/>
              </w:rPr>
              <w:fldChar w:fldCharType="separate"/>
            </w:r>
            <w:r>
              <w:rPr>
                <w:noProof/>
                <w:webHidden/>
              </w:rPr>
              <w:t>8</w:t>
            </w:r>
            <w:r>
              <w:rPr>
                <w:noProof/>
                <w:webHidden/>
              </w:rPr>
              <w:fldChar w:fldCharType="end"/>
            </w:r>
          </w:hyperlink>
        </w:p>
        <w:p w14:paraId="2325239F" w14:textId="5A0C7A17" w:rsidR="00664E55" w:rsidRDefault="00664E55">
          <w:pPr>
            <w:pStyle w:val="TOC2"/>
            <w:tabs>
              <w:tab w:val="right" w:leader="dot" w:pos="9016"/>
            </w:tabs>
            <w:rPr>
              <w:rFonts w:eastAsiaTheme="minorEastAsia"/>
              <w:noProof/>
              <w:lang w:eastAsia="en-GB"/>
            </w:rPr>
          </w:pPr>
          <w:hyperlink w:anchor="_Toc214140656" w:history="1">
            <w:r w:rsidRPr="00A10B7A">
              <w:rPr>
                <w:rStyle w:val="Hyperlink"/>
                <w:rFonts w:ascii="Arial" w:hAnsi="Arial" w:cs="Arial"/>
                <w:bCs/>
                <w:noProof/>
              </w:rPr>
              <w:t>Recommendations for Future Development</w:t>
            </w:r>
            <w:r>
              <w:rPr>
                <w:noProof/>
                <w:webHidden/>
              </w:rPr>
              <w:tab/>
            </w:r>
            <w:r>
              <w:rPr>
                <w:noProof/>
                <w:webHidden/>
              </w:rPr>
              <w:fldChar w:fldCharType="begin"/>
            </w:r>
            <w:r>
              <w:rPr>
                <w:noProof/>
                <w:webHidden/>
              </w:rPr>
              <w:instrText xml:space="preserve"> PAGEREF _Toc214140656 \h </w:instrText>
            </w:r>
            <w:r>
              <w:rPr>
                <w:noProof/>
                <w:webHidden/>
              </w:rPr>
            </w:r>
            <w:r>
              <w:rPr>
                <w:noProof/>
                <w:webHidden/>
              </w:rPr>
              <w:fldChar w:fldCharType="separate"/>
            </w:r>
            <w:r>
              <w:rPr>
                <w:noProof/>
                <w:webHidden/>
              </w:rPr>
              <w:t>9</w:t>
            </w:r>
            <w:r>
              <w:rPr>
                <w:noProof/>
                <w:webHidden/>
              </w:rPr>
              <w:fldChar w:fldCharType="end"/>
            </w:r>
          </w:hyperlink>
        </w:p>
        <w:p w14:paraId="62D45670" w14:textId="4D563C9E" w:rsidR="00664E55" w:rsidRDefault="00664E55">
          <w:pPr>
            <w:pStyle w:val="TOC2"/>
            <w:tabs>
              <w:tab w:val="right" w:leader="dot" w:pos="9016"/>
            </w:tabs>
            <w:rPr>
              <w:rFonts w:eastAsiaTheme="minorEastAsia"/>
              <w:noProof/>
              <w:lang w:eastAsia="en-GB"/>
            </w:rPr>
          </w:pPr>
          <w:hyperlink w:anchor="_Toc214140657" w:history="1">
            <w:r w:rsidRPr="00A10B7A">
              <w:rPr>
                <w:rStyle w:val="Hyperlink"/>
                <w:rFonts w:ascii="Arial" w:hAnsi="Arial" w:cs="Arial"/>
                <w:bCs/>
                <w:noProof/>
              </w:rPr>
              <w:t>Conclusion</w:t>
            </w:r>
            <w:r>
              <w:rPr>
                <w:noProof/>
                <w:webHidden/>
              </w:rPr>
              <w:tab/>
            </w:r>
            <w:r>
              <w:rPr>
                <w:noProof/>
                <w:webHidden/>
              </w:rPr>
              <w:fldChar w:fldCharType="begin"/>
            </w:r>
            <w:r>
              <w:rPr>
                <w:noProof/>
                <w:webHidden/>
              </w:rPr>
              <w:instrText xml:space="preserve"> PAGEREF _Toc214140657 \h </w:instrText>
            </w:r>
            <w:r>
              <w:rPr>
                <w:noProof/>
                <w:webHidden/>
              </w:rPr>
            </w:r>
            <w:r>
              <w:rPr>
                <w:noProof/>
                <w:webHidden/>
              </w:rPr>
              <w:fldChar w:fldCharType="separate"/>
            </w:r>
            <w:r>
              <w:rPr>
                <w:noProof/>
                <w:webHidden/>
              </w:rPr>
              <w:t>9</w:t>
            </w:r>
            <w:r>
              <w:rPr>
                <w:noProof/>
                <w:webHidden/>
              </w:rPr>
              <w:fldChar w:fldCharType="end"/>
            </w:r>
          </w:hyperlink>
        </w:p>
        <w:p w14:paraId="1236D0F5" w14:textId="0704F210" w:rsidR="00664E55" w:rsidRDefault="00664E55">
          <w:r>
            <w:rPr>
              <w:b/>
              <w:bCs/>
              <w:noProof/>
            </w:rPr>
            <w:fldChar w:fldCharType="end"/>
          </w:r>
        </w:p>
      </w:sdtContent>
    </w:sdt>
    <w:p w14:paraId="4AFC0230" w14:textId="06B9029B" w:rsidR="00744E76" w:rsidRPr="0006724C" w:rsidRDefault="00744E76" w:rsidP="0006724C">
      <w:pPr>
        <w:pStyle w:val="Heading2"/>
        <w:spacing w:line="360" w:lineRule="auto"/>
        <w:rPr>
          <w:rFonts w:ascii="Arial" w:eastAsia="Times New Roman" w:hAnsi="Arial" w:cs="Arial"/>
          <w:bCs/>
          <w:lang w:eastAsia="en-GB"/>
        </w:rPr>
      </w:pPr>
      <w:bookmarkStart w:id="2" w:name="_Toc214140649"/>
      <w:r w:rsidRPr="0006724C">
        <w:rPr>
          <w:rFonts w:ascii="Arial" w:eastAsia="Times New Roman" w:hAnsi="Arial" w:cs="Arial"/>
          <w:bCs/>
          <w:lang w:eastAsia="en-GB"/>
        </w:rPr>
        <w:lastRenderedPageBreak/>
        <w:t>Introduction</w:t>
      </w:r>
      <w:bookmarkEnd w:id="2"/>
      <w:r w:rsidRPr="0006724C">
        <w:rPr>
          <w:rFonts w:ascii="Arial" w:eastAsia="Times New Roman" w:hAnsi="Arial" w:cs="Arial"/>
          <w:bCs/>
          <w:lang w:eastAsia="en-GB"/>
        </w:rPr>
        <w:t xml:space="preserve"> </w:t>
      </w:r>
    </w:p>
    <w:p w14:paraId="21D43ED1" w14:textId="163F714C" w:rsidR="00744E76" w:rsidRPr="00744E76" w:rsidRDefault="00744E76" w:rsidP="0006724C">
      <w:pPr>
        <w:spacing w:before="100" w:beforeAutospacing="1" w:after="100" w:afterAutospacing="1" w:line="360" w:lineRule="auto"/>
        <w:rPr>
          <w:rFonts w:ascii="Arial" w:eastAsia="Times New Roman" w:hAnsi="Arial" w:cs="Arial"/>
          <w:bCs/>
          <w:kern w:val="0"/>
          <w:lang w:eastAsia="en-GB"/>
          <w14:ligatures w14:val="none"/>
        </w:rPr>
      </w:pPr>
      <w:r w:rsidRPr="00744E76">
        <w:rPr>
          <w:rFonts w:ascii="Arial" w:eastAsia="Times New Roman" w:hAnsi="Arial" w:cs="Arial"/>
          <w:bCs/>
          <w:kern w:val="0"/>
          <w:lang w:eastAsia="en-GB"/>
          <w14:ligatures w14:val="none"/>
        </w:rPr>
        <w:t xml:space="preserve">Person-centred care (PCC) has become a central expectation within UK health and social care, emphasising the need to understand </w:t>
      </w:r>
      <w:proofErr w:type="gramStart"/>
      <w:r w:rsidRPr="00744E76">
        <w:rPr>
          <w:rFonts w:ascii="Arial" w:eastAsia="Times New Roman" w:hAnsi="Arial" w:cs="Arial"/>
          <w:bCs/>
          <w:kern w:val="0"/>
          <w:lang w:eastAsia="en-GB"/>
          <w14:ligatures w14:val="none"/>
        </w:rPr>
        <w:t>each individual’s</w:t>
      </w:r>
      <w:proofErr w:type="gramEnd"/>
      <w:r w:rsidRPr="00744E76">
        <w:rPr>
          <w:rFonts w:ascii="Arial" w:eastAsia="Times New Roman" w:hAnsi="Arial" w:cs="Arial"/>
          <w:bCs/>
          <w:kern w:val="0"/>
          <w:lang w:eastAsia="en-GB"/>
          <w14:ligatures w14:val="none"/>
        </w:rPr>
        <w:t xml:space="preserve"> values, preferences and lived experiences </w:t>
      </w:r>
      <w:proofErr w:type="gramStart"/>
      <w:r w:rsidRPr="00744E76">
        <w:rPr>
          <w:rFonts w:ascii="Arial" w:eastAsia="Times New Roman" w:hAnsi="Arial" w:cs="Arial"/>
          <w:bCs/>
          <w:kern w:val="0"/>
          <w:lang w:eastAsia="en-GB"/>
          <w14:ligatures w14:val="none"/>
        </w:rPr>
        <w:t>in order to</w:t>
      </w:r>
      <w:proofErr w:type="gramEnd"/>
      <w:r w:rsidRPr="00744E76">
        <w:rPr>
          <w:rFonts w:ascii="Arial" w:eastAsia="Times New Roman" w:hAnsi="Arial" w:cs="Arial"/>
          <w:bCs/>
          <w:kern w:val="0"/>
          <w:lang w:eastAsia="en-GB"/>
          <w14:ligatures w14:val="none"/>
        </w:rPr>
        <w:t xml:space="preserve"> deliver care that promotes dignity, autonomy and wellbeing. Partnership working (PW) is closely connected to this approach, as modern care increasingly relies on effective collaboration between professionals, services, service </w:t>
      </w:r>
      <w:proofErr w:type="gramStart"/>
      <w:r w:rsidRPr="00744E76">
        <w:rPr>
          <w:rFonts w:ascii="Arial" w:eastAsia="Times New Roman" w:hAnsi="Arial" w:cs="Arial"/>
          <w:bCs/>
          <w:kern w:val="0"/>
          <w:lang w:eastAsia="en-GB"/>
          <w14:ligatures w14:val="none"/>
        </w:rPr>
        <w:t>users</w:t>
      </w:r>
      <w:proofErr w:type="gramEnd"/>
      <w:r w:rsidRPr="00744E76">
        <w:rPr>
          <w:rFonts w:ascii="Arial" w:eastAsia="Times New Roman" w:hAnsi="Arial" w:cs="Arial"/>
          <w:bCs/>
          <w:kern w:val="0"/>
          <w:lang w:eastAsia="en-GB"/>
          <w14:ligatures w14:val="none"/>
        </w:rPr>
        <w:t xml:space="preserve"> </w:t>
      </w:r>
      <w:r w:rsidR="00664E55">
        <w:rPr>
          <w:rFonts w:ascii="Arial" w:eastAsia="Times New Roman" w:hAnsi="Arial" w:cs="Arial"/>
          <w:bCs/>
          <w:kern w:val="0"/>
          <w:lang w:eastAsia="en-GB"/>
          <w14:ligatures w14:val="none"/>
        </w:rPr>
        <w:t>r</w:t>
      </w:r>
      <w:r w:rsidRPr="00744E76">
        <w:rPr>
          <w:rFonts w:ascii="Arial" w:eastAsia="Times New Roman" w:hAnsi="Arial" w:cs="Arial"/>
          <w:bCs/>
          <w:kern w:val="0"/>
          <w:lang w:eastAsia="en-GB"/>
          <w14:ligatures w14:val="none"/>
        </w:rPr>
        <w:t>and families to meet complex needs safely and holistically. Policy frameworks such as the NHS Constitution and the Care Act 2014 reinforce these principles, requiring organisations to involve individuals actively in decisions about their treatment and support.</w:t>
      </w:r>
    </w:p>
    <w:p w14:paraId="667AACF8" w14:textId="2C92C940" w:rsidR="00744E76" w:rsidRPr="00744E76" w:rsidRDefault="00744E76" w:rsidP="0006724C">
      <w:pPr>
        <w:spacing w:before="100" w:beforeAutospacing="1" w:after="100" w:afterAutospacing="1" w:line="360" w:lineRule="auto"/>
        <w:rPr>
          <w:rFonts w:ascii="Arial" w:eastAsia="Times New Roman" w:hAnsi="Arial" w:cs="Arial"/>
          <w:bCs/>
          <w:kern w:val="0"/>
          <w:lang w:eastAsia="en-GB"/>
          <w14:ligatures w14:val="none"/>
        </w:rPr>
      </w:pPr>
      <w:r w:rsidRPr="00744E76">
        <w:rPr>
          <w:rFonts w:ascii="Arial" w:eastAsia="Times New Roman" w:hAnsi="Arial" w:cs="Arial"/>
          <w:bCs/>
          <w:kern w:val="0"/>
          <w:lang w:eastAsia="en-GB"/>
          <w14:ligatures w14:val="none"/>
        </w:rPr>
        <w:t xml:space="preserve">This report examines how PCC and PW are defined, evaluated and applied within practice. A community mental health team (CMHT) is used as the primary setting, as mental health support often </w:t>
      </w:r>
      <w:proofErr w:type="spellStart"/>
      <w:r w:rsidRPr="00744E76">
        <w:rPr>
          <w:rFonts w:ascii="Arial" w:eastAsia="Times New Roman" w:hAnsi="Arial" w:cs="Arial"/>
          <w:bCs/>
          <w:kern w:val="0"/>
          <w:lang w:eastAsia="en-GB"/>
          <w14:ligatures w14:val="none"/>
        </w:rPr>
        <w:t>requir</w:t>
      </w:r>
      <w:r w:rsidR="00664E55">
        <w:rPr>
          <w:rFonts w:ascii="Arial" w:eastAsia="Times New Roman" w:hAnsi="Arial" w:cs="Arial"/>
          <w:bCs/>
          <w:kern w:val="0"/>
          <w:lang w:eastAsia="en-GB"/>
          <w14:ligatures w14:val="none"/>
        </w:rPr>
        <w:t>e</w:t>
      </w:r>
      <w:r w:rsidRPr="00744E76">
        <w:rPr>
          <w:rFonts w:ascii="Arial" w:eastAsia="Times New Roman" w:hAnsi="Arial" w:cs="Arial"/>
          <w:bCs/>
          <w:kern w:val="0"/>
          <w:lang w:eastAsia="en-GB"/>
          <w14:ligatures w14:val="none"/>
        </w:rPr>
        <w:t>es</w:t>
      </w:r>
      <w:proofErr w:type="spellEnd"/>
      <w:r w:rsidRPr="00744E76">
        <w:rPr>
          <w:rFonts w:ascii="Arial" w:eastAsia="Times New Roman" w:hAnsi="Arial" w:cs="Arial"/>
          <w:bCs/>
          <w:kern w:val="0"/>
          <w:lang w:eastAsia="en-GB"/>
          <w14:ligatures w14:val="none"/>
        </w:rPr>
        <w:t xml:space="preserve"> coordinated, relationship-based care between nurses, social workers, psychologists, occupational therapists, GPs and families. The report will explore the benefits and limitations of PCC, critically analyse a theoretical model that underpins person-centred practice, </w:t>
      </w:r>
      <w:r w:rsidR="00664E55">
        <w:rPr>
          <w:rFonts w:ascii="Arial" w:eastAsia="Times New Roman" w:hAnsi="Arial" w:cs="Arial"/>
          <w:bCs/>
          <w:kern w:val="0"/>
          <w:lang w:eastAsia="en-GB"/>
          <w14:ligatures w14:val="none"/>
        </w:rPr>
        <w:t>w</w:t>
      </w:r>
      <w:r w:rsidRPr="00744E76">
        <w:rPr>
          <w:rFonts w:ascii="Arial" w:eastAsia="Times New Roman" w:hAnsi="Arial" w:cs="Arial"/>
          <w:bCs/>
          <w:kern w:val="0"/>
          <w:lang w:eastAsia="en-GB"/>
          <w14:ligatures w14:val="none"/>
        </w:rPr>
        <w:t>and examine core ethical principles shaping care decisions. It will also evaluate the effectiveness of partnership working in a CMHT context, identify relevant policy and legislation, and present recommendations for strengthening PCC and PW across UK services.</w:t>
      </w:r>
    </w:p>
    <w:p w14:paraId="2A3C3E47" w14:textId="77777777" w:rsidR="00A32E58" w:rsidRPr="0006724C" w:rsidRDefault="00A32E58" w:rsidP="0006724C">
      <w:pPr>
        <w:spacing w:line="360" w:lineRule="auto"/>
        <w:rPr>
          <w:rFonts w:ascii="Arial" w:hAnsi="Arial" w:cs="Arial"/>
          <w:bCs/>
        </w:rPr>
      </w:pPr>
    </w:p>
    <w:p w14:paraId="50F59610" w14:textId="73147C39" w:rsidR="00A32E58" w:rsidRPr="0006724C" w:rsidRDefault="00744E76" w:rsidP="0006724C">
      <w:pPr>
        <w:pStyle w:val="Heading2"/>
        <w:spacing w:line="360" w:lineRule="auto"/>
        <w:rPr>
          <w:rFonts w:ascii="Arial" w:hAnsi="Arial" w:cs="Arial"/>
          <w:bCs/>
        </w:rPr>
      </w:pPr>
      <w:bookmarkStart w:id="3" w:name="_Toc214140650"/>
      <w:r w:rsidRPr="0006724C">
        <w:rPr>
          <w:rFonts w:ascii="Arial" w:hAnsi="Arial" w:cs="Arial"/>
          <w:bCs/>
        </w:rPr>
        <w:t>Person-Centred Care: Definition, Benefits and Limitations</w:t>
      </w:r>
      <w:bookmarkEnd w:id="3"/>
    </w:p>
    <w:p w14:paraId="61DBAFC7" w14:textId="20D120DD" w:rsidR="00744E76" w:rsidRPr="0006724C" w:rsidRDefault="00744E76" w:rsidP="0006724C">
      <w:pPr>
        <w:spacing w:line="360" w:lineRule="auto"/>
        <w:rPr>
          <w:rFonts w:ascii="Arial" w:hAnsi="Arial" w:cs="Arial"/>
          <w:bCs/>
        </w:rPr>
      </w:pPr>
      <w:r w:rsidRPr="0006724C">
        <w:rPr>
          <w:rFonts w:ascii="Arial" w:hAnsi="Arial" w:cs="Arial"/>
          <w:bCs/>
        </w:rPr>
        <w:t xml:space="preserve">Person-centred care (PCC) is an approach that places the individual at the core of all assessment, planning and decision-making processes. Rather than focusing solely on a diagnosis or service-defined goals, PCC recognises the person’s unique preferences, values, strengths and lived experiences. In UK practice, PCC is characterised by shared decision-making, </w:t>
      </w:r>
      <w:proofErr w:type="spellStart"/>
      <w:r w:rsidRPr="0006724C">
        <w:rPr>
          <w:rFonts w:ascii="Arial" w:hAnsi="Arial" w:cs="Arial"/>
          <w:bCs/>
        </w:rPr>
        <w:t>p</w:t>
      </w:r>
      <w:r w:rsidR="00664E55">
        <w:rPr>
          <w:rFonts w:ascii="Arial" w:hAnsi="Arial" w:cs="Arial"/>
          <w:bCs/>
        </w:rPr>
        <w:t>e</w:t>
      </w:r>
      <w:r w:rsidRPr="0006724C">
        <w:rPr>
          <w:rFonts w:ascii="Arial" w:hAnsi="Arial" w:cs="Arial"/>
          <w:bCs/>
        </w:rPr>
        <w:t>ersonalised</w:t>
      </w:r>
      <w:proofErr w:type="spellEnd"/>
      <w:r w:rsidRPr="0006724C">
        <w:rPr>
          <w:rFonts w:ascii="Arial" w:hAnsi="Arial" w:cs="Arial"/>
          <w:bCs/>
        </w:rPr>
        <w:t xml:space="preserve"> care planning, respect for autonomy, and a holistic understanding of the individual’s physical, emotional and social needs. Within mental health </w:t>
      </w:r>
      <w:proofErr w:type="spellStart"/>
      <w:r w:rsidRPr="0006724C">
        <w:rPr>
          <w:rFonts w:ascii="Arial" w:hAnsi="Arial" w:cs="Arial"/>
          <w:bCs/>
        </w:rPr>
        <w:t>se</w:t>
      </w:r>
      <w:r w:rsidR="00664E55">
        <w:rPr>
          <w:rFonts w:ascii="Arial" w:hAnsi="Arial" w:cs="Arial"/>
          <w:bCs/>
        </w:rPr>
        <w:t>w</w:t>
      </w:r>
      <w:r w:rsidRPr="0006724C">
        <w:rPr>
          <w:rFonts w:ascii="Arial" w:hAnsi="Arial" w:cs="Arial"/>
          <w:bCs/>
        </w:rPr>
        <w:t>rvices</w:t>
      </w:r>
      <w:proofErr w:type="spellEnd"/>
      <w:r w:rsidRPr="0006724C">
        <w:rPr>
          <w:rFonts w:ascii="Arial" w:hAnsi="Arial" w:cs="Arial"/>
          <w:bCs/>
        </w:rPr>
        <w:t>, such as a community mental health team (CMHT), PCC also includes building therapeutic relationships, supporting recovery, and enabling people to define what “a good life” means for themselves.</w:t>
      </w:r>
    </w:p>
    <w:p w14:paraId="43F358D5" w14:textId="2771251B" w:rsidR="00744E76" w:rsidRPr="0006724C" w:rsidRDefault="00744E76" w:rsidP="0006724C">
      <w:pPr>
        <w:spacing w:line="360" w:lineRule="auto"/>
        <w:rPr>
          <w:rFonts w:ascii="Arial" w:hAnsi="Arial" w:cs="Arial"/>
          <w:bCs/>
        </w:rPr>
      </w:pPr>
      <w:r w:rsidRPr="0006724C">
        <w:rPr>
          <w:rFonts w:ascii="Arial" w:hAnsi="Arial" w:cs="Arial"/>
          <w:bCs/>
        </w:rPr>
        <w:lastRenderedPageBreak/>
        <w:t xml:space="preserve">The benefits of PCC are well-documented. Service users report greater satisfaction, improved trust in professionals and a stronger sense of control over their treatment. In mental health specifically, PCC can enhance engagement with interventions, reduce feelings of coercion, and contribute to improved long-term recovery outcomes. For professionals, PCC supports clearer communication, more meaningful care planning and better alignment between clinical goals and what the person </w:t>
      </w:r>
      <w:proofErr w:type="gramStart"/>
      <w:r w:rsidRPr="0006724C">
        <w:rPr>
          <w:rFonts w:ascii="Arial" w:hAnsi="Arial" w:cs="Arial"/>
          <w:bCs/>
        </w:rPr>
        <w:t>actually wants</w:t>
      </w:r>
      <w:proofErr w:type="gramEnd"/>
      <w:r w:rsidRPr="0006724C">
        <w:rPr>
          <w:rFonts w:ascii="Arial" w:hAnsi="Arial" w:cs="Arial"/>
          <w:bCs/>
        </w:rPr>
        <w:t xml:space="preserve">. PCC also helps reduce inequalities by ensuring that care is tailored to cultural </w:t>
      </w:r>
      <w:proofErr w:type="spellStart"/>
      <w:r w:rsidRPr="0006724C">
        <w:rPr>
          <w:rFonts w:ascii="Arial" w:hAnsi="Arial" w:cs="Arial"/>
          <w:bCs/>
        </w:rPr>
        <w:t>backgr</w:t>
      </w:r>
      <w:r w:rsidR="00664E55">
        <w:rPr>
          <w:rFonts w:ascii="Arial" w:hAnsi="Arial" w:cs="Arial"/>
          <w:bCs/>
        </w:rPr>
        <w:t>w</w:t>
      </w:r>
      <w:r w:rsidRPr="0006724C">
        <w:rPr>
          <w:rFonts w:ascii="Arial" w:hAnsi="Arial" w:cs="Arial"/>
          <w:bCs/>
        </w:rPr>
        <w:t>ound</w:t>
      </w:r>
      <w:proofErr w:type="spellEnd"/>
      <w:r w:rsidRPr="0006724C">
        <w:rPr>
          <w:rFonts w:ascii="Arial" w:hAnsi="Arial" w:cs="Arial"/>
          <w:bCs/>
        </w:rPr>
        <w:t>, communication needs and personal circumstances.</w:t>
      </w:r>
    </w:p>
    <w:p w14:paraId="69A3C0AA" w14:textId="77777777" w:rsidR="00744E76" w:rsidRPr="0006724C" w:rsidRDefault="00744E76" w:rsidP="0006724C">
      <w:pPr>
        <w:spacing w:line="360" w:lineRule="auto"/>
        <w:rPr>
          <w:rFonts w:ascii="Arial" w:hAnsi="Arial" w:cs="Arial"/>
          <w:bCs/>
        </w:rPr>
      </w:pPr>
    </w:p>
    <w:p w14:paraId="3F857CD0" w14:textId="345BBB39" w:rsidR="00744E76" w:rsidRPr="0006724C" w:rsidRDefault="00744E76" w:rsidP="0006724C">
      <w:pPr>
        <w:spacing w:line="360" w:lineRule="auto"/>
        <w:rPr>
          <w:rFonts w:ascii="Arial" w:hAnsi="Arial" w:cs="Arial"/>
          <w:bCs/>
        </w:rPr>
      </w:pPr>
      <w:r w:rsidRPr="0006724C">
        <w:rPr>
          <w:rFonts w:ascii="Arial" w:hAnsi="Arial" w:cs="Arial"/>
          <w:bCs/>
        </w:rPr>
        <w:t>However, despite its importance, PCC presents several practical limitations. Time pressures, high caseloads and staffing shortages can restrict opportunities for meaningful dialogue with service users. In CMHTs, crisis situations or high-risk presentations may require swift clinical decisions that limit shared choice, creating tension between autonomy and safety. Organisational constraints such as rigid appointment structures, limited availability of therapy sessions or fragmented communication between agencies can also reduce the effectiveness of PCC. Some service users may find it difficult to articulate their preferences due to cognitive difficulties, acute distress or lack of trust, meaning professionals must balance empowerment with safeguarding and clinical judgement. Additionally, inconsistencies in training or varying interpretations of PCC across multidisciplinary teams can lead to uneven implementation.</w:t>
      </w:r>
    </w:p>
    <w:p w14:paraId="22E0FD3D" w14:textId="7F121705" w:rsidR="00744E76" w:rsidRPr="0006724C" w:rsidRDefault="00744E76" w:rsidP="0006724C">
      <w:pPr>
        <w:spacing w:line="360" w:lineRule="auto"/>
        <w:rPr>
          <w:rFonts w:ascii="Arial" w:hAnsi="Arial" w:cs="Arial"/>
          <w:bCs/>
        </w:rPr>
      </w:pPr>
      <w:r w:rsidRPr="0006724C">
        <w:rPr>
          <w:rFonts w:ascii="Arial" w:hAnsi="Arial" w:cs="Arial"/>
          <w:bCs/>
        </w:rPr>
        <w:t xml:space="preserve">Overall, while PCC offers a powerful framework for improving experiences and outcomes, its effectiveness depends heavily on organisational culture, staffing, communication systems and the professional skills available within the setting. In a CMHT, successful PCC requires flexibility, collaboration and a commitment to understanding </w:t>
      </w:r>
      <w:proofErr w:type="gramStart"/>
      <w:r w:rsidRPr="0006724C">
        <w:rPr>
          <w:rFonts w:ascii="Arial" w:hAnsi="Arial" w:cs="Arial"/>
          <w:bCs/>
        </w:rPr>
        <w:t>each individual</w:t>
      </w:r>
      <w:proofErr w:type="gramEnd"/>
      <w:r w:rsidRPr="0006724C">
        <w:rPr>
          <w:rFonts w:ascii="Arial" w:hAnsi="Arial" w:cs="Arial"/>
          <w:bCs/>
        </w:rPr>
        <w:t xml:space="preserve"> beyond their diagnosis or presenting issue.</w:t>
      </w:r>
    </w:p>
    <w:p w14:paraId="39B827AE" w14:textId="77777777" w:rsidR="00A32E58" w:rsidRPr="0006724C" w:rsidRDefault="00A32E58" w:rsidP="0006724C">
      <w:pPr>
        <w:spacing w:line="360" w:lineRule="auto"/>
        <w:rPr>
          <w:rFonts w:ascii="Arial" w:hAnsi="Arial" w:cs="Arial"/>
          <w:bCs/>
        </w:rPr>
      </w:pPr>
    </w:p>
    <w:p w14:paraId="1C7536E9" w14:textId="4B95BFCC" w:rsidR="00A32E58" w:rsidRPr="0006724C" w:rsidRDefault="00744E76" w:rsidP="0006724C">
      <w:pPr>
        <w:pStyle w:val="Heading2"/>
        <w:spacing w:line="360" w:lineRule="auto"/>
        <w:rPr>
          <w:rFonts w:ascii="Arial" w:hAnsi="Arial" w:cs="Arial"/>
          <w:bCs/>
        </w:rPr>
      </w:pPr>
      <w:bookmarkStart w:id="4" w:name="_Toc214140651"/>
      <w:r w:rsidRPr="0006724C">
        <w:rPr>
          <w:rFonts w:ascii="Arial" w:hAnsi="Arial" w:cs="Arial"/>
          <w:bCs/>
        </w:rPr>
        <w:t>Theoretical Model Underpinning Person-Centred Care</w:t>
      </w:r>
      <w:bookmarkEnd w:id="4"/>
    </w:p>
    <w:p w14:paraId="2E706468" w14:textId="3AA94E08" w:rsidR="0006724C" w:rsidRPr="0006724C" w:rsidRDefault="0006724C" w:rsidP="0006724C">
      <w:pPr>
        <w:pStyle w:val="NormalWeb"/>
        <w:spacing w:line="360" w:lineRule="auto"/>
        <w:rPr>
          <w:rFonts w:ascii="Arial" w:hAnsi="Arial" w:cs="Arial"/>
          <w:bCs/>
        </w:rPr>
      </w:pPr>
      <w:r w:rsidRPr="0006724C">
        <w:rPr>
          <w:rFonts w:ascii="Arial" w:hAnsi="Arial" w:cs="Arial"/>
          <w:bCs/>
        </w:rPr>
        <w:t>A key theory underpinning person-centred care</w:t>
      </w:r>
      <w:r w:rsidR="00664E55">
        <w:rPr>
          <w:rFonts w:ascii="Arial" w:hAnsi="Arial" w:cs="Arial"/>
          <w:bCs/>
        </w:rPr>
        <w:t>d</w:t>
      </w:r>
      <w:r w:rsidRPr="0006724C">
        <w:rPr>
          <w:rFonts w:ascii="Arial" w:hAnsi="Arial" w:cs="Arial"/>
          <w:bCs/>
        </w:rPr>
        <w:t xml:space="preserve"> (PCC) is </w:t>
      </w:r>
      <w:r w:rsidRPr="0006724C">
        <w:rPr>
          <w:rStyle w:val="Strong"/>
          <w:rFonts w:ascii="Arial" w:eastAsiaTheme="majorEastAsia" w:hAnsi="Arial" w:cs="Arial"/>
          <w:b w:val="0"/>
        </w:rPr>
        <w:t>Carl Rogers’ Person-Centred Approach</w:t>
      </w:r>
      <w:r w:rsidRPr="0006724C">
        <w:rPr>
          <w:rFonts w:ascii="Arial" w:hAnsi="Arial" w:cs="Arial"/>
          <w:bCs/>
        </w:rPr>
        <w:t xml:space="preserve">, widely used in mental health practice. Rogers argues that individuals have an innate capacity for growth when supported in the right </w:t>
      </w:r>
      <w:r w:rsidRPr="0006724C">
        <w:rPr>
          <w:rFonts w:ascii="Arial" w:hAnsi="Arial" w:cs="Arial"/>
          <w:bCs/>
        </w:rPr>
        <w:lastRenderedPageBreak/>
        <w:t xml:space="preserve">environment. His model focuses on three “core conditions”: </w:t>
      </w:r>
      <w:r w:rsidRPr="0006724C">
        <w:rPr>
          <w:rStyle w:val="Strong"/>
          <w:rFonts w:ascii="Arial" w:eastAsiaTheme="majorEastAsia" w:hAnsi="Arial" w:cs="Arial"/>
          <w:b w:val="0"/>
        </w:rPr>
        <w:t>empathy</w:t>
      </w:r>
      <w:r w:rsidRPr="0006724C">
        <w:rPr>
          <w:rFonts w:ascii="Arial" w:hAnsi="Arial" w:cs="Arial"/>
          <w:bCs/>
        </w:rPr>
        <w:t xml:space="preserve">, </w:t>
      </w:r>
      <w:r w:rsidRPr="0006724C">
        <w:rPr>
          <w:rStyle w:val="Strong"/>
          <w:rFonts w:ascii="Arial" w:eastAsiaTheme="majorEastAsia" w:hAnsi="Arial" w:cs="Arial"/>
          <w:b w:val="0"/>
        </w:rPr>
        <w:t>congruence</w:t>
      </w:r>
      <w:r w:rsidRPr="0006724C">
        <w:rPr>
          <w:rFonts w:ascii="Arial" w:hAnsi="Arial" w:cs="Arial"/>
          <w:bCs/>
        </w:rPr>
        <w:t xml:space="preserve"> (authenticity) and </w:t>
      </w:r>
      <w:r w:rsidRPr="0006724C">
        <w:rPr>
          <w:rStyle w:val="Strong"/>
          <w:rFonts w:ascii="Arial" w:eastAsiaTheme="majorEastAsia" w:hAnsi="Arial" w:cs="Arial"/>
          <w:b w:val="0"/>
        </w:rPr>
        <w:t>unconditional positive regard</w:t>
      </w:r>
      <w:r w:rsidRPr="0006724C">
        <w:rPr>
          <w:rFonts w:ascii="Arial" w:hAnsi="Arial" w:cs="Arial"/>
          <w:bCs/>
        </w:rPr>
        <w:t>. Together, these create a safe, non-judgemental relationship where service users feel understood, respected and able to express their experiences openly.</w:t>
      </w:r>
    </w:p>
    <w:p w14:paraId="28C8AAF8" w14:textId="50BE167A" w:rsidR="0006724C" w:rsidRPr="0006724C" w:rsidRDefault="0006724C" w:rsidP="0006724C">
      <w:pPr>
        <w:pStyle w:val="NormalWeb"/>
        <w:spacing w:line="360" w:lineRule="auto"/>
        <w:rPr>
          <w:rFonts w:ascii="Arial" w:hAnsi="Arial" w:cs="Arial"/>
          <w:bCs/>
        </w:rPr>
      </w:pPr>
      <w:r w:rsidRPr="0006724C">
        <w:rPr>
          <w:rFonts w:ascii="Arial" w:hAnsi="Arial" w:cs="Arial"/>
          <w:bCs/>
        </w:rPr>
        <w:t xml:space="preserve">This approach fits naturally within </w:t>
      </w:r>
      <w:proofErr w:type="spellStart"/>
      <w:r w:rsidRPr="0006724C">
        <w:rPr>
          <w:rFonts w:ascii="Arial" w:hAnsi="Arial" w:cs="Arial"/>
          <w:bCs/>
        </w:rPr>
        <w:t>c</w:t>
      </w:r>
      <w:r w:rsidR="00664E55">
        <w:rPr>
          <w:rFonts w:ascii="Arial" w:hAnsi="Arial" w:cs="Arial"/>
          <w:bCs/>
        </w:rPr>
        <w:t>fp</w:t>
      </w:r>
      <w:r w:rsidRPr="0006724C">
        <w:rPr>
          <w:rFonts w:ascii="Arial" w:hAnsi="Arial" w:cs="Arial"/>
          <w:bCs/>
        </w:rPr>
        <w:t>ommunity</w:t>
      </w:r>
      <w:proofErr w:type="spellEnd"/>
      <w:r w:rsidRPr="0006724C">
        <w:rPr>
          <w:rFonts w:ascii="Arial" w:hAnsi="Arial" w:cs="Arial"/>
          <w:bCs/>
        </w:rPr>
        <w:t xml:space="preserve"> mental health teams (CMHTs), where therapeutic relationships are central. Using Rogers’ principles helps professionals reduce power imbalances, build trust and support shared decision-making—key components of PCC. The model also aligns with recovery-focused practice by encouraging individuals to define their own goals and strengths rather than being viewed only through a diagnostic lens.</w:t>
      </w:r>
    </w:p>
    <w:p w14:paraId="3553C6FC" w14:textId="77777777" w:rsidR="0006724C" w:rsidRPr="0006724C" w:rsidRDefault="0006724C" w:rsidP="0006724C">
      <w:pPr>
        <w:pStyle w:val="NormalWeb"/>
        <w:spacing w:line="360" w:lineRule="auto"/>
        <w:rPr>
          <w:rFonts w:ascii="Arial" w:hAnsi="Arial" w:cs="Arial"/>
          <w:bCs/>
        </w:rPr>
      </w:pPr>
      <w:r w:rsidRPr="0006724C">
        <w:rPr>
          <w:rFonts w:ascii="Arial" w:hAnsi="Arial" w:cs="Arial"/>
          <w:bCs/>
        </w:rPr>
        <w:t>However, the approach has limitations. In situations involving high risk, safeguarding or reduced capacity, professionals may need to make decisions that limit autonomy, conflicting with Rogers’ non-directive philosophy. Some service users may also struggle to communicate their preferences during acute distress, making fully person-led care difficult. Additionally, multidisciplinary teams may interpret PCC differently depending on their clinical background.</w:t>
      </w:r>
    </w:p>
    <w:p w14:paraId="6A0571AF" w14:textId="77777777" w:rsidR="0006724C" w:rsidRPr="0006724C" w:rsidRDefault="0006724C" w:rsidP="0006724C">
      <w:pPr>
        <w:pStyle w:val="NormalWeb"/>
        <w:spacing w:line="360" w:lineRule="auto"/>
        <w:rPr>
          <w:rFonts w:ascii="Arial" w:hAnsi="Arial" w:cs="Arial"/>
          <w:bCs/>
        </w:rPr>
      </w:pPr>
      <w:r w:rsidRPr="0006724C">
        <w:rPr>
          <w:rFonts w:ascii="Arial" w:hAnsi="Arial" w:cs="Arial"/>
          <w:bCs/>
        </w:rPr>
        <w:t>Despite these challenges, Rogers’ theory remains a strong foundation for PCC in CMHTs. Its emphasis on empathy, respect and collaboration continues to guide effective, relationship-based mental health practice.</w:t>
      </w:r>
    </w:p>
    <w:p w14:paraId="0CC80E19" w14:textId="77777777" w:rsidR="00744E76" w:rsidRPr="0006724C" w:rsidRDefault="00744E76" w:rsidP="0006724C">
      <w:pPr>
        <w:spacing w:line="360" w:lineRule="auto"/>
        <w:rPr>
          <w:rFonts w:ascii="Arial" w:hAnsi="Arial" w:cs="Arial"/>
          <w:bCs/>
        </w:rPr>
      </w:pPr>
    </w:p>
    <w:p w14:paraId="2004D7D9" w14:textId="3D875B58" w:rsidR="00744E76" w:rsidRPr="0006724C" w:rsidRDefault="00744E76" w:rsidP="0006724C">
      <w:pPr>
        <w:pStyle w:val="Heading2"/>
        <w:spacing w:line="360" w:lineRule="auto"/>
        <w:rPr>
          <w:rFonts w:ascii="Arial" w:hAnsi="Arial" w:cs="Arial"/>
          <w:bCs/>
        </w:rPr>
      </w:pPr>
      <w:bookmarkStart w:id="5" w:name="_Toc214140652"/>
      <w:r w:rsidRPr="0006724C">
        <w:rPr>
          <w:rFonts w:ascii="Arial" w:hAnsi="Arial" w:cs="Arial"/>
          <w:bCs/>
        </w:rPr>
        <w:t>Ethical Fundamentals in Health and Social Care</w:t>
      </w:r>
      <w:bookmarkEnd w:id="5"/>
    </w:p>
    <w:p w14:paraId="162F321E" w14:textId="77777777" w:rsidR="00744E76" w:rsidRPr="0006724C" w:rsidRDefault="00744E76" w:rsidP="0006724C">
      <w:pPr>
        <w:pStyle w:val="NormalWeb"/>
        <w:spacing w:line="360" w:lineRule="auto"/>
        <w:rPr>
          <w:rFonts w:ascii="Arial" w:hAnsi="Arial" w:cs="Arial"/>
          <w:bCs/>
        </w:rPr>
      </w:pPr>
      <w:r w:rsidRPr="0006724C">
        <w:rPr>
          <w:rFonts w:ascii="Arial" w:hAnsi="Arial" w:cs="Arial"/>
          <w:bCs/>
        </w:rPr>
        <w:t>Ethical principles form the foundation of safe, fair and respectful practice in UK health and social care. These principles guide professionals in making decisions that balance individual rights with organisational responsibilities and legal duties. Within a community mental health team (CMHT), ethical considerations are especially important because service users may experience fluctuating capacity, safeguarding concerns or periods of acute psychological distress. These situations require sensitive, person-centred decision-making grounded in clear ethical reasoning.</w:t>
      </w:r>
    </w:p>
    <w:p w14:paraId="11DADCBA" w14:textId="51D44955" w:rsidR="00744E76" w:rsidRPr="0006724C" w:rsidRDefault="00744E76" w:rsidP="0006724C">
      <w:pPr>
        <w:pStyle w:val="NormalWeb"/>
        <w:spacing w:line="360" w:lineRule="auto"/>
        <w:rPr>
          <w:rFonts w:ascii="Arial" w:hAnsi="Arial" w:cs="Arial"/>
          <w:bCs/>
        </w:rPr>
      </w:pPr>
      <w:r w:rsidRPr="0006724C">
        <w:rPr>
          <w:rFonts w:ascii="Arial" w:hAnsi="Arial" w:cs="Arial"/>
          <w:bCs/>
        </w:rPr>
        <w:lastRenderedPageBreak/>
        <w:t xml:space="preserve">A central principle is </w:t>
      </w:r>
      <w:r w:rsidRPr="0006724C">
        <w:rPr>
          <w:rStyle w:val="Strong"/>
          <w:rFonts w:ascii="Arial" w:eastAsiaTheme="majorEastAsia" w:hAnsi="Arial" w:cs="Arial"/>
          <w:b w:val="0"/>
        </w:rPr>
        <w:t>autonomy</w:t>
      </w:r>
      <w:r w:rsidRPr="0006724C">
        <w:rPr>
          <w:rFonts w:ascii="Arial" w:hAnsi="Arial" w:cs="Arial"/>
          <w:bCs/>
        </w:rPr>
        <w:t>, which emphasises an individual’s right to make informed choices about their care. In mental health settings, supporting autonomy involves providing information clearly, involving service users in care planning, and respecting their preferences whenever possible. However, autonomy may be limited in situations where risk is high or capacity is impaired, creating tension between respecting choice and ensuring safety. b</w:t>
      </w:r>
      <w:r w:rsidRPr="0006724C">
        <w:rPr>
          <w:rStyle w:val="Strong"/>
          <w:rFonts w:ascii="Arial" w:eastAsiaTheme="majorEastAsia" w:hAnsi="Arial" w:cs="Arial"/>
          <w:b w:val="0"/>
        </w:rPr>
        <w:t>eneficence</w:t>
      </w:r>
      <w:r w:rsidRPr="0006724C">
        <w:rPr>
          <w:rFonts w:ascii="Arial" w:hAnsi="Arial" w:cs="Arial"/>
          <w:bCs/>
        </w:rPr>
        <w:t xml:space="preserve"> and </w:t>
      </w:r>
      <w:r w:rsidRPr="0006724C">
        <w:rPr>
          <w:rStyle w:val="Strong"/>
          <w:rFonts w:ascii="Arial" w:eastAsiaTheme="majorEastAsia" w:hAnsi="Arial" w:cs="Arial"/>
          <w:b w:val="0"/>
        </w:rPr>
        <w:t>non-maleficence</w:t>
      </w:r>
      <w:r w:rsidRPr="0006724C">
        <w:rPr>
          <w:rFonts w:ascii="Arial" w:hAnsi="Arial" w:cs="Arial"/>
          <w:bCs/>
        </w:rPr>
        <w:t xml:space="preserve"> require professionals to act in the person’s best interests and avoid causing harm. In a CMHT, this may involve offering evidence-based treatments, collaborating with other agencies, and intervening early to prevent deterioration. These principles also support holistic, recovery-focused approaches that promote long-term wellbeing rather than narrow clinical outcomes.</w:t>
      </w:r>
    </w:p>
    <w:p w14:paraId="145287F7" w14:textId="77777777" w:rsidR="00744E76" w:rsidRPr="0006724C" w:rsidRDefault="00744E76" w:rsidP="0006724C">
      <w:pPr>
        <w:pStyle w:val="NormalWeb"/>
        <w:spacing w:line="360" w:lineRule="auto"/>
        <w:rPr>
          <w:rFonts w:ascii="Arial" w:hAnsi="Arial" w:cs="Arial"/>
          <w:bCs/>
        </w:rPr>
      </w:pPr>
      <w:r w:rsidRPr="0006724C">
        <w:rPr>
          <w:rFonts w:ascii="Arial" w:hAnsi="Arial" w:cs="Arial"/>
          <w:bCs/>
        </w:rPr>
        <w:t xml:space="preserve">The principle of </w:t>
      </w:r>
      <w:r w:rsidRPr="0006724C">
        <w:rPr>
          <w:rStyle w:val="Strong"/>
          <w:rFonts w:ascii="Arial" w:eastAsiaTheme="majorEastAsia" w:hAnsi="Arial" w:cs="Arial"/>
          <w:b w:val="0"/>
        </w:rPr>
        <w:t>justice</w:t>
      </w:r>
      <w:r w:rsidRPr="0006724C">
        <w:rPr>
          <w:rFonts w:ascii="Arial" w:hAnsi="Arial" w:cs="Arial"/>
          <w:bCs/>
        </w:rPr>
        <w:t xml:space="preserve"> relates to fairness, equality and non-discrimination. Mental health services must ensure that care is accessible, culturally appropriate, and free from bias. This includes recognising and addressing health inequalities faced by minority ethnic groups, socio-economically disadvantaged communities and individuals with long-term disabilities.</w:t>
      </w:r>
    </w:p>
    <w:p w14:paraId="3D36D1A4" w14:textId="43FA91C9" w:rsidR="00744E76" w:rsidRPr="0006724C" w:rsidRDefault="00744E76" w:rsidP="0006724C">
      <w:pPr>
        <w:pStyle w:val="NormalWeb"/>
        <w:spacing w:line="360" w:lineRule="auto"/>
        <w:rPr>
          <w:rFonts w:ascii="Arial" w:hAnsi="Arial" w:cs="Arial"/>
          <w:bCs/>
        </w:rPr>
      </w:pPr>
      <w:r w:rsidRPr="0006724C">
        <w:rPr>
          <w:rFonts w:ascii="Arial" w:hAnsi="Arial" w:cs="Arial"/>
          <w:bCs/>
        </w:rPr>
        <w:t xml:space="preserve">Additional ethical duties such as </w:t>
      </w:r>
      <w:r w:rsidRPr="0006724C">
        <w:rPr>
          <w:rStyle w:val="Strong"/>
          <w:rFonts w:ascii="Arial" w:eastAsiaTheme="majorEastAsia" w:hAnsi="Arial" w:cs="Arial"/>
          <w:b w:val="0"/>
        </w:rPr>
        <w:t>respect for dignity</w:t>
      </w:r>
      <w:r w:rsidRPr="0006724C">
        <w:rPr>
          <w:rFonts w:ascii="Arial" w:hAnsi="Arial" w:cs="Arial"/>
          <w:bCs/>
        </w:rPr>
        <w:t xml:space="preserve">, </w:t>
      </w:r>
      <w:r w:rsidRPr="0006724C">
        <w:rPr>
          <w:rStyle w:val="Strong"/>
          <w:rFonts w:ascii="Arial" w:eastAsiaTheme="majorEastAsia" w:hAnsi="Arial" w:cs="Arial"/>
          <w:b w:val="0"/>
        </w:rPr>
        <w:t>confidentiality</w:t>
      </w:r>
      <w:r w:rsidRPr="0006724C">
        <w:rPr>
          <w:rFonts w:ascii="Arial" w:hAnsi="Arial" w:cs="Arial"/>
          <w:bCs/>
        </w:rPr>
        <w:t xml:space="preserve">, and </w:t>
      </w:r>
      <w:r w:rsidRPr="0006724C">
        <w:rPr>
          <w:rStyle w:val="Strong"/>
          <w:rFonts w:ascii="Arial" w:eastAsiaTheme="majorEastAsia" w:hAnsi="Arial" w:cs="Arial"/>
          <w:b w:val="0"/>
        </w:rPr>
        <w:t>honesty</w:t>
      </w:r>
      <w:r w:rsidRPr="0006724C">
        <w:rPr>
          <w:rFonts w:ascii="Arial" w:hAnsi="Arial" w:cs="Arial"/>
          <w:bCs/>
        </w:rPr>
        <w:t xml:space="preserve"> are essential for maintaining trust within therapeutic relationships. Confidentiality is particularly </w:t>
      </w:r>
      <w:proofErr w:type="spellStart"/>
      <w:r w:rsidRPr="0006724C">
        <w:rPr>
          <w:rFonts w:ascii="Arial" w:hAnsi="Arial" w:cs="Arial"/>
          <w:bCs/>
        </w:rPr>
        <w:t>signific</w:t>
      </w:r>
      <w:r w:rsidR="00664E55">
        <w:rPr>
          <w:rFonts w:ascii="Arial" w:hAnsi="Arial" w:cs="Arial"/>
          <w:bCs/>
        </w:rPr>
        <w:t>d</w:t>
      </w:r>
      <w:r w:rsidRPr="0006724C">
        <w:rPr>
          <w:rFonts w:ascii="Arial" w:hAnsi="Arial" w:cs="Arial"/>
          <w:bCs/>
        </w:rPr>
        <w:t>ant</w:t>
      </w:r>
      <w:proofErr w:type="spellEnd"/>
      <w:r w:rsidRPr="0006724C">
        <w:rPr>
          <w:rFonts w:ascii="Arial" w:hAnsi="Arial" w:cs="Arial"/>
          <w:bCs/>
        </w:rPr>
        <w:t xml:space="preserve"> in a CMHT, where multidisciplinary collaboration requires sharing information appropriately without breaching privacy. Professionals must balance transparency with the need to protect sensitive information, especially in safeguarding contexts.</w:t>
      </w:r>
    </w:p>
    <w:p w14:paraId="7B156248" w14:textId="77777777" w:rsidR="00744E76" w:rsidRPr="0006724C" w:rsidRDefault="00744E76" w:rsidP="0006724C">
      <w:pPr>
        <w:pStyle w:val="NormalWeb"/>
        <w:spacing w:line="360" w:lineRule="auto"/>
        <w:rPr>
          <w:rFonts w:ascii="Arial" w:hAnsi="Arial" w:cs="Arial"/>
          <w:bCs/>
        </w:rPr>
      </w:pPr>
      <w:r w:rsidRPr="0006724C">
        <w:rPr>
          <w:rFonts w:ascii="Arial" w:hAnsi="Arial" w:cs="Arial"/>
          <w:bCs/>
        </w:rPr>
        <w:t>Overall, ethical principles underpin both person-centred care and partnership working. They ensure that decisions are lawful, respectful and justified, even in complex situations. When applied consistently, these principles support compassionate, recovery-oriented practice and strengthen the effectiveness of collaborative working within CMHTs.</w:t>
      </w:r>
    </w:p>
    <w:p w14:paraId="202A74E8" w14:textId="77777777" w:rsidR="00EE52B7" w:rsidRPr="0006724C" w:rsidRDefault="00EE52B7" w:rsidP="0006724C">
      <w:pPr>
        <w:pStyle w:val="NormalWeb"/>
        <w:spacing w:line="360" w:lineRule="auto"/>
        <w:rPr>
          <w:rFonts w:ascii="Arial" w:hAnsi="Arial" w:cs="Arial"/>
          <w:bCs/>
        </w:rPr>
      </w:pPr>
    </w:p>
    <w:p w14:paraId="103812DC" w14:textId="381F4958" w:rsidR="00744E76" w:rsidRPr="0006724C" w:rsidRDefault="00EE52B7" w:rsidP="0006724C">
      <w:pPr>
        <w:pStyle w:val="Heading2"/>
        <w:spacing w:line="360" w:lineRule="auto"/>
        <w:rPr>
          <w:rFonts w:ascii="Arial" w:hAnsi="Arial" w:cs="Arial"/>
          <w:bCs/>
        </w:rPr>
      </w:pPr>
      <w:bookmarkStart w:id="6" w:name="_Toc214140653"/>
      <w:r w:rsidRPr="0006724C">
        <w:rPr>
          <w:rFonts w:ascii="Arial" w:hAnsi="Arial" w:cs="Arial"/>
          <w:bCs/>
        </w:rPr>
        <w:lastRenderedPageBreak/>
        <w:t>Evaluating Partnership Working in Health and Social Care</w:t>
      </w:r>
      <w:bookmarkEnd w:id="6"/>
    </w:p>
    <w:p w14:paraId="550C00C5" w14:textId="0C235EDA" w:rsidR="00E61E97" w:rsidRPr="0006724C" w:rsidRDefault="00E61E97" w:rsidP="0006724C">
      <w:pPr>
        <w:pStyle w:val="NormalWeb"/>
        <w:spacing w:line="360" w:lineRule="auto"/>
        <w:rPr>
          <w:rFonts w:ascii="Arial" w:hAnsi="Arial" w:cs="Arial"/>
          <w:bCs/>
        </w:rPr>
      </w:pPr>
      <w:r w:rsidRPr="0006724C">
        <w:rPr>
          <w:rFonts w:ascii="Arial" w:hAnsi="Arial" w:cs="Arial"/>
          <w:bCs/>
        </w:rPr>
        <w:t xml:space="preserve">Partnership working (PW) is essential in UK health and social care because many service users have needs that span multiple agencies. In community mental health teams (CMHTs), PW ensures that professionals such as nurses, psychiatrists, psychologists, social workers and </w:t>
      </w:r>
      <w:proofErr w:type="spellStart"/>
      <w:r w:rsidRPr="0006724C">
        <w:rPr>
          <w:rFonts w:ascii="Arial" w:hAnsi="Arial" w:cs="Arial"/>
          <w:bCs/>
        </w:rPr>
        <w:t>occupati</w:t>
      </w:r>
      <w:r w:rsidR="00664E55">
        <w:rPr>
          <w:rFonts w:ascii="Arial" w:hAnsi="Arial" w:cs="Arial"/>
          <w:bCs/>
        </w:rPr>
        <w:t>d</w:t>
      </w:r>
      <w:r w:rsidRPr="0006724C">
        <w:rPr>
          <w:rFonts w:ascii="Arial" w:hAnsi="Arial" w:cs="Arial"/>
          <w:bCs/>
        </w:rPr>
        <w:t>onal</w:t>
      </w:r>
      <w:proofErr w:type="spellEnd"/>
      <w:r w:rsidRPr="0006724C">
        <w:rPr>
          <w:rFonts w:ascii="Arial" w:hAnsi="Arial" w:cs="Arial"/>
          <w:bCs/>
        </w:rPr>
        <w:t xml:space="preserve"> therapists work together to provide coordinated, holistic support.</w:t>
      </w:r>
    </w:p>
    <w:p w14:paraId="48867309" w14:textId="77777777" w:rsidR="00E61E97" w:rsidRPr="0006724C" w:rsidRDefault="00E61E97" w:rsidP="0006724C">
      <w:pPr>
        <w:pStyle w:val="NormalWeb"/>
        <w:spacing w:line="360" w:lineRule="auto"/>
        <w:rPr>
          <w:rFonts w:ascii="Arial" w:hAnsi="Arial" w:cs="Arial"/>
          <w:bCs/>
        </w:rPr>
      </w:pPr>
      <w:r w:rsidRPr="0006724C">
        <w:rPr>
          <w:rFonts w:ascii="Arial" w:hAnsi="Arial" w:cs="Arial"/>
          <w:bCs/>
        </w:rPr>
        <w:t xml:space="preserve">Effective PW offers clear benefits. It improves </w:t>
      </w:r>
      <w:r w:rsidRPr="0006724C">
        <w:rPr>
          <w:rStyle w:val="Strong"/>
          <w:rFonts w:ascii="Arial" w:eastAsiaTheme="majorEastAsia" w:hAnsi="Arial" w:cs="Arial"/>
          <w:b w:val="0"/>
        </w:rPr>
        <w:t>communication</w:t>
      </w:r>
      <w:r w:rsidRPr="0006724C">
        <w:rPr>
          <w:rFonts w:ascii="Arial" w:hAnsi="Arial" w:cs="Arial"/>
          <w:bCs/>
        </w:rPr>
        <w:t>, reduces gaps or duplication in care, and allows different professionals to contribute their specialist knowledge. This leads to more comprehensive assessments, safer risk management and better continuity of care. Involving service users and families as partners also strengthens trust, engagement and shared decision-making, which supports person-centred care (PCC).</w:t>
      </w:r>
    </w:p>
    <w:p w14:paraId="68F80891" w14:textId="77777777" w:rsidR="00E61E97" w:rsidRPr="0006724C" w:rsidRDefault="00E61E97" w:rsidP="0006724C">
      <w:pPr>
        <w:pStyle w:val="NormalWeb"/>
        <w:spacing w:line="360" w:lineRule="auto"/>
        <w:rPr>
          <w:rFonts w:ascii="Arial" w:hAnsi="Arial" w:cs="Arial"/>
          <w:bCs/>
        </w:rPr>
      </w:pPr>
      <w:r w:rsidRPr="0006724C">
        <w:rPr>
          <w:rFonts w:ascii="Arial" w:hAnsi="Arial" w:cs="Arial"/>
          <w:bCs/>
        </w:rPr>
        <w:t>However, PW is not always easy to achieve. Differences in organisational culture, priorities or treatment models can affect collaboration. High caseloads, limited time for multidisciplinary meetings and inconsistent information-sharing systems may lead to poor coordination. External agencies—such as housing, employment support or voluntary organisations—often face their own resource pressures, making joint working harder. Service users may also feel sidelined if communication is overly professional-led or if confidentiality limits family involvement.</w:t>
      </w:r>
    </w:p>
    <w:p w14:paraId="0E6D9CE3" w14:textId="77777777" w:rsidR="00E61E97" w:rsidRPr="0006724C" w:rsidRDefault="00E61E97" w:rsidP="0006724C">
      <w:pPr>
        <w:pStyle w:val="NormalWeb"/>
        <w:spacing w:line="360" w:lineRule="auto"/>
        <w:rPr>
          <w:rFonts w:ascii="Arial" w:hAnsi="Arial" w:cs="Arial"/>
          <w:bCs/>
        </w:rPr>
      </w:pPr>
      <w:r w:rsidRPr="0006724C">
        <w:rPr>
          <w:rFonts w:ascii="Arial" w:hAnsi="Arial" w:cs="Arial"/>
          <w:bCs/>
        </w:rPr>
        <w:t>Despite these challenges, PW remains vital in CMHTs. When communication is strong and roles are clear, PW enhances recovery-focused practice and improves long-term outcomes. Strengthening systems, reducing workloads and promoting shared goals can further improve partnership working across mental health services.</w:t>
      </w:r>
    </w:p>
    <w:p w14:paraId="3132FBE9" w14:textId="77777777" w:rsidR="00EE52B7" w:rsidRPr="0006724C" w:rsidRDefault="00EE52B7" w:rsidP="0006724C">
      <w:pPr>
        <w:pStyle w:val="NormalWeb"/>
        <w:spacing w:line="360" w:lineRule="auto"/>
        <w:rPr>
          <w:rFonts w:ascii="Arial" w:hAnsi="Arial" w:cs="Arial"/>
          <w:bCs/>
        </w:rPr>
      </w:pPr>
    </w:p>
    <w:p w14:paraId="56CFE54D" w14:textId="1997CBF6" w:rsidR="00EE52B7" w:rsidRPr="0006724C" w:rsidRDefault="00EE52B7" w:rsidP="0006724C">
      <w:pPr>
        <w:pStyle w:val="Heading2"/>
        <w:spacing w:line="360" w:lineRule="auto"/>
        <w:rPr>
          <w:rFonts w:ascii="Arial" w:hAnsi="Arial" w:cs="Arial"/>
          <w:bCs/>
        </w:rPr>
      </w:pPr>
      <w:bookmarkStart w:id="7" w:name="_Toc214140654"/>
      <w:r w:rsidRPr="0006724C">
        <w:rPr>
          <w:rFonts w:ascii="Arial" w:hAnsi="Arial" w:cs="Arial"/>
          <w:bCs/>
        </w:rPr>
        <w:t>Application of Person-Centred Care and Partnership Working in a Community Mental Health Team</w:t>
      </w:r>
      <w:bookmarkEnd w:id="7"/>
    </w:p>
    <w:p w14:paraId="142AB062" w14:textId="77777777" w:rsidR="00F20C05" w:rsidRPr="0006724C" w:rsidRDefault="00F20C05" w:rsidP="0006724C">
      <w:pPr>
        <w:pStyle w:val="NormalWeb"/>
        <w:spacing w:line="360" w:lineRule="auto"/>
        <w:rPr>
          <w:rFonts w:ascii="Arial" w:hAnsi="Arial" w:cs="Arial"/>
          <w:bCs/>
        </w:rPr>
      </w:pPr>
      <w:r w:rsidRPr="0006724C">
        <w:rPr>
          <w:rFonts w:ascii="Arial" w:hAnsi="Arial" w:cs="Arial"/>
          <w:bCs/>
        </w:rPr>
        <w:t xml:space="preserve">A community mental health team (CMHT) provides a clear example of how person-centred care (PCC) and partnership working (PW) operate in practice. CMHTs </w:t>
      </w:r>
      <w:r w:rsidRPr="0006724C">
        <w:rPr>
          <w:rFonts w:ascii="Arial" w:hAnsi="Arial" w:cs="Arial"/>
          <w:bCs/>
        </w:rPr>
        <w:lastRenderedPageBreak/>
        <w:t>support adults with a range of mental health conditions, meaning that care must be flexible, holistic and coordinated across different professionals and services.</w:t>
      </w:r>
    </w:p>
    <w:p w14:paraId="44BD5BC5" w14:textId="63F016C9" w:rsidR="00F20C05" w:rsidRPr="0006724C" w:rsidRDefault="00F20C05" w:rsidP="0006724C">
      <w:pPr>
        <w:pStyle w:val="NormalWeb"/>
        <w:spacing w:line="360" w:lineRule="auto"/>
        <w:rPr>
          <w:rFonts w:ascii="Arial" w:hAnsi="Arial" w:cs="Arial"/>
          <w:bCs/>
        </w:rPr>
      </w:pPr>
      <w:r w:rsidRPr="0006724C">
        <w:rPr>
          <w:rFonts w:ascii="Arial" w:hAnsi="Arial" w:cs="Arial"/>
          <w:bCs/>
        </w:rPr>
        <w:t xml:space="preserve">PCC is applied through </w:t>
      </w:r>
      <w:r w:rsidRPr="0006724C">
        <w:rPr>
          <w:rStyle w:val="Strong"/>
          <w:rFonts w:ascii="Arial" w:eastAsiaTheme="majorEastAsia" w:hAnsi="Arial" w:cs="Arial"/>
          <w:b w:val="0"/>
        </w:rPr>
        <w:t>individualised assessments and care plans</w:t>
      </w:r>
      <w:r w:rsidRPr="0006724C">
        <w:rPr>
          <w:rFonts w:ascii="Arial" w:hAnsi="Arial" w:cs="Arial"/>
          <w:bCs/>
        </w:rPr>
        <w:t xml:space="preserve">, where service users are encouraged to express their goals, preferences and concerns. Professionals work alongside individuals to decide on treatment options such as medication, psychological </w:t>
      </w:r>
      <w:proofErr w:type="spellStart"/>
      <w:r w:rsidRPr="0006724C">
        <w:rPr>
          <w:rFonts w:ascii="Arial" w:hAnsi="Arial" w:cs="Arial"/>
          <w:bCs/>
        </w:rPr>
        <w:t>th</w:t>
      </w:r>
      <w:r w:rsidR="00664E55">
        <w:rPr>
          <w:rFonts w:ascii="Arial" w:hAnsi="Arial" w:cs="Arial"/>
          <w:bCs/>
        </w:rPr>
        <w:t>d</w:t>
      </w:r>
      <w:r w:rsidRPr="0006724C">
        <w:rPr>
          <w:rFonts w:ascii="Arial" w:hAnsi="Arial" w:cs="Arial"/>
          <w:bCs/>
        </w:rPr>
        <w:t>erapy</w:t>
      </w:r>
      <w:proofErr w:type="spellEnd"/>
      <w:r w:rsidRPr="0006724C">
        <w:rPr>
          <w:rFonts w:ascii="Arial" w:hAnsi="Arial" w:cs="Arial"/>
          <w:bCs/>
        </w:rPr>
        <w:t xml:space="preserve"> or lifestyle support. In mental health, where recovery is highly personal, this collaborative planning is essential for promoting autonomy and </w:t>
      </w:r>
      <w:proofErr w:type="spellStart"/>
      <w:r w:rsidRPr="0006724C">
        <w:rPr>
          <w:rFonts w:ascii="Arial" w:hAnsi="Arial" w:cs="Arial"/>
          <w:bCs/>
        </w:rPr>
        <w:t>engagement.</w:t>
      </w:r>
      <w:r w:rsidR="00664E55">
        <w:rPr>
          <w:rFonts w:ascii="Arial" w:hAnsi="Arial" w:cs="Arial"/>
          <w:bCs/>
        </w:rPr>
        <w:t>d</w:t>
      </w:r>
      <w:proofErr w:type="spellEnd"/>
    </w:p>
    <w:p w14:paraId="2F7668F0" w14:textId="77777777" w:rsidR="00F20C05" w:rsidRPr="0006724C" w:rsidRDefault="00F20C05" w:rsidP="0006724C">
      <w:pPr>
        <w:pStyle w:val="NormalWeb"/>
        <w:spacing w:line="360" w:lineRule="auto"/>
        <w:rPr>
          <w:rFonts w:ascii="Arial" w:hAnsi="Arial" w:cs="Arial"/>
          <w:bCs/>
        </w:rPr>
      </w:pPr>
      <w:r w:rsidRPr="0006724C">
        <w:rPr>
          <w:rStyle w:val="Strong"/>
          <w:rFonts w:ascii="Arial" w:eastAsiaTheme="majorEastAsia" w:hAnsi="Arial" w:cs="Arial"/>
          <w:b w:val="0"/>
        </w:rPr>
        <w:t>Therapeutic relationships</w:t>
      </w:r>
      <w:r w:rsidRPr="0006724C">
        <w:rPr>
          <w:rFonts w:ascii="Arial" w:hAnsi="Arial" w:cs="Arial"/>
          <w:bCs/>
        </w:rPr>
        <w:t xml:space="preserve"> are central to PCC within CMHTs. By showing empathy, consistency and respect, practitioners help service users feel heard and understood, which is vital when discussing sensitive issues such as trauma, stigma or relapse. Regular care plan reviews support shared decision-making and allow goals to be adjusted as needs change.</w:t>
      </w:r>
    </w:p>
    <w:p w14:paraId="6CA486E4" w14:textId="77777777" w:rsidR="00F20C05" w:rsidRPr="0006724C" w:rsidRDefault="00F20C05" w:rsidP="0006724C">
      <w:pPr>
        <w:pStyle w:val="NormalWeb"/>
        <w:spacing w:line="360" w:lineRule="auto"/>
        <w:rPr>
          <w:rFonts w:ascii="Arial" w:hAnsi="Arial" w:cs="Arial"/>
          <w:bCs/>
        </w:rPr>
      </w:pPr>
      <w:r w:rsidRPr="0006724C">
        <w:rPr>
          <w:rFonts w:ascii="Arial" w:hAnsi="Arial" w:cs="Arial"/>
          <w:bCs/>
        </w:rPr>
        <w:t xml:space="preserve">PW is embedded through </w:t>
      </w:r>
      <w:r w:rsidRPr="0006724C">
        <w:rPr>
          <w:rStyle w:val="Strong"/>
          <w:rFonts w:ascii="Arial" w:eastAsiaTheme="majorEastAsia" w:hAnsi="Arial" w:cs="Arial"/>
          <w:b w:val="0"/>
        </w:rPr>
        <w:t>multidisciplinary teamwork</w:t>
      </w:r>
      <w:r w:rsidRPr="0006724C">
        <w:rPr>
          <w:rFonts w:ascii="Arial" w:hAnsi="Arial" w:cs="Arial"/>
          <w:bCs/>
        </w:rPr>
        <w:t>, involving nurses, psychiatrists, psychologists, occupational therapists, social workers and support workers. MDT meetings ensure that all professionals share information and work towards the same objectives. CMHTs also collaborate with external partners such as GPs, housing services, employment support and voluntary organisations to address wider social needs that influence mental health.</w:t>
      </w:r>
    </w:p>
    <w:p w14:paraId="7ED7D282" w14:textId="77777777" w:rsidR="00F20C05" w:rsidRPr="0006724C" w:rsidRDefault="00F20C05" w:rsidP="0006724C">
      <w:pPr>
        <w:pStyle w:val="NormalWeb"/>
        <w:spacing w:line="360" w:lineRule="auto"/>
        <w:rPr>
          <w:rFonts w:ascii="Arial" w:hAnsi="Arial" w:cs="Arial"/>
          <w:bCs/>
        </w:rPr>
      </w:pPr>
      <w:r w:rsidRPr="0006724C">
        <w:rPr>
          <w:rFonts w:ascii="Arial" w:hAnsi="Arial" w:cs="Arial"/>
          <w:bCs/>
        </w:rPr>
        <w:t>However, delivering PCC and PW can be challenging due to high caseloads, limited resources and inconsistent communication between agencies. Safeguarding responsibilities and risk management may also restrict choice at times.</w:t>
      </w:r>
    </w:p>
    <w:p w14:paraId="38B3C4D5" w14:textId="77777777" w:rsidR="00F20C05" w:rsidRPr="0006724C" w:rsidRDefault="00F20C05" w:rsidP="0006724C">
      <w:pPr>
        <w:pStyle w:val="NormalWeb"/>
        <w:spacing w:line="360" w:lineRule="auto"/>
        <w:rPr>
          <w:rFonts w:ascii="Arial" w:hAnsi="Arial" w:cs="Arial"/>
          <w:bCs/>
        </w:rPr>
      </w:pPr>
      <w:r w:rsidRPr="0006724C">
        <w:rPr>
          <w:rFonts w:ascii="Arial" w:hAnsi="Arial" w:cs="Arial"/>
          <w:bCs/>
        </w:rPr>
        <w:t>Despite these constraints, CMHTs remain a strong example of integrated, person-centred practice, demonstrating how collaborative working can support meaningful, sustainable recovery.</w:t>
      </w:r>
    </w:p>
    <w:p w14:paraId="07B064DD" w14:textId="77777777" w:rsidR="00F20C05" w:rsidRPr="0006724C" w:rsidRDefault="00F20C05" w:rsidP="0006724C">
      <w:pPr>
        <w:pStyle w:val="NormalWeb"/>
        <w:spacing w:line="360" w:lineRule="auto"/>
        <w:rPr>
          <w:rFonts w:ascii="Arial" w:hAnsi="Arial" w:cs="Arial"/>
          <w:bCs/>
        </w:rPr>
      </w:pPr>
    </w:p>
    <w:p w14:paraId="11F48203" w14:textId="43A3DA73" w:rsidR="00EE52B7" w:rsidRPr="0006724C" w:rsidRDefault="00F20C05" w:rsidP="0006724C">
      <w:pPr>
        <w:pStyle w:val="Heading2"/>
        <w:spacing w:line="360" w:lineRule="auto"/>
        <w:rPr>
          <w:rFonts w:ascii="Arial" w:hAnsi="Arial" w:cs="Arial"/>
          <w:bCs/>
        </w:rPr>
      </w:pPr>
      <w:bookmarkStart w:id="8" w:name="_Toc214140655"/>
      <w:r w:rsidRPr="0006724C">
        <w:rPr>
          <w:rFonts w:ascii="Arial" w:hAnsi="Arial" w:cs="Arial"/>
          <w:bCs/>
        </w:rPr>
        <w:lastRenderedPageBreak/>
        <w:t>Policy and Legislation Relating to Person-Centred Care and Partnership Working</w:t>
      </w:r>
      <w:bookmarkEnd w:id="8"/>
    </w:p>
    <w:p w14:paraId="40D76E05" w14:textId="77777777" w:rsidR="00F20C05" w:rsidRPr="0006724C" w:rsidRDefault="00F20C05" w:rsidP="0006724C">
      <w:pPr>
        <w:pStyle w:val="NormalWeb"/>
        <w:spacing w:line="360" w:lineRule="auto"/>
        <w:rPr>
          <w:rFonts w:ascii="Arial" w:hAnsi="Arial" w:cs="Arial"/>
          <w:bCs/>
        </w:rPr>
      </w:pPr>
      <w:r w:rsidRPr="0006724C">
        <w:rPr>
          <w:rFonts w:ascii="Arial" w:hAnsi="Arial" w:cs="Arial"/>
          <w:bCs/>
        </w:rPr>
        <w:t>UK health and social care practice is guided by legislation and policies that promote person-centred care (PCC) and partnership working (PW). These frameworks set clear expectations for how services such as community mental health teams (CMHTs) should operate.</w:t>
      </w:r>
    </w:p>
    <w:p w14:paraId="23A47B21" w14:textId="77777777" w:rsidR="00F20C05" w:rsidRPr="0006724C" w:rsidRDefault="00F20C05" w:rsidP="0006724C">
      <w:pPr>
        <w:pStyle w:val="NormalWeb"/>
        <w:spacing w:line="360" w:lineRule="auto"/>
        <w:rPr>
          <w:rFonts w:ascii="Arial" w:hAnsi="Arial" w:cs="Arial"/>
          <w:bCs/>
        </w:rPr>
      </w:pPr>
      <w:r w:rsidRPr="0006724C">
        <w:rPr>
          <w:rFonts w:ascii="Arial" w:hAnsi="Arial" w:cs="Arial"/>
          <w:bCs/>
        </w:rPr>
        <w:t xml:space="preserve">The </w:t>
      </w:r>
      <w:r w:rsidRPr="0006724C">
        <w:rPr>
          <w:rStyle w:val="Strong"/>
          <w:rFonts w:ascii="Arial" w:eastAsiaTheme="majorEastAsia" w:hAnsi="Arial" w:cs="Arial"/>
          <w:b w:val="0"/>
        </w:rPr>
        <w:t>Care Act 2014</w:t>
      </w:r>
      <w:r w:rsidRPr="0006724C">
        <w:rPr>
          <w:rFonts w:ascii="Arial" w:hAnsi="Arial" w:cs="Arial"/>
          <w:bCs/>
        </w:rPr>
        <w:t xml:space="preserve"> places individual wellbeing at the centre of all care decisions and requires local authorities and partner agencies to involve people in assessments and support planning. It also makes multi-agency cooperation a legal duty, reinforcing the importance of PW for individuals with complex needs.</w:t>
      </w:r>
    </w:p>
    <w:p w14:paraId="78145523" w14:textId="77777777" w:rsidR="00F20C05" w:rsidRPr="0006724C" w:rsidRDefault="00F20C05" w:rsidP="0006724C">
      <w:pPr>
        <w:pStyle w:val="NormalWeb"/>
        <w:spacing w:line="360" w:lineRule="auto"/>
        <w:rPr>
          <w:rFonts w:ascii="Arial" w:hAnsi="Arial" w:cs="Arial"/>
          <w:bCs/>
        </w:rPr>
      </w:pPr>
      <w:r w:rsidRPr="0006724C">
        <w:rPr>
          <w:rFonts w:ascii="Arial" w:hAnsi="Arial" w:cs="Arial"/>
          <w:bCs/>
        </w:rPr>
        <w:t xml:space="preserve">The </w:t>
      </w:r>
      <w:r w:rsidRPr="0006724C">
        <w:rPr>
          <w:rStyle w:val="Strong"/>
          <w:rFonts w:ascii="Arial" w:eastAsiaTheme="majorEastAsia" w:hAnsi="Arial" w:cs="Arial"/>
          <w:b w:val="0"/>
        </w:rPr>
        <w:t>Health and Social Care Act 2012</w:t>
      </w:r>
      <w:r w:rsidRPr="0006724C">
        <w:rPr>
          <w:rFonts w:ascii="Arial" w:hAnsi="Arial" w:cs="Arial"/>
          <w:bCs/>
        </w:rPr>
        <w:t xml:space="preserve"> </w:t>
      </w:r>
      <w:proofErr w:type="gramStart"/>
      <w:r w:rsidRPr="0006724C">
        <w:rPr>
          <w:rFonts w:ascii="Arial" w:hAnsi="Arial" w:cs="Arial"/>
          <w:bCs/>
        </w:rPr>
        <w:t>strengthens</w:t>
      </w:r>
      <w:proofErr w:type="gramEnd"/>
      <w:r w:rsidRPr="0006724C">
        <w:rPr>
          <w:rFonts w:ascii="Arial" w:hAnsi="Arial" w:cs="Arial"/>
          <w:bCs/>
        </w:rPr>
        <w:t xml:space="preserve"> integration between health and social care, aiming to reduce fragmented services and improve communication. This is particularly relevant in mental health, where coordinated support between CMHTs, GPs, social care and community services is essential.</w:t>
      </w:r>
    </w:p>
    <w:p w14:paraId="3F1309BD" w14:textId="77777777" w:rsidR="00F20C05" w:rsidRPr="0006724C" w:rsidRDefault="00F20C05" w:rsidP="0006724C">
      <w:pPr>
        <w:pStyle w:val="NormalWeb"/>
        <w:spacing w:line="360" w:lineRule="auto"/>
        <w:rPr>
          <w:rFonts w:ascii="Arial" w:hAnsi="Arial" w:cs="Arial"/>
          <w:bCs/>
        </w:rPr>
      </w:pPr>
      <w:r w:rsidRPr="0006724C">
        <w:rPr>
          <w:rFonts w:ascii="Arial" w:hAnsi="Arial" w:cs="Arial"/>
          <w:bCs/>
        </w:rPr>
        <w:t xml:space="preserve">The </w:t>
      </w:r>
      <w:r w:rsidRPr="0006724C">
        <w:rPr>
          <w:rStyle w:val="Strong"/>
          <w:rFonts w:ascii="Arial" w:eastAsiaTheme="majorEastAsia" w:hAnsi="Arial" w:cs="Arial"/>
          <w:b w:val="0"/>
        </w:rPr>
        <w:t>NHS Constitution</w:t>
      </w:r>
      <w:r w:rsidRPr="0006724C">
        <w:rPr>
          <w:rFonts w:ascii="Arial" w:hAnsi="Arial" w:cs="Arial"/>
          <w:bCs/>
        </w:rPr>
        <w:t xml:space="preserve"> gives service users the right to be involved in decisions about their care, supporting PCC principles such as shared decision-making and dignity. Similarly, the </w:t>
      </w:r>
      <w:r w:rsidRPr="0006724C">
        <w:rPr>
          <w:rStyle w:val="Strong"/>
          <w:rFonts w:ascii="Arial" w:eastAsiaTheme="majorEastAsia" w:hAnsi="Arial" w:cs="Arial"/>
          <w:b w:val="0"/>
        </w:rPr>
        <w:t>NHS Long Term Plan (2019)</w:t>
      </w:r>
      <w:r w:rsidRPr="0006724C">
        <w:rPr>
          <w:rFonts w:ascii="Arial" w:hAnsi="Arial" w:cs="Arial"/>
          <w:bCs/>
        </w:rPr>
        <w:t xml:space="preserve"> promotes personalised care and greater integration of mental health support within communities.</w:t>
      </w:r>
    </w:p>
    <w:p w14:paraId="58697266" w14:textId="77777777" w:rsidR="00F20C05" w:rsidRPr="0006724C" w:rsidRDefault="00F20C05" w:rsidP="0006724C">
      <w:pPr>
        <w:pStyle w:val="NormalWeb"/>
        <w:spacing w:line="360" w:lineRule="auto"/>
        <w:rPr>
          <w:rFonts w:ascii="Arial" w:hAnsi="Arial" w:cs="Arial"/>
          <w:bCs/>
        </w:rPr>
      </w:pPr>
      <w:r w:rsidRPr="0006724C">
        <w:rPr>
          <w:rFonts w:ascii="Arial" w:hAnsi="Arial" w:cs="Arial"/>
          <w:bCs/>
        </w:rPr>
        <w:t xml:space="preserve">Equality legislation also shapes practice. The </w:t>
      </w:r>
      <w:r w:rsidRPr="0006724C">
        <w:rPr>
          <w:rStyle w:val="Strong"/>
          <w:rFonts w:ascii="Arial" w:eastAsiaTheme="majorEastAsia" w:hAnsi="Arial" w:cs="Arial"/>
          <w:b w:val="0"/>
        </w:rPr>
        <w:t>Equality Act 2010</w:t>
      </w:r>
      <w:r w:rsidRPr="0006724C">
        <w:rPr>
          <w:rFonts w:ascii="Arial" w:hAnsi="Arial" w:cs="Arial"/>
          <w:bCs/>
        </w:rPr>
        <w:t xml:space="preserve"> requires services to be non-discriminatory and accessible, ensuring PCC for people from diverse backgrounds. The </w:t>
      </w:r>
      <w:r w:rsidRPr="0006724C">
        <w:rPr>
          <w:rStyle w:val="Strong"/>
          <w:rFonts w:ascii="Arial" w:eastAsiaTheme="majorEastAsia" w:hAnsi="Arial" w:cs="Arial"/>
          <w:b w:val="0"/>
        </w:rPr>
        <w:t>Human Rights Act 1998</w:t>
      </w:r>
      <w:r w:rsidRPr="0006724C">
        <w:rPr>
          <w:rFonts w:ascii="Arial" w:hAnsi="Arial" w:cs="Arial"/>
          <w:bCs/>
        </w:rPr>
        <w:t xml:space="preserve"> protects rights linked to autonomy, privacy and dignity, all fundamental to ethical PCC.</w:t>
      </w:r>
    </w:p>
    <w:p w14:paraId="60568B9E" w14:textId="77777777" w:rsidR="00F20C05" w:rsidRPr="0006724C" w:rsidRDefault="00F20C05" w:rsidP="0006724C">
      <w:pPr>
        <w:pStyle w:val="NormalWeb"/>
        <w:spacing w:line="360" w:lineRule="auto"/>
        <w:rPr>
          <w:rFonts w:ascii="Arial" w:hAnsi="Arial" w:cs="Arial"/>
          <w:bCs/>
        </w:rPr>
      </w:pPr>
      <w:r w:rsidRPr="0006724C">
        <w:rPr>
          <w:rFonts w:ascii="Arial" w:hAnsi="Arial" w:cs="Arial"/>
          <w:bCs/>
        </w:rPr>
        <w:t>Although these frameworks promote strong standards, limited resources and staffing pressures can make full implementation challenging. Nonetheless, they provide the foundation for delivering safe, collaborative and person-centred mental health care.</w:t>
      </w:r>
    </w:p>
    <w:p w14:paraId="272D3B41" w14:textId="77777777" w:rsidR="00F20C05" w:rsidRPr="0006724C" w:rsidRDefault="00F20C05" w:rsidP="0006724C">
      <w:pPr>
        <w:spacing w:line="360" w:lineRule="auto"/>
        <w:rPr>
          <w:rFonts w:ascii="Arial" w:hAnsi="Arial" w:cs="Arial"/>
          <w:bCs/>
        </w:rPr>
      </w:pPr>
    </w:p>
    <w:p w14:paraId="76E39465" w14:textId="23889D25" w:rsidR="00EE52B7" w:rsidRPr="0006724C" w:rsidRDefault="00F20C05" w:rsidP="0006724C">
      <w:pPr>
        <w:pStyle w:val="Heading2"/>
        <w:spacing w:line="360" w:lineRule="auto"/>
        <w:rPr>
          <w:rFonts w:ascii="Arial" w:hAnsi="Arial" w:cs="Arial"/>
          <w:bCs/>
        </w:rPr>
      </w:pPr>
      <w:bookmarkStart w:id="9" w:name="_Toc214140656"/>
      <w:r w:rsidRPr="0006724C">
        <w:rPr>
          <w:rFonts w:ascii="Arial" w:hAnsi="Arial" w:cs="Arial"/>
          <w:bCs/>
        </w:rPr>
        <w:lastRenderedPageBreak/>
        <w:t xml:space="preserve">Recommendations </w:t>
      </w:r>
      <w:r w:rsidRPr="0006724C">
        <w:rPr>
          <w:rStyle w:val="Heading2Char"/>
          <w:rFonts w:ascii="Arial" w:hAnsi="Arial" w:cs="Arial"/>
          <w:bCs/>
        </w:rPr>
        <w:t>for</w:t>
      </w:r>
      <w:r w:rsidRPr="0006724C">
        <w:rPr>
          <w:rFonts w:ascii="Arial" w:hAnsi="Arial" w:cs="Arial"/>
          <w:bCs/>
        </w:rPr>
        <w:t xml:space="preserve"> Future Development</w:t>
      </w:r>
      <w:bookmarkEnd w:id="9"/>
    </w:p>
    <w:p w14:paraId="6D511BEA" w14:textId="77777777" w:rsidR="00F20C05" w:rsidRPr="0006724C" w:rsidRDefault="00F20C05" w:rsidP="0006724C">
      <w:pPr>
        <w:pStyle w:val="NormalWeb"/>
        <w:spacing w:line="360" w:lineRule="auto"/>
        <w:rPr>
          <w:rFonts w:ascii="Arial" w:hAnsi="Arial" w:cs="Arial"/>
          <w:bCs/>
        </w:rPr>
      </w:pPr>
      <w:r w:rsidRPr="0006724C">
        <w:rPr>
          <w:rFonts w:ascii="Arial" w:hAnsi="Arial" w:cs="Arial"/>
          <w:bCs/>
        </w:rPr>
        <w:t>Although person-centred care (PCC) and partnership working (PW) are well-established in policy, further improvements are needed to strengthen practice within community mental health teams (CMHTs).</w:t>
      </w:r>
    </w:p>
    <w:p w14:paraId="5BA8CBC1" w14:textId="77777777" w:rsidR="00F20C05" w:rsidRPr="0006724C" w:rsidRDefault="00F20C05" w:rsidP="0006724C">
      <w:pPr>
        <w:pStyle w:val="NormalWeb"/>
        <w:spacing w:line="360" w:lineRule="auto"/>
        <w:rPr>
          <w:rFonts w:ascii="Arial" w:hAnsi="Arial" w:cs="Arial"/>
          <w:bCs/>
        </w:rPr>
      </w:pPr>
      <w:r w:rsidRPr="0006724C">
        <w:rPr>
          <w:rStyle w:val="Strong"/>
          <w:rFonts w:ascii="Arial" w:eastAsiaTheme="majorEastAsia" w:hAnsi="Arial" w:cs="Arial"/>
          <w:b w:val="0"/>
        </w:rPr>
        <w:t>1. Strengthen staff training.</w:t>
      </w:r>
      <w:r w:rsidRPr="0006724C">
        <w:rPr>
          <w:rFonts w:ascii="Arial" w:hAnsi="Arial" w:cs="Arial"/>
          <w:bCs/>
        </w:rPr>
        <w:br/>
        <w:t>Regular development in communication, trauma-informed care and cultural competence would support more consistent PCC across multidisciplinary teams.</w:t>
      </w:r>
    </w:p>
    <w:p w14:paraId="759D8CBE" w14:textId="0CA70672" w:rsidR="00F20C05" w:rsidRPr="0006724C" w:rsidRDefault="00F20C05" w:rsidP="0006724C">
      <w:pPr>
        <w:pStyle w:val="NormalWeb"/>
        <w:spacing w:line="360" w:lineRule="auto"/>
        <w:rPr>
          <w:rFonts w:ascii="Arial" w:hAnsi="Arial" w:cs="Arial"/>
          <w:bCs/>
        </w:rPr>
      </w:pPr>
      <w:r w:rsidRPr="0006724C">
        <w:rPr>
          <w:rStyle w:val="Strong"/>
          <w:rFonts w:ascii="Arial" w:eastAsiaTheme="majorEastAsia" w:hAnsi="Arial" w:cs="Arial"/>
          <w:b w:val="0"/>
        </w:rPr>
        <w:t xml:space="preserve">2. Increase meaningful service user </w:t>
      </w:r>
      <w:proofErr w:type="spellStart"/>
      <w:r w:rsidRPr="0006724C">
        <w:rPr>
          <w:rStyle w:val="Strong"/>
          <w:rFonts w:ascii="Arial" w:eastAsiaTheme="majorEastAsia" w:hAnsi="Arial" w:cs="Arial"/>
          <w:b w:val="0"/>
        </w:rPr>
        <w:t>i</w:t>
      </w:r>
      <w:r w:rsidR="00664E55">
        <w:rPr>
          <w:rStyle w:val="Strong"/>
          <w:rFonts w:ascii="Arial" w:eastAsiaTheme="majorEastAsia" w:hAnsi="Arial" w:cs="Arial"/>
          <w:b w:val="0"/>
        </w:rPr>
        <w:t>d</w:t>
      </w:r>
      <w:r w:rsidRPr="0006724C">
        <w:rPr>
          <w:rStyle w:val="Strong"/>
          <w:rFonts w:ascii="Arial" w:eastAsiaTheme="majorEastAsia" w:hAnsi="Arial" w:cs="Arial"/>
          <w:b w:val="0"/>
        </w:rPr>
        <w:t>nvolvement</w:t>
      </w:r>
      <w:proofErr w:type="spellEnd"/>
      <w:r w:rsidRPr="0006724C">
        <w:rPr>
          <w:rStyle w:val="Strong"/>
          <w:rFonts w:ascii="Arial" w:eastAsiaTheme="majorEastAsia" w:hAnsi="Arial" w:cs="Arial"/>
          <w:b w:val="0"/>
        </w:rPr>
        <w:t>.</w:t>
      </w:r>
      <w:r w:rsidRPr="0006724C">
        <w:rPr>
          <w:rFonts w:ascii="Arial" w:hAnsi="Arial" w:cs="Arial"/>
          <w:bCs/>
        </w:rPr>
        <w:br/>
        <w:t>Using co-production in care planning, feedback processes and service design can improve trust, autonomy and recovery outcomes.</w:t>
      </w:r>
    </w:p>
    <w:p w14:paraId="382D48DD" w14:textId="77777777" w:rsidR="00F20C05" w:rsidRPr="0006724C" w:rsidRDefault="00F20C05" w:rsidP="0006724C">
      <w:pPr>
        <w:pStyle w:val="NormalWeb"/>
        <w:spacing w:line="360" w:lineRule="auto"/>
        <w:rPr>
          <w:rFonts w:ascii="Arial" w:hAnsi="Arial" w:cs="Arial"/>
          <w:bCs/>
        </w:rPr>
      </w:pPr>
      <w:r w:rsidRPr="0006724C">
        <w:rPr>
          <w:rStyle w:val="Strong"/>
          <w:rFonts w:ascii="Arial" w:eastAsiaTheme="majorEastAsia" w:hAnsi="Arial" w:cs="Arial"/>
          <w:b w:val="0"/>
        </w:rPr>
        <w:t>3. Improve multi-agency communication.</w:t>
      </w:r>
      <w:r w:rsidRPr="0006724C">
        <w:rPr>
          <w:rFonts w:ascii="Arial" w:hAnsi="Arial" w:cs="Arial"/>
          <w:bCs/>
        </w:rPr>
        <w:br/>
        <w:t>Better digital record-sharing and clearer referral pathways would reduce fragmentation between CMHTs, GPs, housing, and voluntary services.</w:t>
      </w:r>
    </w:p>
    <w:p w14:paraId="3C51193B" w14:textId="77777777" w:rsidR="00F20C05" w:rsidRPr="0006724C" w:rsidRDefault="00F20C05" w:rsidP="0006724C">
      <w:pPr>
        <w:pStyle w:val="NormalWeb"/>
        <w:spacing w:line="360" w:lineRule="auto"/>
        <w:rPr>
          <w:rFonts w:ascii="Arial" w:hAnsi="Arial" w:cs="Arial"/>
          <w:bCs/>
        </w:rPr>
      </w:pPr>
      <w:r w:rsidRPr="0006724C">
        <w:rPr>
          <w:rStyle w:val="Strong"/>
          <w:rFonts w:ascii="Arial" w:eastAsiaTheme="majorEastAsia" w:hAnsi="Arial" w:cs="Arial"/>
          <w:b w:val="0"/>
        </w:rPr>
        <w:t>4. Address staffing and workload pressures.</w:t>
      </w:r>
      <w:r w:rsidRPr="0006724C">
        <w:rPr>
          <w:rFonts w:ascii="Arial" w:hAnsi="Arial" w:cs="Arial"/>
          <w:bCs/>
        </w:rPr>
        <w:br/>
        <w:t>Lower caseloads and improved staffing levels would allow more time for relationship-building, shared decision-making and collaborative planning.</w:t>
      </w:r>
    </w:p>
    <w:p w14:paraId="0E41C933" w14:textId="77777777" w:rsidR="00F20C05" w:rsidRPr="0006724C" w:rsidRDefault="00F20C05" w:rsidP="0006724C">
      <w:pPr>
        <w:pStyle w:val="NormalWeb"/>
        <w:spacing w:line="360" w:lineRule="auto"/>
        <w:rPr>
          <w:rFonts w:ascii="Arial" w:hAnsi="Arial" w:cs="Arial"/>
          <w:bCs/>
        </w:rPr>
      </w:pPr>
      <w:r w:rsidRPr="0006724C">
        <w:rPr>
          <w:rStyle w:val="Strong"/>
          <w:rFonts w:ascii="Arial" w:eastAsiaTheme="majorEastAsia" w:hAnsi="Arial" w:cs="Arial"/>
          <w:b w:val="0"/>
        </w:rPr>
        <w:t>5. Expand community-based support.</w:t>
      </w:r>
      <w:r w:rsidRPr="0006724C">
        <w:rPr>
          <w:rFonts w:ascii="Arial" w:hAnsi="Arial" w:cs="Arial"/>
          <w:bCs/>
        </w:rPr>
        <w:br/>
        <w:t>Partnerships with local wellbeing groups, peer support services and voluntary organisations can enhance early intervention and reduce reliance on crisis care.</w:t>
      </w:r>
    </w:p>
    <w:p w14:paraId="0CD05810" w14:textId="77777777" w:rsidR="00F20C05" w:rsidRPr="0006724C" w:rsidRDefault="00F20C05" w:rsidP="0006724C">
      <w:pPr>
        <w:pStyle w:val="NormalWeb"/>
        <w:spacing w:line="360" w:lineRule="auto"/>
        <w:rPr>
          <w:rFonts w:ascii="Arial" w:hAnsi="Arial" w:cs="Arial"/>
          <w:bCs/>
        </w:rPr>
      </w:pPr>
      <w:r w:rsidRPr="0006724C">
        <w:rPr>
          <w:rFonts w:ascii="Arial" w:hAnsi="Arial" w:cs="Arial"/>
          <w:bCs/>
        </w:rPr>
        <w:t>These improvements would create more consistent, coordinated and genuinely person-centred mental health support.</w:t>
      </w:r>
    </w:p>
    <w:p w14:paraId="4690076B" w14:textId="51F92FEE" w:rsidR="00F20C05" w:rsidRPr="0006724C" w:rsidRDefault="00F20C05" w:rsidP="0006724C">
      <w:pPr>
        <w:pStyle w:val="Heading2"/>
        <w:spacing w:line="360" w:lineRule="auto"/>
        <w:rPr>
          <w:rFonts w:ascii="Arial" w:hAnsi="Arial" w:cs="Arial"/>
          <w:bCs/>
        </w:rPr>
      </w:pPr>
      <w:bookmarkStart w:id="10" w:name="_Toc214140657"/>
      <w:r w:rsidRPr="0006724C">
        <w:rPr>
          <w:rFonts w:ascii="Arial" w:hAnsi="Arial" w:cs="Arial"/>
          <w:bCs/>
        </w:rPr>
        <w:t>Conclusion</w:t>
      </w:r>
      <w:bookmarkEnd w:id="10"/>
    </w:p>
    <w:p w14:paraId="47BB1811" w14:textId="15B4969E" w:rsidR="00F20C05" w:rsidRPr="0006724C" w:rsidRDefault="00F20C05" w:rsidP="0006724C">
      <w:pPr>
        <w:spacing w:line="360" w:lineRule="auto"/>
        <w:rPr>
          <w:rFonts w:ascii="Arial" w:hAnsi="Arial" w:cs="Arial"/>
          <w:bCs/>
        </w:rPr>
      </w:pPr>
      <w:r w:rsidRPr="0006724C">
        <w:rPr>
          <w:rFonts w:ascii="Arial" w:hAnsi="Arial" w:cs="Arial"/>
          <w:bCs/>
        </w:rPr>
        <w:t xml:space="preserve">Person-centred care (PCC) and partnership working (PW) are essential for delivering effective, ethical and recovery-focused support within community mental health teams (CMHTs). PCC ensures that care reflects each person’s values, goals and lived experiences, while PW brings together professionals, services, service users and families to address complex needs holistically. Rogers’ person-centred </w:t>
      </w:r>
      <w:r w:rsidRPr="0006724C">
        <w:rPr>
          <w:rFonts w:ascii="Arial" w:hAnsi="Arial" w:cs="Arial"/>
          <w:bCs/>
        </w:rPr>
        <w:lastRenderedPageBreak/>
        <w:t>approach, core ethical principles and UK policies such as the Care Act and NHS Constitution all reinforce the importance of collaborative, respectful practice.</w:t>
      </w:r>
    </w:p>
    <w:p w14:paraId="469C2F77" w14:textId="6F972D5F" w:rsidR="00F20C05" w:rsidRPr="0006724C" w:rsidRDefault="00F20C05" w:rsidP="0006724C">
      <w:pPr>
        <w:spacing w:line="360" w:lineRule="auto"/>
        <w:rPr>
          <w:rFonts w:ascii="Arial" w:hAnsi="Arial" w:cs="Arial"/>
          <w:bCs/>
        </w:rPr>
      </w:pPr>
      <w:r w:rsidRPr="0006724C">
        <w:rPr>
          <w:rFonts w:ascii="Arial" w:hAnsi="Arial" w:cs="Arial"/>
          <w:bCs/>
        </w:rPr>
        <w:t>Although challenges such as high caseloads, limited resources and fragmented communication can limit the consistency of PCC and PW, CMHTs remain strong examples of integrated, multidisciplinary care. Strengthening training, improving coordination and expanding community support can further enhance outcomes. Overall, PCC and PW are central to promoting dignity, autonomy and meaningful recovery in mental health services.</w:t>
      </w:r>
    </w:p>
    <w:p w14:paraId="24FF0B1E" w14:textId="77777777" w:rsidR="00F20C05" w:rsidRPr="0006724C" w:rsidRDefault="00F20C05" w:rsidP="0006724C">
      <w:pPr>
        <w:spacing w:line="360" w:lineRule="auto"/>
        <w:rPr>
          <w:rFonts w:ascii="Arial" w:hAnsi="Arial" w:cs="Arial"/>
          <w:bCs/>
        </w:rPr>
      </w:pPr>
    </w:p>
    <w:p w14:paraId="35908806" w14:textId="5033E08C" w:rsidR="0006724C" w:rsidRPr="0006724C" w:rsidRDefault="0006724C" w:rsidP="0006724C">
      <w:pPr>
        <w:pStyle w:val="IntenseQuote"/>
        <w:spacing w:line="360" w:lineRule="auto"/>
        <w:rPr>
          <w:rFonts w:ascii="Arial" w:hAnsi="Arial" w:cs="Arial"/>
        </w:rPr>
      </w:pPr>
      <w:r w:rsidRPr="0006724C">
        <w:rPr>
          <w:rFonts w:ascii="Arial" w:hAnsi="Arial" w:cs="Arial"/>
        </w:rPr>
        <w:t>REFERENCES</w:t>
      </w:r>
    </w:p>
    <w:p w14:paraId="13B4D341" w14:textId="77777777" w:rsidR="0006724C" w:rsidRPr="0006724C" w:rsidRDefault="0006724C" w:rsidP="0006724C">
      <w:pPr>
        <w:spacing w:line="360" w:lineRule="auto"/>
        <w:rPr>
          <w:rFonts w:ascii="Arial" w:hAnsi="Arial" w:cs="Arial"/>
        </w:rPr>
      </w:pPr>
    </w:p>
    <w:p w14:paraId="4F4CFBC5" w14:textId="77777777" w:rsidR="0006724C" w:rsidRPr="0006724C" w:rsidRDefault="0006724C" w:rsidP="0006724C">
      <w:pPr>
        <w:pStyle w:val="NormalWeb"/>
        <w:spacing w:line="360" w:lineRule="auto"/>
        <w:rPr>
          <w:rFonts w:ascii="Arial" w:hAnsi="Arial" w:cs="Arial"/>
        </w:rPr>
      </w:pPr>
      <w:r w:rsidRPr="0006724C">
        <w:rPr>
          <w:rFonts w:ascii="Arial" w:hAnsi="Arial" w:cs="Arial"/>
        </w:rPr>
        <w:t>Care Act 2014, c.23. London: The Stationery Office.</w:t>
      </w:r>
    </w:p>
    <w:p w14:paraId="57639BAB" w14:textId="77777777" w:rsidR="0006724C" w:rsidRPr="0006724C" w:rsidRDefault="0006724C" w:rsidP="0006724C">
      <w:pPr>
        <w:pStyle w:val="NormalWeb"/>
        <w:spacing w:line="360" w:lineRule="auto"/>
        <w:rPr>
          <w:rFonts w:ascii="Arial" w:hAnsi="Arial" w:cs="Arial"/>
        </w:rPr>
      </w:pPr>
      <w:r w:rsidRPr="0006724C">
        <w:rPr>
          <w:rFonts w:ascii="Arial" w:hAnsi="Arial" w:cs="Arial"/>
        </w:rPr>
        <w:t xml:space="preserve">Department of Health and Social Care (2012) </w:t>
      </w:r>
      <w:r w:rsidRPr="0006724C">
        <w:rPr>
          <w:rStyle w:val="Emphasis"/>
          <w:rFonts w:ascii="Arial" w:eastAsiaTheme="majorEastAsia" w:hAnsi="Arial" w:cs="Arial"/>
        </w:rPr>
        <w:t>Health and Social Care Act 2012</w:t>
      </w:r>
      <w:r w:rsidRPr="0006724C">
        <w:rPr>
          <w:rFonts w:ascii="Arial" w:hAnsi="Arial" w:cs="Arial"/>
        </w:rPr>
        <w:t>. London: DHSC.</w:t>
      </w:r>
    </w:p>
    <w:p w14:paraId="2357C691" w14:textId="77777777" w:rsidR="0006724C" w:rsidRPr="0006724C" w:rsidRDefault="0006724C" w:rsidP="0006724C">
      <w:pPr>
        <w:pStyle w:val="NormalWeb"/>
        <w:spacing w:line="360" w:lineRule="auto"/>
        <w:rPr>
          <w:rFonts w:ascii="Arial" w:hAnsi="Arial" w:cs="Arial"/>
        </w:rPr>
      </w:pPr>
      <w:r w:rsidRPr="0006724C">
        <w:rPr>
          <w:rFonts w:ascii="Arial" w:hAnsi="Arial" w:cs="Arial"/>
        </w:rPr>
        <w:t xml:space="preserve">Department of Health and Social Care (2015) </w:t>
      </w:r>
      <w:r w:rsidRPr="0006724C">
        <w:rPr>
          <w:rStyle w:val="Emphasis"/>
          <w:rFonts w:ascii="Arial" w:eastAsiaTheme="majorEastAsia" w:hAnsi="Arial" w:cs="Arial"/>
        </w:rPr>
        <w:t>NHS Constitution for England</w:t>
      </w:r>
      <w:r w:rsidRPr="0006724C">
        <w:rPr>
          <w:rFonts w:ascii="Arial" w:hAnsi="Arial" w:cs="Arial"/>
        </w:rPr>
        <w:t>. London: DHSC.</w:t>
      </w:r>
    </w:p>
    <w:p w14:paraId="79695B2D" w14:textId="77777777" w:rsidR="0006724C" w:rsidRPr="0006724C" w:rsidRDefault="0006724C" w:rsidP="0006724C">
      <w:pPr>
        <w:pStyle w:val="NormalWeb"/>
        <w:spacing w:line="360" w:lineRule="auto"/>
        <w:rPr>
          <w:rFonts w:ascii="Arial" w:hAnsi="Arial" w:cs="Arial"/>
        </w:rPr>
      </w:pPr>
      <w:r w:rsidRPr="0006724C">
        <w:rPr>
          <w:rFonts w:ascii="Arial" w:hAnsi="Arial" w:cs="Arial"/>
        </w:rPr>
        <w:t xml:space="preserve">Department of Health and Social Care (2019) </w:t>
      </w:r>
      <w:r w:rsidRPr="0006724C">
        <w:rPr>
          <w:rStyle w:val="Emphasis"/>
          <w:rFonts w:ascii="Arial" w:eastAsiaTheme="majorEastAsia" w:hAnsi="Arial" w:cs="Arial"/>
        </w:rPr>
        <w:t>The NHS Long Term Plan</w:t>
      </w:r>
      <w:r w:rsidRPr="0006724C">
        <w:rPr>
          <w:rFonts w:ascii="Arial" w:hAnsi="Arial" w:cs="Arial"/>
        </w:rPr>
        <w:t>. London: NHS England.</w:t>
      </w:r>
    </w:p>
    <w:p w14:paraId="59DBB785" w14:textId="77777777" w:rsidR="0006724C" w:rsidRPr="0006724C" w:rsidRDefault="0006724C" w:rsidP="0006724C">
      <w:pPr>
        <w:pStyle w:val="NormalWeb"/>
        <w:spacing w:line="360" w:lineRule="auto"/>
        <w:rPr>
          <w:rFonts w:ascii="Arial" w:hAnsi="Arial" w:cs="Arial"/>
        </w:rPr>
      </w:pPr>
      <w:r w:rsidRPr="0006724C">
        <w:rPr>
          <w:rFonts w:ascii="Arial" w:hAnsi="Arial" w:cs="Arial"/>
        </w:rPr>
        <w:t>Equality Act 2010, c.15. London: The Stationery Office.</w:t>
      </w:r>
    </w:p>
    <w:p w14:paraId="5D1C51FD" w14:textId="77777777" w:rsidR="0006724C" w:rsidRPr="0006724C" w:rsidRDefault="0006724C" w:rsidP="0006724C">
      <w:pPr>
        <w:pStyle w:val="NormalWeb"/>
        <w:spacing w:line="360" w:lineRule="auto"/>
        <w:rPr>
          <w:rFonts w:ascii="Arial" w:hAnsi="Arial" w:cs="Arial"/>
        </w:rPr>
      </w:pPr>
      <w:r w:rsidRPr="0006724C">
        <w:rPr>
          <w:rFonts w:ascii="Arial" w:hAnsi="Arial" w:cs="Arial"/>
        </w:rPr>
        <w:t>Human Rights Act 1998, c.42. London: The Stationery Office.</w:t>
      </w:r>
    </w:p>
    <w:p w14:paraId="22824D99" w14:textId="77777777" w:rsidR="0006724C" w:rsidRPr="0006724C" w:rsidRDefault="0006724C" w:rsidP="0006724C">
      <w:pPr>
        <w:pStyle w:val="NormalWeb"/>
        <w:spacing w:line="360" w:lineRule="auto"/>
        <w:rPr>
          <w:rFonts w:ascii="Arial" w:hAnsi="Arial" w:cs="Arial"/>
        </w:rPr>
      </w:pPr>
      <w:r w:rsidRPr="0006724C">
        <w:rPr>
          <w:rFonts w:ascii="Arial" w:hAnsi="Arial" w:cs="Arial"/>
        </w:rPr>
        <w:t xml:space="preserve">NICE (2021) </w:t>
      </w:r>
      <w:r w:rsidRPr="0006724C">
        <w:rPr>
          <w:rStyle w:val="Emphasis"/>
          <w:rFonts w:ascii="Arial" w:eastAsiaTheme="majorEastAsia" w:hAnsi="Arial" w:cs="Arial"/>
        </w:rPr>
        <w:t>Service user experience in adult mental health: improving the experience of care for people using adult NHS mental health services.</w:t>
      </w:r>
      <w:r w:rsidRPr="0006724C">
        <w:rPr>
          <w:rFonts w:ascii="Arial" w:hAnsi="Arial" w:cs="Arial"/>
        </w:rPr>
        <w:t xml:space="preserve"> Available at: </w:t>
      </w:r>
      <w:hyperlink r:id="rId5" w:tgtFrame="_new" w:history="1">
        <w:r w:rsidRPr="0006724C">
          <w:rPr>
            <w:rStyle w:val="Hyperlink"/>
            <w:rFonts w:ascii="Arial" w:eastAsiaTheme="majorEastAsia" w:hAnsi="Arial" w:cs="Arial"/>
          </w:rPr>
          <w:t>https://www.nice.org.uk/guidance/cg136</w:t>
        </w:r>
      </w:hyperlink>
    </w:p>
    <w:p w14:paraId="7BE7B5A1" w14:textId="77777777" w:rsidR="0006724C" w:rsidRPr="0006724C" w:rsidRDefault="0006724C" w:rsidP="0006724C">
      <w:pPr>
        <w:pStyle w:val="NormalWeb"/>
        <w:spacing w:line="360" w:lineRule="auto"/>
        <w:rPr>
          <w:rFonts w:ascii="Arial" w:hAnsi="Arial" w:cs="Arial"/>
        </w:rPr>
      </w:pPr>
      <w:r w:rsidRPr="0006724C">
        <w:rPr>
          <w:rFonts w:ascii="Arial" w:hAnsi="Arial" w:cs="Arial"/>
        </w:rPr>
        <w:t xml:space="preserve">NHS England (2022) </w:t>
      </w:r>
      <w:r w:rsidRPr="0006724C">
        <w:rPr>
          <w:rStyle w:val="Emphasis"/>
          <w:rFonts w:ascii="Arial" w:eastAsiaTheme="majorEastAsia" w:hAnsi="Arial" w:cs="Arial"/>
        </w:rPr>
        <w:t>Personalised Care Model.</w:t>
      </w:r>
      <w:r w:rsidRPr="0006724C">
        <w:rPr>
          <w:rFonts w:ascii="Arial" w:hAnsi="Arial" w:cs="Arial"/>
        </w:rPr>
        <w:t xml:space="preserve"> Available at: </w:t>
      </w:r>
      <w:hyperlink r:id="rId6" w:tgtFrame="_new" w:history="1">
        <w:r w:rsidRPr="0006724C">
          <w:rPr>
            <w:rStyle w:val="Hyperlink"/>
            <w:rFonts w:ascii="Arial" w:eastAsiaTheme="majorEastAsia" w:hAnsi="Arial" w:cs="Arial"/>
          </w:rPr>
          <w:t>https://www.england.nhs.uk/personalisedcare/</w:t>
        </w:r>
      </w:hyperlink>
    </w:p>
    <w:p w14:paraId="032FD388" w14:textId="77777777" w:rsidR="0006724C" w:rsidRPr="0006724C" w:rsidRDefault="0006724C" w:rsidP="0006724C">
      <w:pPr>
        <w:pStyle w:val="NormalWeb"/>
        <w:spacing w:line="360" w:lineRule="auto"/>
        <w:rPr>
          <w:rFonts w:ascii="Arial" w:hAnsi="Arial" w:cs="Arial"/>
        </w:rPr>
      </w:pPr>
      <w:r w:rsidRPr="0006724C">
        <w:rPr>
          <w:rFonts w:ascii="Arial" w:hAnsi="Arial" w:cs="Arial"/>
        </w:rPr>
        <w:lastRenderedPageBreak/>
        <w:t xml:space="preserve">NHS England (2023) </w:t>
      </w:r>
      <w:r w:rsidRPr="0006724C">
        <w:rPr>
          <w:rStyle w:val="Emphasis"/>
          <w:rFonts w:ascii="Arial" w:eastAsiaTheme="majorEastAsia" w:hAnsi="Arial" w:cs="Arial"/>
        </w:rPr>
        <w:t>Community Mental Health Framework for Adults and Older Adults.</w:t>
      </w:r>
      <w:r w:rsidRPr="0006724C">
        <w:rPr>
          <w:rFonts w:ascii="Arial" w:hAnsi="Arial" w:cs="Arial"/>
        </w:rPr>
        <w:t xml:space="preserve"> Available at: </w:t>
      </w:r>
      <w:hyperlink r:id="rId7" w:tgtFrame="_new" w:history="1">
        <w:r w:rsidRPr="0006724C">
          <w:rPr>
            <w:rStyle w:val="Hyperlink"/>
            <w:rFonts w:ascii="Arial" w:eastAsiaTheme="majorEastAsia" w:hAnsi="Arial" w:cs="Arial"/>
          </w:rPr>
          <w:t>https://www.england.nhs.uk/mental-health/</w:t>
        </w:r>
      </w:hyperlink>
    </w:p>
    <w:p w14:paraId="5CD2CD90" w14:textId="77777777" w:rsidR="0006724C" w:rsidRPr="0006724C" w:rsidRDefault="0006724C" w:rsidP="0006724C">
      <w:pPr>
        <w:pStyle w:val="NormalWeb"/>
        <w:spacing w:line="360" w:lineRule="auto"/>
        <w:rPr>
          <w:rFonts w:ascii="Arial" w:hAnsi="Arial" w:cs="Arial"/>
        </w:rPr>
      </w:pPr>
      <w:r w:rsidRPr="0006724C">
        <w:rPr>
          <w:rFonts w:ascii="Arial" w:hAnsi="Arial" w:cs="Arial"/>
        </w:rPr>
        <w:t xml:space="preserve">Rogers, C. (1961) </w:t>
      </w:r>
      <w:r w:rsidRPr="0006724C">
        <w:rPr>
          <w:rStyle w:val="Emphasis"/>
          <w:rFonts w:ascii="Arial" w:eastAsiaTheme="majorEastAsia" w:hAnsi="Arial" w:cs="Arial"/>
        </w:rPr>
        <w:t>On Becoming a Person: A Therapist’s View of Psychotherapy.</w:t>
      </w:r>
      <w:r w:rsidRPr="0006724C">
        <w:rPr>
          <w:rFonts w:ascii="Arial" w:hAnsi="Arial" w:cs="Arial"/>
        </w:rPr>
        <w:t xml:space="preserve"> Boston: Houghton Mifflin.</w:t>
      </w:r>
    </w:p>
    <w:p w14:paraId="1E250042" w14:textId="77777777" w:rsidR="0006724C" w:rsidRPr="0006724C" w:rsidRDefault="0006724C" w:rsidP="0006724C">
      <w:pPr>
        <w:pStyle w:val="NormalWeb"/>
        <w:spacing w:line="360" w:lineRule="auto"/>
        <w:rPr>
          <w:rFonts w:ascii="Arial" w:hAnsi="Arial" w:cs="Arial"/>
        </w:rPr>
      </w:pPr>
      <w:proofErr w:type="spellStart"/>
      <w:r w:rsidRPr="0006724C">
        <w:rPr>
          <w:rFonts w:ascii="Arial" w:hAnsi="Arial" w:cs="Arial"/>
        </w:rPr>
        <w:t>Tonkens</w:t>
      </w:r>
      <w:proofErr w:type="spellEnd"/>
      <w:r w:rsidRPr="0006724C">
        <w:rPr>
          <w:rFonts w:ascii="Arial" w:hAnsi="Arial" w:cs="Arial"/>
        </w:rPr>
        <w:t xml:space="preserve">, E. (2021) ‘Person-centred care: possibilities and limitations’, </w:t>
      </w:r>
      <w:r w:rsidRPr="0006724C">
        <w:rPr>
          <w:rStyle w:val="Emphasis"/>
          <w:rFonts w:ascii="Arial" w:eastAsiaTheme="majorEastAsia" w:hAnsi="Arial" w:cs="Arial"/>
        </w:rPr>
        <w:t>Health Care Analysis</w:t>
      </w:r>
      <w:r w:rsidRPr="0006724C">
        <w:rPr>
          <w:rFonts w:ascii="Arial" w:hAnsi="Arial" w:cs="Arial"/>
        </w:rPr>
        <w:t>, 29(4), pp. 291–305.</w:t>
      </w:r>
    </w:p>
    <w:p w14:paraId="0C87A086" w14:textId="77777777" w:rsidR="0006724C" w:rsidRPr="0006724C" w:rsidRDefault="0006724C" w:rsidP="0006724C">
      <w:pPr>
        <w:pStyle w:val="NormalWeb"/>
        <w:spacing w:line="360" w:lineRule="auto"/>
        <w:rPr>
          <w:rFonts w:ascii="Arial" w:hAnsi="Arial" w:cs="Arial"/>
        </w:rPr>
      </w:pPr>
      <w:r w:rsidRPr="0006724C">
        <w:rPr>
          <w:rFonts w:ascii="Arial" w:hAnsi="Arial" w:cs="Arial"/>
        </w:rPr>
        <w:t xml:space="preserve">Lloyd, C. and Williams, P.L. (2021) ‘Multidisciplinary teamwork in mental health care’, </w:t>
      </w:r>
      <w:r w:rsidRPr="0006724C">
        <w:rPr>
          <w:rStyle w:val="Emphasis"/>
          <w:rFonts w:ascii="Arial" w:eastAsiaTheme="majorEastAsia" w:hAnsi="Arial" w:cs="Arial"/>
        </w:rPr>
        <w:t>Journal of Interprofessional Care</w:t>
      </w:r>
      <w:r w:rsidRPr="0006724C">
        <w:rPr>
          <w:rFonts w:ascii="Arial" w:hAnsi="Arial" w:cs="Arial"/>
        </w:rPr>
        <w:t>, 35(5), pp. 665–673.</w:t>
      </w:r>
    </w:p>
    <w:p w14:paraId="4A25DF2A" w14:textId="77777777" w:rsidR="0006724C" w:rsidRPr="0006724C" w:rsidRDefault="0006724C" w:rsidP="0006724C">
      <w:pPr>
        <w:pStyle w:val="NormalWeb"/>
        <w:spacing w:line="360" w:lineRule="auto"/>
        <w:rPr>
          <w:rFonts w:ascii="Arial" w:hAnsi="Arial" w:cs="Arial"/>
        </w:rPr>
      </w:pPr>
      <w:r w:rsidRPr="0006724C">
        <w:rPr>
          <w:rFonts w:ascii="Arial" w:hAnsi="Arial" w:cs="Arial"/>
        </w:rPr>
        <w:t xml:space="preserve">Mental Health Foundation (2023) </w:t>
      </w:r>
      <w:r w:rsidRPr="0006724C">
        <w:rPr>
          <w:rStyle w:val="Emphasis"/>
          <w:rFonts w:ascii="Arial" w:eastAsiaTheme="majorEastAsia" w:hAnsi="Arial" w:cs="Arial"/>
        </w:rPr>
        <w:t>Person-centred care in mental health.</w:t>
      </w:r>
      <w:r w:rsidRPr="0006724C">
        <w:rPr>
          <w:rFonts w:ascii="Arial" w:hAnsi="Arial" w:cs="Arial"/>
        </w:rPr>
        <w:t xml:space="preserve"> Available at: </w:t>
      </w:r>
      <w:hyperlink r:id="rId8" w:tgtFrame="_new" w:history="1">
        <w:r w:rsidRPr="0006724C">
          <w:rPr>
            <w:rStyle w:val="Hyperlink"/>
            <w:rFonts w:ascii="Arial" w:eastAsiaTheme="majorEastAsia" w:hAnsi="Arial" w:cs="Arial"/>
          </w:rPr>
          <w:t>https://www.mentalhealth.org.uk/</w:t>
        </w:r>
      </w:hyperlink>
    </w:p>
    <w:p w14:paraId="29EF27B9" w14:textId="77777777" w:rsidR="0006724C" w:rsidRPr="0006724C" w:rsidRDefault="0006724C" w:rsidP="0006724C">
      <w:pPr>
        <w:pStyle w:val="NormalWeb"/>
        <w:spacing w:line="360" w:lineRule="auto"/>
        <w:rPr>
          <w:rFonts w:ascii="Arial" w:hAnsi="Arial" w:cs="Arial"/>
        </w:rPr>
      </w:pPr>
      <w:r w:rsidRPr="0006724C">
        <w:rPr>
          <w:rFonts w:ascii="Arial" w:hAnsi="Arial" w:cs="Arial"/>
        </w:rPr>
        <w:t xml:space="preserve">SCIE – Social Care Institute for Excellence (2023) </w:t>
      </w:r>
      <w:r w:rsidRPr="0006724C">
        <w:rPr>
          <w:rStyle w:val="Emphasis"/>
          <w:rFonts w:ascii="Arial" w:eastAsiaTheme="majorEastAsia" w:hAnsi="Arial" w:cs="Arial"/>
        </w:rPr>
        <w:t>Person-centred practice in health and social care.</w:t>
      </w:r>
      <w:r w:rsidRPr="0006724C">
        <w:rPr>
          <w:rFonts w:ascii="Arial" w:hAnsi="Arial" w:cs="Arial"/>
        </w:rPr>
        <w:t xml:space="preserve"> Available at: </w:t>
      </w:r>
      <w:hyperlink r:id="rId9" w:tgtFrame="_new" w:history="1">
        <w:r w:rsidRPr="0006724C">
          <w:rPr>
            <w:rStyle w:val="Hyperlink"/>
            <w:rFonts w:ascii="Arial" w:eastAsiaTheme="majorEastAsia" w:hAnsi="Arial" w:cs="Arial"/>
          </w:rPr>
          <w:t>https://www.scie.org.uk/</w:t>
        </w:r>
      </w:hyperlink>
    </w:p>
    <w:p w14:paraId="56D3B966" w14:textId="77777777" w:rsidR="0006724C" w:rsidRPr="0006724C" w:rsidRDefault="0006724C" w:rsidP="0006724C">
      <w:pPr>
        <w:pStyle w:val="NormalWeb"/>
        <w:spacing w:line="360" w:lineRule="auto"/>
        <w:rPr>
          <w:rFonts w:ascii="Arial" w:hAnsi="Arial" w:cs="Arial"/>
        </w:rPr>
      </w:pPr>
      <w:r w:rsidRPr="0006724C">
        <w:rPr>
          <w:rFonts w:ascii="Arial" w:hAnsi="Arial" w:cs="Arial"/>
        </w:rPr>
        <w:t xml:space="preserve">Mind (2023) </w:t>
      </w:r>
      <w:r w:rsidRPr="0006724C">
        <w:rPr>
          <w:rStyle w:val="Emphasis"/>
          <w:rFonts w:ascii="Arial" w:eastAsiaTheme="majorEastAsia" w:hAnsi="Arial" w:cs="Arial"/>
        </w:rPr>
        <w:t>Working with mental health services.</w:t>
      </w:r>
      <w:r w:rsidRPr="0006724C">
        <w:rPr>
          <w:rFonts w:ascii="Arial" w:hAnsi="Arial" w:cs="Arial"/>
        </w:rPr>
        <w:t xml:space="preserve"> Available at: </w:t>
      </w:r>
      <w:hyperlink r:id="rId10" w:tgtFrame="_new" w:history="1">
        <w:r w:rsidRPr="0006724C">
          <w:rPr>
            <w:rStyle w:val="Hyperlink"/>
            <w:rFonts w:ascii="Arial" w:eastAsiaTheme="majorEastAsia" w:hAnsi="Arial" w:cs="Arial"/>
          </w:rPr>
          <w:t>https://www.mind.org.uk/</w:t>
        </w:r>
      </w:hyperlink>
    </w:p>
    <w:p w14:paraId="306CD19C" w14:textId="77777777" w:rsidR="0006724C" w:rsidRPr="0006724C" w:rsidRDefault="0006724C" w:rsidP="0006724C">
      <w:pPr>
        <w:spacing w:line="360" w:lineRule="auto"/>
        <w:rPr>
          <w:rFonts w:ascii="Arial" w:hAnsi="Arial" w:cs="Arial"/>
        </w:rPr>
      </w:pPr>
    </w:p>
    <w:sectPr w:rsidR="0006724C" w:rsidRPr="0006724C" w:rsidSect="00731569">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E23097"/>
    <w:multiLevelType w:val="hybridMultilevel"/>
    <w:tmpl w:val="FF202948"/>
    <w:lvl w:ilvl="0" w:tplc="458EB1D0">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1604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15C"/>
    <w:rsid w:val="0006724C"/>
    <w:rsid w:val="001B2EB7"/>
    <w:rsid w:val="003A6EB1"/>
    <w:rsid w:val="00664E55"/>
    <w:rsid w:val="00731569"/>
    <w:rsid w:val="00744E76"/>
    <w:rsid w:val="007F0AE5"/>
    <w:rsid w:val="009131A3"/>
    <w:rsid w:val="00A32E58"/>
    <w:rsid w:val="00A707A6"/>
    <w:rsid w:val="00C90478"/>
    <w:rsid w:val="00CA215C"/>
    <w:rsid w:val="00E61E97"/>
    <w:rsid w:val="00EE52B7"/>
    <w:rsid w:val="00F20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0B2B6"/>
  <w15:chartTrackingRefBased/>
  <w15:docId w15:val="{4ACFE78B-E3AF-4CA6-BB04-F1973FD9D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15C"/>
  </w:style>
  <w:style w:type="paragraph" w:styleId="Heading1">
    <w:name w:val="heading 1"/>
    <w:basedOn w:val="Normal"/>
    <w:next w:val="Normal"/>
    <w:link w:val="Heading1Char"/>
    <w:uiPriority w:val="9"/>
    <w:qFormat/>
    <w:rsid w:val="00CA21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A21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21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21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21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21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21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21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21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1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A21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21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21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21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21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21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21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215C"/>
    <w:rPr>
      <w:rFonts w:eastAsiaTheme="majorEastAsia" w:cstheme="majorBidi"/>
      <w:color w:val="272727" w:themeColor="text1" w:themeTint="D8"/>
    </w:rPr>
  </w:style>
  <w:style w:type="paragraph" w:styleId="Title">
    <w:name w:val="Title"/>
    <w:basedOn w:val="Normal"/>
    <w:next w:val="Normal"/>
    <w:link w:val="TitleChar"/>
    <w:uiPriority w:val="10"/>
    <w:qFormat/>
    <w:rsid w:val="00CA21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21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21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21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215C"/>
    <w:pPr>
      <w:spacing w:before="160"/>
      <w:jc w:val="center"/>
    </w:pPr>
    <w:rPr>
      <w:i/>
      <w:iCs/>
      <w:color w:val="404040" w:themeColor="text1" w:themeTint="BF"/>
    </w:rPr>
  </w:style>
  <w:style w:type="character" w:customStyle="1" w:styleId="QuoteChar">
    <w:name w:val="Quote Char"/>
    <w:basedOn w:val="DefaultParagraphFont"/>
    <w:link w:val="Quote"/>
    <w:uiPriority w:val="29"/>
    <w:rsid w:val="00CA215C"/>
    <w:rPr>
      <w:i/>
      <w:iCs/>
      <w:color w:val="404040" w:themeColor="text1" w:themeTint="BF"/>
    </w:rPr>
  </w:style>
  <w:style w:type="paragraph" w:styleId="ListParagraph">
    <w:name w:val="List Paragraph"/>
    <w:basedOn w:val="Normal"/>
    <w:uiPriority w:val="34"/>
    <w:qFormat/>
    <w:rsid w:val="00CA215C"/>
    <w:pPr>
      <w:ind w:left="720"/>
      <w:contextualSpacing/>
    </w:pPr>
  </w:style>
  <w:style w:type="character" w:styleId="IntenseEmphasis">
    <w:name w:val="Intense Emphasis"/>
    <w:basedOn w:val="DefaultParagraphFont"/>
    <w:uiPriority w:val="21"/>
    <w:qFormat/>
    <w:rsid w:val="00CA215C"/>
    <w:rPr>
      <w:i/>
      <w:iCs/>
      <w:color w:val="0F4761" w:themeColor="accent1" w:themeShade="BF"/>
    </w:rPr>
  </w:style>
  <w:style w:type="paragraph" w:styleId="IntenseQuote">
    <w:name w:val="Intense Quote"/>
    <w:basedOn w:val="Normal"/>
    <w:next w:val="Normal"/>
    <w:link w:val="IntenseQuoteChar"/>
    <w:uiPriority w:val="30"/>
    <w:qFormat/>
    <w:rsid w:val="00CA21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215C"/>
    <w:rPr>
      <w:i/>
      <w:iCs/>
      <w:color w:val="0F4761" w:themeColor="accent1" w:themeShade="BF"/>
    </w:rPr>
  </w:style>
  <w:style w:type="character" w:styleId="IntenseReference">
    <w:name w:val="Intense Reference"/>
    <w:basedOn w:val="DefaultParagraphFont"/>
    <w:uiPriority w:val="32"/>
    <w:qFormat/>
    <w:rsid w:val="00CA215C"/>
    <w:rPr>
      <w:b/>
      <w:bCs/>
      <w:smallCaps/>
      <w:color w:val="0F4761" w:themeColor="accent1" w:themeShade="BF"/>
      <w:spacing w:val="5"/>
    </w:rPr>
  </w:style>
  <w:style w:type="character" w:styleId="Strong">
    <w:name w:val="Strong"/>
    <w:basedOn w:val="DefaultParagraphFont"/>
    <w:uiPriority w:val="22"/>
    <w:qFormat/>
    <w:rsid w:val="00744E76"/>
    <w:rPr>
      <w:b/>
      <w:bCs/>
    </w:rPr>
  </w:style>
  <w:style w:type="paragraph" w:styleId="NormalWeb">
    <w:name w:val="Normal (Web)"/>
    <w:basedOn w:val="Normal"/>
    <w:uiPriority w:val="99"/>
    <w:semiHidden/>
    <w:unhideWhenUsed/>
    <w:rsid w:val="00744E7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6724C"/>
    <w:rPr>
      <w:i/>
      <w:iCs/>
    </w:rPr>
  </w:style>
  <w:style w:type="character" w:styleId="Hyperlink">
    <w:name w:val="Hyperlink"/>
    <w:basedOn w:val="DefaultParagraphFont"/>
    <w:uiPriority w:val="99"/>
    <w:unhideWhenUsed/>
    <w:rsid w:val="0006724C"/>
    <w:rPr>
      <w:color w:val="0000FF"/>
      <w:u w:val="single"/>
    </w:rPr>
  </w:style>
  <w:style w:type="paragraph" w:styleId="TOCHeading">
    <w:name w:val="TOC Heading"/>
    <w:basedOn w:val="Heading1"/>
    <w:next w:val="Normal"/>
    <w:uiPriority w:val="39"/>
    <w:unhideWhenUsed/>
    <w:qFormat/>
    <w:rsid w:val="00664E55"/>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664E55"/>
    <w:pPr>
      <w:spacing w:after="100"/>
      <w:ind w:left="240"/>
    </w:pPr>
  </w:style>
  <w:style w:type="paragraph" w:styleId="TOC1">
    <w:name w:val="toc 1"/>
    <w:basedOn w:val="Normal"/>
    <w:next w:val="Normal"/>
    <w:autoRedefine/>
    <w:uiPriority w:val="39"/>
    <w:unhideWhenUsed/>
    <w:rsid w:val="00664E5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 TargetMode="External"/><Relationship Id="rId3" Type="http://schemas.openxmlformats.org/officeDocument/2006/relationships/settings" Target="settings.xml"/><Relationship Id="rId7" Type="http://schemas.openxmlformats.org/officeDocument/2006/relationships/hyperlink" Target="https://www.england.nhs.uk/mental-healt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gland.nhs.uk/personalisedcare/" TargetMode="External"/><Relationship Id="rId11" Type="http://schemas.openxmlformats.org/officeDocument/2006/relationships/fontTable" Target="fontTable.xml"/><Relationship Id="rId5" Type="http://schemas.openxmlformats.org/officeDocument/2006/relationships/hyperlink" Target="https://www.nice.org.uk/guidance/cg136" TargetMode="External"/><Relationship Id="rId10" Type="http://schemas.openxmlformats.org/officeDocument/2006/relationships/hyperlink" Target="https://www.mind.org.uk/" TargetMode="External"/><Relationship Id="rId4" Type="http://schemas.openxmlformats.org/officeDocument/2006/relationships/webSettings" Target="webSettings.xml"/><Relationship Id="rId9" Type="http://schemas.openxmlformats.org/officeDocument/2006/relationships/hyperlink" Target="https://www.sci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123</TotalTime>
  <Pages>11</Pages>
  <Words>2964</Words>
  <Characters>16899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Burhan Tahir Muhammad</dc:creator>
  <cp:keywords/>
  <dc:description/>
  <cp:lastModifiedBy>Burhan Tahir Muhammad</cp:lastModifiedBy>
  <cp:revision>2</cp:revision>
  <dcterms:created xsi:type="dcterms:W3CDTF">2025-11-15T21:02:00Z</dcterms:created>
  <dcterms:modified xsi:type="dcterms:W3CDTF">2025-11-15T23:10:00Z</dcterms:modified>
</cp:coreProperties>
</file>