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A332B2" w14:textId="77777777" w:rsidR="003C0C24" w:rsidRDefault="003C0C24" w:rsidP="003C0C24">
      <w:pPr>
        <w:rPr>
          <w:b/>
          <w:bCs/>
          <w:u w:val="single"/>
        </w:rPr>
      </w:pPr>
      <w:bookmarkStart w:id="0" w:name="_Hlk155376112"/>
      <w:r w:rsidRPr="00C66889">
        <w:rPr>
          <w:b/>
          <w:bCs/>
          <w:u w:val="single"/>
        </w:rPr>
        <w:t>Assess the impact that cultural diversity has had on policing practice (</w:t>
      </w:r>
      <w:proofErr w:type="gramStart"/>
      <w:r w:rsidRPr="00C66889">
        <w:rPr>
          <w:b/>
          <w:bCs/>
          <w:u w:val="single"/>
        </w:rPr>
        <w:t>e.g.</w:t>
      </w:r>
      <w:proofErr w:type="gramEnd"/>
      <w:r w:rsidRPr="00C66889">
        <w:rPr>
          <w:b/>
          <w:bCs/>
          <w:u w:val="single"/>
        </w:rPr>
        <w:t xml:space="preserve"> neighbourhood policing) and professional policies and standards (e.g. PACE, Code of Ethics)</w:t>
      </w:r>
    </w:p>
    <w:p w14:paraId="7EDCB0CD" w14:textId="77777777" w:rsidR="003C0C24" w:rsidRPr="00C66889" w:rsidRDefault="003C0C24" w:rsidP="003C0C24">
      <w:pPr>
        <w:rPr>
          <w:b/>
          <w:bCs/>
          <w:sz w:val="24"/>
          <w:szCs w:val="24"/>
          <w:u w:val="single"/>
        </w:rPr>
      </w:pPr>
    </w:p>
    <w:p w14:paraId="73779604" w14:textId="77777777" w:rsidR="003C0C24" w:rsidRDefault="003C0C24" w:rsidP="003C0C24">
      <w:pPr>
        <w:rPr>
          <w:sz w:val="24"/>
          <w:szCs w:val="24"/>
        </w:rPr>
      </w:pPr>
      <w:r>
        <w:rPr>
          <w:sz w:val="24"/>
          <w:szCs w:val="24"/>
        </w:rPr>
        <w:t xml:space="preserve">Cultural diversity has played a key role in changing the face of modern policing across the United Kingdom, as Britain has become more diverse and inclusive, and communities change due to the influx of people from all over the world the need for the police to be inclusive and diverse cannot be understated. Fundamental British values underpin what it is to be a citizen in a diverse and modern Great Britain, celebrating diversity and embracing community. Some of the core British values that are incumbent on the police to embrace and truly embody is mutual respect and tolerance of different faiths and beliefs. I will assess the impact that cultural diversity has had on policing practice in this essay. </w:t>
      </w:r>
    </w:p>
    <w:p w14:paraId="4DC306DF" w14:textId="77777777" w:rsidR="003C0C24" w:rsidRPr="00E40831" w:rsidRDefault="003C0C24" w:rsidP="003C0C24">
      <w:pPr>
        <w:rPr>
          <w:sz w:val="24"/>
          <w:szCs w:val="24"/>
        </w:rPr>
      </w:pPr>
    </w:p>
    <w:p w14:paraId="4DEB76BF" w14:textId="77777777" w:rsidR="003C0C24" w:rsidRDefault="003C0C24" w:rsidP="003C0C24">
      <w:pPr>
        <w:rPr>
          <w:sz w:val="24"/>
          <w:szCs w:val="24"/>
        </w:rPr>
      </w:pPr>
      <w:r>
        <w:rPr>
          <w:sz w:val="24"/>
          <w:szCs w:val="24"/>
        </w:rPr>
        <w:t>Cultural diversity plays an important role in almost every aspect of policing, it affects community cohesion, engagement, and tolerance of the police, and as Britain is policed by consent, overall acceptance of the police and its practices. It is important that communities feel represented, respected, and understood by its police force and the officers that carry out the duties they are required to perform. PACE was introduced in 1984 in response to the events of the Brixton Riots and the Scarman report which identified key flaws in policing in the United Kingdom, including how racism and how officers lacked the standards of professional behaviour which all officers are required to abide by. The introduction of PACE also set out guidelines called the Policing Principles and Code of Ethics.</w:t>
      </w:r>
    </w:p>
    <w:bookmarkEnd w:id="0"/>
    <w:p w14:paraId="5D376024" w14:textId="77777777" w:rsidR="003C0C24" w:rsidRDefault="003C0C24" w:rsidP="003C0C24">
      <w:pPr>
        <w:rPr>
          <w:sz w:val="24"/>
          <w:szCs w:val="24"/>
        </w:rPr>
      </w:pPr>
    </w:p>
    <w:p w14:paraId="30702E5B" w14:textId="77777777" w:rsidR="003C0C24" w:rsidRDefault="003C0C24" w:rsidP="003C0C24">
      <w:pPr>
        <w:rPr>
          <w:rFonts w:cstheme="minorHAnsi"/>
          <w:color w:val="333333"/>
          <w:sz w:val="24"/>
          <w:szCs w:val="24"/>
        </w:rPr>
      </w:pPr>
      <w:r w:rsidRPr="00FA7761">
        <w:rPr>
          <w:rFonts w:cstheme="minorHAnsi"/>
          <w:color w:val="333333"/>
          <w:sz w:val="24"/>
          <w:szCs w:val="24"/>
        </w:rPr>
        <w:t xml:space="preserve">Cultural diversity can influence the levels of trust between the police and the communities it polices. As a police force becomes more diverse the officers within them and their stereotypical views and unconscious, or conscious biases </w:t>
      </w:r>
      <w:proofErr w:type="gramStart"/>
      <w:r w:rsidRPr="00FA7761">
        <w:rPr>
          <w:rFonts w:cstheme="minorHAnsi"/>
          <w:color w:val="333333"/>
          <w:sz w:val="24"/>
          <w:szCs w:val="24"/>
        </w:rPr>
        <w:t>have an effect on</w:t>
      </w:r>
      <w:proofErr w:type="gramEnd"/>
      <w:r w:rsidRPr="00FA7761">
        <w:rPr>
          <w:rFonts w:cstheme="minorHAnsi"/>
          <w:color w:val="333333"/>
          <w:sz w:val="24"/>
          <w:szCs w:val="24"/>
        </w:rPr>
        <w:t xml:space="preserve"> how they perce</w:t>
      </w:r>
      <w:r>
        <w:rPr>
          <w:rFonts w:cstheme="minorHAnsi"/>
          <w:color w:val="333333"/>
          <w:sz w:val="24"/>
          <w:szCs w:val="24"/>
        </w:rPr>
        <w:t>i</w:t>
      </w:r>
      <w:r w:rsidRPr="00FA7761">
        <w:rPr>
          <w:rFonts w:cstheme="minorHAnsi"/>
          <w:color w:val="333333"/>
          <w:sz w:val="24"/>
          <w:szCs w:val="24"/>
        </w:rPr>
        <w:t>ve members of the public and what behaviours they associate with them.</w:t>
      </w:r>
      <w:r w:rsidRPr="00FA7761">
        <w:rPr>
          <w:rFonts w:ascii="Open Sans" w:hAnsi="Open Sans" w:cs="Open Sans"/>
          <w:color w:val="333333"/>
          <w:sz w:val="26"/>
          <w:szCs w:val="26"/>
        </w:rPr>
        <w:t xml:space="preserve"> </w:t>
      </w:r>
      <w:r>
        <w:rPr>
          <w:rFonts w:cstheme="minorHAnsi"/>
          <w:color w:val="333333"/>
          <w:sz w:val="24"/>
          <w:szCs w:val="24"/>
        </w:rPr>
        <w:t xml:space="preserve">Research conducted by </w:t>
      </w:r>
      <w:proofErr w:type="spellStart"/>
      <w:r>
        <w:rPr>
          <w:rFonts w:cstheme="minorHAnsi"/>
          <w:color w:val="333333"/>
          <w:sz w:val="24"/>
          <w:szCs w:val="24"/>
        </w:rPr>
        <w:t>Mastrofski</w:t>
      </w:r>
      <w:proofErr w:type="spellEnd"/>
      <w:r>
        <w:rPr>
          <w:rFonts w:cstheme="minorHAnsi"/>
          <w:color w:val="333333"/>
          <w:sz w:val="24"/>
          <w:szCs w:val="24"/>
        </w:rPr>
        <w:t xml:space="preserve"> et al. (2016), Miles-Johnson (2016) and Tyler (2016) indicates people from minority and diverse community groups have little trust in police officers and the organisations they represent. This mistrust can lead to anxiety, and ultimately distraction from a situation which can lead to a situation where the original intention of the persons involved can be undermined and negatively affected. This ultimately damages the perception of the police. </w:t>
      </w:r>
    </w:p>
    <w:p w14:paraId="5AAF1467" w14:textId="77777777" w:rsidR="003C0C24" w:rsidRDefault="003C0C24" w:rsidP="003C0C24">
      <w:pPr>
        <w:rPr>
          <w:sz w:val="24"/>
          <w:szCs w:val="24"/>
        </w:rPr>
      </w:pPr>
    </w:p>
    <w:p w14:paraId="09AE87DE" w14:textId="77777777" w:rsidR="003C0C24" w:rsidRDefault="003C0C24" w:rsidP="003C0C24">
      <w:pPr>
        <w:rPr>
          <w:sz w:val="24"/>
          <w:szCs w:val="24"/>
        </w:rPr>
      </w:pPr>
      <w:r>
        <w:rPr>
          <w:sz w:val="24"/>
          <w:szCs w:val="24"/>
        </w:rPr>
        <w:t xml:space="preserve">When considering recruitment, Basham (2014) states that relations between the public and the police can be measured by the level of training and understanding an officer attains during initial training by its respective force, and an officer’s ability to build trust and effectively handle difficult and challenging situations they may come across in a modern, diverse Britain. Modern police training needs to be adequate, considerate, and tailored to the modern age to ensure it is reflective of the population the officer is policing. (Clarke &amp; Armstrong, 2012; Her Majesty’s inspectorate of Constabulary’s, 1999.) Recruitment </w:t>
      </w:r>
      <w:r>
        <w:rPr>
          <w:sz w:val="24"/>
          <w:szCs w:val="24"/>
        </w:rPr>
        <w:lastRenderedPageBreak/>
        <w:t>methods have changed to be more inclusive and to target minority groups to better represent the communities they are policing.</w:t>
      </w:r>
    </w:p>
    <w:p w14:paraId="079EF7F7" w14:textId="77777777" w:rsidR="003C0C24" w:rsidRDefault="003C0C24" w:rsidP="003C0C24">
      <w:pPr>
        <w:rPr>
          <w:sz w:val="24"/>
          <w:szCs w:val="24"/>
        </w:rPr>
      </w:pPr>
    </w:p>
    <w:p w14:paraId="789B6790" w14:textId="77777777" w:rsidR="003C0C24" w:rsidRDefault="003C0C24" w:rsidP="003C0C24">
      <w:pPr>
        <w:rPr>
          <w:sz w:val="24"/>
          <w:szCs w:val="24"/>
        </w:rPr>
      </w:pPr>
      <w:r>
        <w:rPr>
          <w:sz w:val="24"/>
          <w:szCs w:val="24"/>
        </w:rPr>
        <w:t xml:space="preserve">Research shows that diversity has a positive effect on law enforcement within communities and increases its effectiveness overall. Greater trust, more effective communication, greater cohesion, and better understanding are among the many benefits. When officers have a better understanding of the cultures around them, they are more likely to be able to provide effective mediation, provide problem solving solutions, and resolve conflict in a manner that is fair and efficient. Police forces that better represent their communities are also more likely to be sensitive to the needs of the public, regardless of their race, religion, creed, beliefs, and socio-economic status.  </w:t>
      </w:r>
      <w:sdt>
        <w:sdtPr>
          <w:rPr>
            <w:sz w:val="24"/>
            <w:szCs w:val="24"/>
          </w:rPr>
          <w:id w:val="-932204351"/>
          <w:citation/>
        </w:sdtPr>
        <w:sdtContent>
          <w:r>
            <w:rPr>
              <w:sz w:val="24"/>
              <w:szCs w:val="24"/>
            </w:rPr>
            <w:fldChar w:fldCharType="begin"/>
          </w:r>
          <w:r>
            <w:rPr>
              <w:sz w:val="24"/>
              <w:szCs w:val="24"/>
            </w:rPr>
            <w:instrText xml:space="preserve"> CITATION San23 \l 2057 </w:instrText>
          </w:r>
          <w:r>
            <w:rPr>
              <w:sz w:val="24"/>
              <w:szCs w:val="24"/>
            </w:rPr>
            <w:fldChar w:fldCharType="separate"/>
          </w:r>
          <w:r w:rsidRPr="00F90482">
            <w:rPr>
              <w:noProof/>
              <w:sz w:val="24"/>
              <w:szCs w:val="24"/>
            </w:rPr>
            <w:t>(Mcarthur, 2023)</w:t>
          </w:r>
          <w:r>
            <w:rPr>
              <w:sz w:val="24"/>
              <w:szCs w:val="24"/>
            </w:rPr>
            <w:fldChar w:fldCharType="end"/>
          </w:r>
        </w:sdtContent>
      </w:sdt>
      <w:r>
        <w:rPr>
          <w:sz w:val="24"/>
          <w:szCs w:val="24"/>
        </w:rPr>
        <w:t xml:space="preserve"> </w:t>
      </w:r>
    </w:p>
    <w:p w14:paraId="7CE0FF49" w14:textId="77777777" w:rsidR="003C0C24" w:rsidRDefault="003C0C24" w:rsidP="003C0C24">
      <w:pPr>
        <w:rPr>
          <w:sz w:val="24"/>
          <w:szCs w:val="24"/>
        </w:rPr>
      </w:pPr>
    </w:p>
    <w:p w14:paraId="5EAE9D03" w14:textId="77777777" w:rsidR="003C0C24" w:rsidRDefault="003C0C24" w:rsidP="003C0C24">
      <w:pPr>
        <w:rPr>
          <w:sz w:val="24"/>
          <w:szCs w:val="24"/>
        </w:rPr>
      </w:pPr>
      <w:r>
        <w:rPr>
          <w:sz w:val="24"/>
          <w:szCs w:val="24"/>
        </w:rPr>
        <w:t xml:space="preserve">Research conducted by the UK Government shows that nationally, diversity has improved with a slow, but steady increase in the amount of Black and ethnic minority (BAME) persons that are becoming police officers. The data shows that between 2007 and 2020 the percentage of officers from each of the Black, Asian, mixed, and “other” groups all </w:t>
      </w:r>
      <w:r w:rsidRPr="00484F4D">
        <w:rPr>
          <w:sz w:val="24"/>
          <w:szCs w:val="24"/>
        </w:rPr>
        <w:t>increased</w:t>
      </w:r>
      <w:r>
        <w:rPr>
          <w:sz w:val="24"/>
          <w:szCs w:val="24"/>
        </w:rPr>
        <w:t xml:space="preserve">, with the biggest </w:t>
      </w:r>
      <w:r w:rsidRPr="00484F4D">
        <w:rPr>
          <w:sz w:val="24"/>
          <w:szCs w:val="24"/>
        </w:rPr>
        <w:t xml:space="preserve">percentage seen </w:t>
      </w:r>
      <w:r>
        <w:rPr>
          <w:sz w:val="24"/>
          <w:szCs w:val="24"/>
        </w:rPr>
        <w:t xml:space="preserve">in the Asian ethnic group, </w:t>
      </w:r>
      <w:r w:rsidRPr="00484F4D">
        <w:rPr>
          <w:sz w:val="24"/>
          <w:szCs w:val="24"/>
        </w:rPr>
        <w:t xml:space="preserve">increasing </w:t>
      </w:r>
      <w:r>
        <w:rPr>
          <w:sz w:val="24"/>
          <w:szCs w:val="24"/>
        </w:rPr>
        <w:t>from 1.5% to 3.1%.</w:t>
      </w:r>
      <w:sdt>
        <w:sdtPr>
          <w:rPr>
            <w:sz w:val="24"/>
            <w:szCs w:val="24"/>
          </w:rPr>
          <w:id w:val="1052121272"/>
          <w:citation/>
        </w:sdtPr>
        <w:sdtContent>
          <w:r>
            <w:rPr>
              <w:sz w:val="24"/>
              <w:szCs w:val="24"/>
            </w:rPr>
            <w:fldChar w:fldCharType="begin"/>
          </w:r>
          <w:r>
            <w:rPr>
              <w:sz w:val="24"/>
              <w:szCs w:val="24"/>
            </w:rPr>
            <w:instrText xml:space="preserve"> CITATION Gov23 \l 2057 </w:instrText>
          </w:r>
          <w:r>
            <w:rPr>
              <w:sz w:val="24"/>
              <w:szCs w:val="24"/>
            </w:rPr>
            <w:fldChar w:fldCharType="separate"/>
          </w:r>
          <w:r>
            <w:rPr>
              <w:noProof/>
              <w:sz w:val="24"/>
              <w:szCs w:val="24"/>
            </w:rPr>
            <w:t xml:space="preserve"> </w:t>
          </w:r>
          <w:r w:rsidRPr="007E0008">
            <w:rPr>
              <w:noProof/>
              <w:sz w:val="24"/>
              <w:szCs w:val="24"/>
            </w:rPr>
            <w:t>(Gov.uk, 2023)</w:t>
          </w:r>
          <w:r>
            <w:rPr>
              <w:sz w:val="24"/>
              <w:szCs w:val="24"/>
            </w:rPr>
            <w:fldChar w:fldCharType="end"/>
          </w:r>
        </w:sdtContent>
      </w:sdt>
      <w:r>
        <w:rPr>
          <w:sz w:val="24"/>
          <w:szCs w:val="24"/>
        </w:rPr>
        <w:t xml:space="preserve"> </w:t>
      </w:r>
    </w:p>
    <w:p w14:paraId="6BCA61EA" w14:textId="77777777" w:rsidR="003C0C24" w:rsidRDefault="003C0C24" w:rsidP="003C0C24">
      <w:pPr>
        <w:rPr>
          <w:sz w:val="24"/>
          <w:szCs w:val="24"/>
        </w:rPr>
      </w:pPr>
    </w:p>
    <w:p w14:paraId="4E1B4871" w14:textId="77777777" w:rsidR="003C0C24" w:rsidRDefault="003C0C24" w:rsidP="003C0C24">
      <w:pPr>
        <w:rPr>
          <w:sz w:val="24"/>
          <w:szCs w:val="24"/>
        </w:rPr>
      </w:pPr>
      <w:r>
        <w:rPr>
          <w:sz w:val="24"/>
          <w:szCs w:val="24"/>
        </w:rPr>
        <w:t xml:space="preserve">Stop and search has also affected policing practices and recruitment. Mark Townsend conducted research and found that racial profiling is prevalent in communities, and black people are being unfairly targeted as “low hanging fruit.” for drug related stop searches. With black people being </w:t>
      </w:r>
      <w:r w:rsidRPr="00484F4D">
        <w:rPr>
          <w:sz w:val="24"/>
          <w:szCs w:val="24"/>
        </w:rPr>
        <w:t xml:space="preserve">stopped </w:t>
      </w:r>
      <w:r>
        <w:rPr>
          <w:sz w:val="24"/>
          <w:szCs w:val="24"/>
        </w:rPr>
        <w:t>and searched disproportionately more than white people, this makes them not want to join an organisation that is discriminating against them. Police forces are actively trying to recruit more BAME officers to change these perceptions. (Townsend, 2020)</w:t>
      </w:r>
    </w:p>
    <w:p w14:paraId="07B6E967" w14:textId="77777777" w:rsidR="003C0C24" w:rsidRDefault="003C0C24" w:rsidP="003C0C24">
      <w:pPr>
        <w:rPr>
          <w:sz w:val="24"/>
          <w:szCs w:val="24"/>
        </w:rPr>
      </w:pPr>
    </w:p>
    <w:p w14:paraId="0F24B970" w14:textId="77777777" w:rsidR="003C0C24" w:rsidRDefault="003C0C24" w:rsidP="003C0C24">
      <w:pPr>
        <w:rPr>
          <w:sz w:val="24"/>
          <w:szCs w:val="24"/>
        </w:rPr>
      </w:pPr>
      <w:r>
        <w:rPr>
          <w:sz w:val="24"/>
          <w:szCs w:val="24"/>
        </w:rPr>
        <w:t xml:space="preserve">Research has identified that modern policing requires a modern police force. Communities in Great Britain are diverse, multicultural, multi-faith and are ever-changing. Policing in the United Kingdom needs to ensure it adapts to keep up with the changing faces of the population. Whilst efforts have been made to understand that policing relies on the trust and co-operation of the people within its communities, and having a more diverse workforce has a positive effect on the public’s perception of policing organisations and its officers’ abilities to effectively deal with situations and incidents. Police forces have taken steps to improve their recruitment policies to encourage perspective BAME officers to apply so that their staff better reflect the communities they serve, which in turn will lead to better cohesion between the police and communities. It is also clear, however that more needs to be done to further diversify the police, with the percentage of Black and Ethnic Minority officers still low, despite an increase over the last few years. Cultural diversity has a massive role in neighbourhood policing and the research has shown that by making changes to </w:t>
      </w:r>
      <w:r>
        <w:rPr>
          <w:sz w:val="24"/>
          <w:szCs w:val="24"/>
        </w:rPr>
        <w:lastRenderedPageBreak/>
        <w:t>policing policies and practices, Communities will be better served, and cohesion between these communities and the police will be strengthened, leading to less crime and a better society.</w:t>
      </w:r>
    </w:p>
    <w:p w14:paraId="0EEAA6D4" w14:textId="77777777" w:rsidR="003C0C24" w:rsidRDefault="003C0C24" w:rsidP="003C0C24">
      <w:pPr>
        <w:rPr>
          <w:sz w:val="24"/>
          <w:szCs w:val="24"/>
        </w:rPr>
      </w:pPr>
    </w:p>
    <w:p w14:paraId="5B0EBBC6" w14:textId="77777777" w:rsidR="003C0C24" w:rsidRPr="00055230" w:rsidRDefault="003C0C24" w:rsidP="003C0C24">
      <w:pPr>
        <w:rPr>
          <w:u w:val="single"/>
        </w:rPr>
      </w:pPr>
      <w:r w:rsidRPr="00055230">
        <w:rPr>
          <w:u w:val="single"/>
        </w:rPr>
        <w:t>Word count: 956</w:t>
      </w:r>
    </w:p>
    <w:p w14:paraId="3711A19C" w14:textId="77777777" w:rsidR="00B052F7" w:rsidRDefault="00B052F7"/>
    <w:p w14:paraId="10F4CEAD" w14:textId="77777777" w:rsidR="003C0C24" w:rsidRPr="000D3CE1" w:rsidRDefault="003C0C24" w:rsidP="003C0C24">
      <w:pPr>
        <w:rPr>
          <w:b/>
          <w:bCs/>
          <w:u w:val="single"/>
        </w:rPr>
      </w:pPr>
      <w:r w:rsidRPr="000D3CE1">
        <w:rPr>
          <w:b/>
          <w:bCs/>
          <w:u w:val="single"/>
        </w:rPr>
        <w:t>Examine the various socio-economic and psychological characteristics which can make people vulnerable to exploitation by criminal gangs.</w:t>
      </w:r>
    </w:p>
    <w:p w14:paraId="1AA97115" w14:textId="77777777" w:rsidR="003C0C24" w:rsidRDefault="003C0C24" w:rsidP="003C0C24"/>
    <w:p w14:paraId="7163E8E0" w14:textId="77777777" w:rsidR="003C0C24" w:rsidRPr="007D69B2" w:rsidRDefault="003C0C24" w:rsidP="003C0C24">
      <w:pPr>
        <w:rPr>
          <w:sz w:val="24"/>
          <w:szCs w:val="24"/>
        </w:rPr>
      </w:pPr>
      <w:r w:rsidRPr="007D69B2">
        <w:rPr>
          <w:sz w:val="24"/>
          <w:szCs w:val="24"/>
        </w:rPr>
        <w:t xml:space="preserve">Criminal gangs in the United Kingdom often source their new recruits by targeting members of communities with various socio-economic and psychological characteristics which make them particularly vulnerable and prone to exploitation by gangs. These characteristics can make a person more likely to engage with and participate in illegal activities on behalf of gangs. Research will show that people with characteristics that are viewed as weaknesses are more likely to seek the perceived friendship and comradery that comes with being part of a gang, and the sense of belonging to a family that is so deeply desired by these vulnerable persons. In this essay I will examine some of these characteristics. </w:t>
      </w:r>
    </w:p>
    <w:p w14:paraId="20E9C6B3" w14:textId="77777777" w:rsidR="003C0C24" w:rsidRPr="007D69B2" w:rsidRDefault="003C0C24" w:rsidP="003C0C24">
      <w:pPr>
        <w:rPr>
          <w:sz w:val="24"/>
          <w:szCs w:val="24"/>
        </w:rPr>
      </w:pPr>
    </w:p>
    <w:p w14:paraId="4378751A" w14:textId="77777777" w:rsidR="003C0C24" w:rsidRPr="007D69B2" w:rsidRDefault="003C0C24" w:rsidP="003C0C24">
      <w:pPr>
        <w:rPr>
          <w:sz w:val="24"/>
          <w:szCs w:val="24"/>
        </w:rPr>
      </w:pPr>
      <w:r w:rsidRPr="007D69B2">
        <w:rPr>
          <w:sz w:val="24"/>
          <w:szCs w:val="24"/>
        </w:rPr>
        <w:t xml:space="preserve">Some social risk indicators which are often associated with exploitation and being part of a gang include the impact of ACES. Early adverse childhood experiences often have detrimental effects on young persons and can lead to them being exploited by criminal gangs. </w:t>
      </w:r>
    </w:p>
    <w:p w14:paraId="7F31497F" w14:textId="77777777" w:rsidR="003C0C24" w:rsidRPr="007D69B2" w:rsidRDefault="003C0C24" w:rsidP="003C0C24">
      <w:pPr>
        <w:rPr>
          <w:sz w:val="24"/>
          <w:szCs w:val="24"/>
        </w:rPr>
      </w:pPr>
    </w:p>
    <w:p w14:paraId="20DD9249" w14:textId="77777777" w:rsidR="003C0C24" w:rsidRPr="007D69B2" w:rsidRDefault="003C0C24" w:rsidP="003C0C24">
      <w:pPr>
        <w:rPr>
          <w:sz w:val="24"/>
          <w:szCs w:val="24"/>
        </w:rPr>
      </w:pPr>
      <w:r w:rsidRPr="007D69B2">
        <w:rPr>
          <w:sz w:val="24"/>
          <w:szCs w:val="24"/>
        </w:rPr>
        <w:t xml:space="preserve">The experiences and environments that children are exposed to in the first few years of their lives are fundamental in shaping their development in multiple areas such as education, mental health, interpersonal relationships, employment, education, and behaviour within social groups. Within the first decade of life self-control is one of the most important individual characteristics that is developed, and this can be adversely affected by early childhood experiences. Children that experience positive experiences with their parents in early life are more likely to be well socialised and have a better understanding of how people behave in a normal functioning society compared to those who experience adverse childhood experiences. (Wolff et.al, 2020) These adverse factors, among others which can lead to lack of impulse control and higher levels of psychopathy are key indicators that gangs seek to exploit when recruiting young persons into gangs. (Ashton et al. 2020) </w:t>
      </w:r>
    </w:p>
    <w:p w14:paraId="6F41CBD0" w14:textId="77777777" w:rsidR="003C0C24" w:rsidRPr="007D69B2" w:rsidRDefault="003C0C24" w:rsidP="003C0C24">
      <w:pPr>
        <w:rPr>
          <w:sz w:val="24"/>
          <w:szCs w:val="24"/>
        </w:rPr>
      </w:pPr>
    </w:p>
    <w:p w14:paraId="4A34EDD6" w14:textId="77777777" w:rsidR="003C0C24" w:rsidRPr="007D69B2" w:rsidRDefault="003C0C24" w:rsidP="003C0C24">
      <w:pPr>
        <w:rPr>
          <w:sz w:val="24"/>
          <w:szCs w:val="24"/>
        </w:rPr>
      </w:pPr>
      <w:r w:rsidRPr="007D69B2">
        <w:rPr>
          <w:sz w:val="24"/>
          <w:szCs w:val="24"/>
        </w:rPr>
        <w:t xml:space="preserve">ASP (antisocial personality disorder) can be attributed as a leading factor when considering how people who have developed ACES in young life enter the world of criminality and gang culture. Individuals with antisocial personality traits can be more vulnerable to exploitation </w:t>
      </w:r>
      <w:r w:rsidRPr="007D69B2">
        <w:rPr>
          <w:sz w:val="24"/>
          <w:szCs w:val="24"/>
        </w:rPr>
        <w:lastRenderedPageBreak/>
        <w:t xml:space="preserve">by gangs as their peers are more likely to encourage and affirm their attitudes about the world. Research conducted on adults in prison demonstrated that traits such as aggressive and impulsive behaviour were strong indicators of memberships to gangs. (Egan and Beadman, 2011). The authors of this report hypothesised that these individuals who presented with these traits felt less attachment to peers who were perceived as good influences, and a stronger attachment to peers within gangs and criminal affiliations who praised, encouraged, and respected them for their antisocial behaviour. </w:t>
      </w:r>
    </w:p>
    <w:p w14:paraId="6B950D92" w14:textId="77777777" w:rsidR="003C0C24" w:rsidRPr="007D69B2" w:rsidRDefault="003C0C24" w:rsidP="003C0C24">
      <w:pPr>
        <w:rPr>
          <w:sz w:val="24"/>
          <w:szCs w:val="24"/>
        </w:rPr>
      </w:pPr>
      <w:r w:rsidRPr="007D69B2">
        <w:rPr>
          <w:sz w:val="24"/>
          <w:szCs w:val="24"/>
        </w:rPr>
        <w:t>Poverty and poor economic standing are also key vulnerabilities which are targeted by criminal gangs. Poorer people tend to live in social housing and older properties, in deprived areas where employment is low and crime rates are higher</w:t>
      </w:r>
      <w:r w:rsidRPr="007D69B2">
        <w:rPr>
          <w:color w:val="FF0000"/>
          <w:sz w:val="24"/>
          <w:szCs w:val="24"/>
        </w:rPr>
        <w:t>.</w:t>
      </w:r>
      <w:r w:rsidRPr="007D69B2">
        <w:rPr>
          <w:sz w:val="24"/>
          <w:szCs w:val="24"/>
        </w:rPr>
        <w:t xml:space="preserve"> Where there are low</w:t>
      </w:r>
      <w:r w:rsidRPr="007D69B2">
        <w:rPr>
          <w:color w:val="FF0000"/>
          <w:sz w:val="24"/>
          <w:szCs w:val="24"/>
        </w:rPr>
        <w:t xml:space="preserve"> </w:t>
      </w:r>
      <w:r w:rsidRPr="007D69B2">
        <w:rPr>
          <w:sz w:val="24"/>
          <w:szCs w:val="24"/>
        </w:rPr>
        <w:t>employment opportunities the rates of pay available for work are</w:t>
      </w:r>
      <w:r w:rsidRPr="007D69B2">
        <w:rPr>
          <w:color w:val="FF0000"/>
          <w:sz w:val="24"/>
          <w:szCs w:val="24"/>
        </w:rPr>
        <w:t xml:space="preserve"> </w:t>
      </w:r>
      <w:r w:rsidRPr="007D69B2">
        <w:rPr>
          <w:sz w:val="24"/>
          <w:szCs w:val="24"/>
        </w:rPr>
        <w:t xml:space="preserve">also low resulting in higher levels of criminal activity. These are factors that generate conditions suitable for the rise of gangs. This is more-so prevalent in areas where there is mass migration from foreign countries. Where people require livelihood to survive, and the services such as social services, police, charities, and councils are over-stretched and do not have the capacity to be able to sufficiently meet the needs of these people, this can be exploited by gangs who can offer money and housing where desperation is present. (J. Vigil, 2018) </w:t>
      </w:r>
    </w:p>
    <w:p w14:paraId="50368A48" w14:textId="77777777" w:rsidR="003C0C24" w:rsidRPr="007D69B2" w:rsidRDefault="003C0C24" w:rsidP="003C0C24">
      <w:pPr>
        <w:rPr>
          <w:sz w:val="24"/>
          <w:szCs w:val="24"/>
        </w:rPr>
      </w:pPr>
    </w:p>
    <w:p w14:paraId="5763C9E4" w14:textId="77777777" w:rsidR="003C0C24" w:rsidRPr="007D69B2" w:rsidRDefault="003C0C24" w:rsidP="003C0C24">
      <w:pPr>
        <w:rPr>
          <w:sz w:val="24"/>
          <w:szCs w:val="24"/>
        </w:rPr>
      </w:pPr>
      <w:r w:rsidRPr="007D69B2">
        <w:rPr>
          <w:sz w:val="24"/>
          <w:szCs w:val="24"/>
        </w:rPr>
        <w:t>Studies have found that coercive control is often attributed as a leading cause for women to be exploited by criminal gangs. Particularly males who identify attachment issues and traumatic experiences in their female targets’ lives that can cause them</w:t>
      </w:r>
      <w:r w:rsidRPr="007D69B2">
        <w:rPr>
          <w:color w:val="FF0000"/>
          <w:sz w:val="24"/>
          <w:szCs w:val="24"/>
        </w:rPr>
        <w:t xml:space="preserve"> </w:t>
      </w:r>
      <w:r w:rsidRPr="007D69B2">
        <w:rPr>
          <w:sz w:val="24"/>
          <w:szCs w:val="24"/>
        </w:rPr>
        <w:t>to be more vulnerable to exploitation by gang members who</w:t>
      </w:r>
      <w:r w:rsidRPr="007D69B2">
        <w:rPr>
          <w:color w:val="FF0000"/>
          <w:sz w:val="24"/>
          <w:szCs w:val="24"/>
        </w:rPr>
        <w:t xml:space="preserve"> </w:t>
      </w:r>
      <w:r w:rsidRPr="007D69B2">
        <w:rPr>
          <w:sz w:val="24"/>
          <w:szCs w:val="24"/>
        </w:rPr>
        <w:t>create the illusion or impression of a romantic connection and relationship before subjecting their victim to violence and threats. (</w:t>
      </w:r>
      <w:proofErr w:type="spellStart"/>
      <w:r w:rsidRPr="007D69B2">
        <w:rPr>
          <w:sz w:val="24"/>
          <w:szCs w:val="24"/>
        </w:rPr>
        <w:t>Densley</w:t>
      </w:r>
      <w:proofErr w:type="spellEnd"/>
      <w:r w:rsidRPr="007D69B2">
        <w:rPr>
          <w:sz w:val="24"/>
          <w:szCs w:val="24"/>
        </w:rPr>
        <w:t xml:space="preserve"> et al.,2013) This is often referred to as the “Lover Boy.” Method, which is widely used in human trafficking. (Toth, 2020.) </w:t>
      </w:r>
    </w:p>
    <w:p w14:paraId="2A451296" w14:textId="77777777" w:rsidR="003C0C24" w:rsidRPr="007D69B2" w:rsidRDefault="003C0C24" w:rsidP="003C0C24">
      <w:pPr>
        <w:rPr>
          <w:sz w:val="24"/>
          <w:szCs w:val="24"/>
        </w:rPr>
      </w:pPr>
    </w:p>
    <w:p w14:paraId="36E6C767" w14:textId="77777777" w:rsidR="003C0C24" w:rsidRPr="007D69B2" w:rsidRDefault="003C0C24" w:rsidP="003C0C24">
      <w:pPr>
        <w:rPr>
          <w:sz w:val="24"/>
          <w:szCs w:val="24"/>
        </w:rPr>
      </w:pPr>
      <w:r w:rsidRPr="007D69B2">
        <w:rPr>
          <w:sz w:val="24"/>
          <w:szCs w:val="24"/>
        </w:rPr>
        <w:t>Gang members often use the bond of trust built up between them and their victims to obtain sensitive and personal information and to</w:t>
      </w:r>
      <w:r w:rsidRPr="007D69B2">
        <w:rPr>
          <w:color w:val="FF0000"/>
          <w:sz w:val="24"/>
          <w:szCs w:val="24"/>
        </w:rPr>
        <w:t xml:space="preserve"> </w:t>
      </w:r>
      <w:r w:rsidRPr="007D69B2">
        <w:rPr>
          <w:sz w:val="24"/>
          <w:szCs w:val="24"/>
        </w:rPr>
        <w:t>control their finances by building a dependency. They tell them information such as their fears, their hopes, their dreams, aspirations, and past experiences to build a perceived connection. (Hayes and Jefferies, 2016.) Coercive control is an effective form of abuse utilised against women because it uses sensitive information which has been shared over the course of the relationship which can initially appear to be shared</w:t>
      </w:r>
      <w:r w:rsidRPr="007D69B2">
        <w:rPr>
          <w:color w:val="FF0000"/>
          <w:sz w:val="24"/>
          <w:szCs w:val="24"/>
        </w:rPr>
        <w:t xml:space="preserve"> </w:t>
      </w:r>
      <w:r w:rsidRPr="007D69B2">
        <w:rPr>
          <w:sz w:val="24"/>
          <w:szCs w:val="24"/>
        </w:rPr>
        <w:t>in good faith, is then weaponised to influence, gain control and force victims into committing criminality as part of a gang. (</w:t>
      </w:r>
      <w:proofErr w:type="spellStart"/>
      <w:r w:rsidRPr="007D69B2">
        <w:rPr>
          <w:sz w:val="24"/>
          <w:szCs w:val="24"/>
        </w:rPr>
        <w:t>Bettinson</w:t>
      </w:r>
      <w:proofErr w:type="spellEnd"/>
      <w:r w:rsidRPr="007D69B2">
        <w:rPr>
          <w:sz w:val="24"/>
          <w:szCs w:val="24"/>
        </w:rPr>
        <w:t xml:space="preserve"> and Bishop, 2015; </w:t>
      </w:r>
      <w:proofErr w:type="spellStart"/>
      <w:r w:rsidRPr="007D69B2">
        <w:rPr>
          <w:sz w:val="24"/>
          <w:szCs w:val="24"/>
        </w:rPr>
        <w:t>Velonis</w:t>
      </w:r>
      <w:proofErr w:type="spellEnd"/>
      <w:r w:rsidRPr="007D69B2">
        <w:rPr>
          <w:sz w:val="24"/>
          <w:szCs w:val="24"/>
        </w:rPr>
        <w:t>, 2016.)</w:t>
      </w:r>
    </w:p>
    <w:p w14:paraId="4E7C9C20" w14:textId="77777777" w:rsidR="003C0C24" w:rsidRPr="007D69B2" w:rsidRDefault="003C0C24" w:rsidP="003C0C24">
      <w:pPr>
        <w:rPr>
          <w:sz w:val="24"/>
          <w:szCs w:val="24"/>
        </w:rPr>
      </w:pPr>
    </w:p>
    <w:p w14:paraId="1D7E4C12" w14:textId="77777777" w:rsidR="003C0C24" w:rsidRPr="007D69B2" w:rsidRDefault="003C0C24" w:rsidP="003C0C24">
      <w:pPr>
        <w:rPr>
          <w:sz w:val="24"/>
          <w:szCs w:val="24"/>
        </w:rPr>
      </w:pPr>
      <w:r w:rsidRPr="007D69B2">
        <w:rPr>
          <w:sz w:val="24"/>
          <w:szCs w:val="24"/>
        </w:rPr>
        <w:t>Gangs target people that are impoverished and</w:t>
      </w:r>
      <w:r w:rsidRPr="007D69B2">
        <w:rPr>
          <w:color w:val="FF0000"/>
          <w:sz w:val="24"/>
          <w:szCs w:val="24"/>
        </w:rPr>
        <w:t xml:space="preserve"> </w:t>
      </w:r>
      <w:r w:rsidRPr="007D69B2">
        <w:rPr>
          <w:sz w:val="24"/>
          <w:szCs w:val="24"/>
        </w:rPr>
        <w:t>with poor socio-economic standing. They also target people with characteristics such as mental health disorders and</w:t>
      </w:r>
      <w:r w:rsidRPr="007D69B2">
        <w:rPr>
          <w:color w:val="FF0000"/>
          <w:sz w:val="24"/>
          <w:szCs w:val="24"/>
        </w:rPr>
        <w:t xml:space="preserve"> </w:t>
      </w:r>
      <w:r w:rsidRPr="007D69B2">
        <w:rPr>
          <w:sz w:val="24"/>
          <w:szCs w:val="24"/>
        </w:rPr>
        <w:t xml:space="preserve">childhood trauma such as ACES. They also use relationships to explore vulnerabilities to exploit these people to their financial and personal gains. Criminal Organisations identify children from a </w:t>
      </w:r>
      <w:r w:rsidRPr="007D69B2">
        <w:rPr>
          <w:sz w:val="24"/>
          <w:szCs w:val="24"/>
        </w:rPr>
        <w:lastRenderedPageBreak/>
        <w:t>young age with adverse childhood experiences so that they can groom them by reinforcing and encouraging their views and behaviours. Criminal Organisations also identify that people who rely on the assistance of government and other agencies who offer support when they need it most are being let down as the services are over-stretched and unable to support the people that need it most.</w:t>
      </w:r>
    </w:p>
    <w:p w14:paraId="11391D38" w14:textId="77777777" w:rsidR="003C0C24" w:rsidRPr="007D69B2" w:rsidRDefault="003C0C24" w:rsidP="003C0C24">
      <w:pPr>
        <w:rPr>
          <w:sz w:val="24"/>
          <w:szCs w:val="24"/>
        </w:rPr>
      </w:pPr>
    </w:p>
    <w:p w14:paraId="5722962E" w14:textId="77777777" w:rsidR="003C0C24" w:rsidRPr="007D69B2" w:rsidRDefault="003C0C24" w:rsidP="003C0C24">
      <w:pPr>
        <w:rPr>
          <w:sz w:val="24"/>
          <w:szCs w:val="24"/>
        </w:rPr>
      </w:pPr>
      <w:r w:rsidRPr="007D69B2">
        <w:rPr>
          <w:sz w:val="24"/>
          <w:szCs w:val="24"/>
        </w:rPr>
        <w:t xml:space="preserve">Immigration is a challenge as people who are new to the country often do not know where to go for employment opportunities. Where they move to dilapidated communities which are poor and predominantly contain people with low social standing, they often have nowhere else to turn and must take the only opportunity to survive that is presented to them. Gangs also target vulnerable women by forging both platonic and romantic relationships with them to build trust, gather information and build a dependency on them with a view to exploit them for their gain. </w:t>
      </w:r>
    </w:p>
    <w:p w14:paraId="64E83C53" w14:textId="77777777" w:rsidR="003C0C24" w:rsidRDefault="003C0C24" w:rsidP="003C0C24">
      <w:pPr>
        <w:rPr>
          <w:rFonts w:cstheme="minorHAnsi"/>
          <w:sz w:val="24"/>
          <w:szCs w:val="24"/>
        </w:rPr>
      </w:pPr>
    </w:p>
    <w:p w14:paraId="3C5F1F48" w14:textId="77777777" w:rsidR="003C0C24" w:rsidRPr="00055230" w:rsidRDefault="003C0C24" w:rsidP="003C0C24">
      <w:pPr>
        <w:rPr>
          <w:rFonts w:cstheme="minorHAnsi"/>
          <w:sz w:val="24"/>
          <w:szCs w:val="24"/>
          <w:u w:val="single"/>
        </w:rPr>
      </w:pPr>
      <w:r w:rsidRPr="00055230">
        <w:rPr>
          <w:rFonts w:cstheme="minorHAnsi"/>
          <w:sz w:val="24"/>
          <w:szCs w:val="24"/>
          <w:u w:val="single"/>
        </w:rPr>
        <w:t>Word count: 983.</w:t>
      </w:r>
    </w:p>
    <w:p w14:paraId="1428BFCD" w14:textId="6895E548" w:rsidR="003C0C24" w:rsidRDefault="003C0C24"/>
    <w:p w14:paraId="5E3F03B9" w14:textId="77777777" w:rsidR="003C0C24" w:rsidRPr="00B06788" w:rsidRDefault="003C0C24" w:rsidP="003C0C24">
      <w:pPr>
        <w:rPr>
          <w:rFonts w:cstheme="minorHAnsi"/>
          <w:b/>
          <w:bCs/>
          <w:sz w:val="24"/>
          <w:szCs w:val="24"/>
          <w:u w:val="single"/>
        </w:rPr>
      </w:pPr>
      <w:r w:rsidRPr="00B06788">
        <w:rPr>
          <w:rFonts w:cstheme="minorHAnsi"/>
          <w:b/>
          <w:bCs/>
          <w:sz w:val="24"/>
          <w:szCs w:val="24"/>
          <w:u w:val="single"/>
        </w:rPr>
        <w:t xml:space="preserve">Is MAPPA an effective means of managing violent and sexual offenders? What increases or detracts from its effectiveness? </w:t>
      </w:r>
    </w:p>
    <w:p w14:paraId="327EC9D1" w14:textId="77777777" w:rsidR="003C0C24" w:rsidRPr="00B06788" w:rsidRDefault="003C0C24" w:rsidP="003C0C24">
      <w:pPr>
        <w:rPr>
          <w:rFonts w:cstheme="minorHAnsi"/>
          <w:b/>
          <w:bCs/>
          <w:sz w:val="24"/>
          <w:szCs w:val="24"/>
          <w:u w:val="single"/>
        </w:rPr>
      </w:pPr>
    </w:p>
    <w:p w14:paraId="45112932" w14:textId="77777777" w:rsidR="003C0C24" w:rsidRPr="00B06788" w:rsidRDefault="003C0C24" w:rsidP="003C0C24">
      <w:pPr>
        <w:rPr>
          <w:rFonts w:cstheme="minorHAnsi"/>
          <w:sz w:val="24"/>
          <w:szCs w:val="24"/>
        </w:rPr>
      </w:pPr>
      <w:r w:rsidRPr="00B06788">
        <w:rPr>
          <w:rFonts w:cstheme="minorHAnsi"/>
          <w:sz w:val="24"/>
          <w:szCs w:val="24"/>
        </w:rPr>
        <w:t>MAPPA, or Multi-Agency Public Protection Arrangements was introduced in 2000 in England and Wales to better manage and monitor violent and sexual offenders. The Police, His Majesty’s prison service and the National Probation Service has a legal obligation to mutually aid each other to ensure offenders are managed correctly. (Ministry Of Justice,2021) The effectiveness of MAPPA can be measured in many ways, research will show that key areas which increase or subtract from its effectiveness include Collaboration and Communication Support services</w:t>
      </w:r>
      <w:r>
        <w:rPr>
          <w:rFonts w:cstheme="minorHAnsi"/>
          <w:sz w:val="24"/>
          <w:szCs w:val="24"/>
        </w:rPr>
        <w:t>/YOS</w:t>
      </w:r>
      <w:r w:rsidRPr="00B06788">
        <w:rPr>
          <w:rFonts w:cstheme="minorHAnsi"/>
          <w:sz w:val="24"/>
          <w:szCs w:val="24"/>
        </w:rPr>
        <w:t xml:space="preserve">, and Resources.  </w:t>
      </w:r>
    </w:p>
    <w:p w14:paraId="3E664DF0" w14:textId="77777777" w:rsidR="003C0C24" w:rsidRDefault="003C0C24" w:rsidP="003C0C24">
      <w:pPr>
        <w:rPr>
          <w:rFonts w:cstheme="minorHAnsi"/>
          <w:sz w:val="24"/>
          <w:szCs w:val="24"/>
        </w:rPr>
      </w:pPr>
    </w:p>
    <w:p w14:paraId="75C8C3CE" w14:textId="77777777" w:rsidR="003C0C24" w:rsidRPr="00B06788" w:rsidRDefault="003C0C24" w:rsidP="003C0C24">
      <w:pPr>
        <w:rPr>
          <w:rFonts w:cstheme="minorHAnsi"/>
          <w:sz w:val="24"/>
          <w:szCs w:val="24"/>
        </w:rPr>
      </w:pPr>
    </w:p>
    <w:p w14:paraId="320CAAF3" w14:textId="77777777" w:rsidR="003C0C24" w:rsidRPr="00B06788" w:rsidRDefault="003C0C24" w:rsidP="003C0C24">
      <w:pPr>
        <w:rPr>
          <w:rFonts w:cstheme="minorHAnsi"/>
          <w:b/>
          <w:bCs/>
          <w:sz w:val="24"/>
          <w:szCs w:val="24"/>
        </w:rPr>
      </w:pPr>
      <w:r w:rsidRPr="00B06788">
        <w:rPr>
          <w:rFonts w:cstheme="minorHAnsi"/>
          <w:b/>
          <w:bCs/>
          <w:sz w:val="24"/>
          <w:szCs w:val="24"/>
        </w:rPr>
        <w:t>Collaboration and Communication</w:t>
      </w:r>
    </w:p>
    <w:p w14:paraId="2B070285" w14:textId="77777777" w:rsidR="003C0C24" w:rsidRPr="00B06788" w:rsidRDefault="003C0C24" w:rsidP="003C0C24">
      <w:pPr>
        <w:rPr>
          <w:rFonts w:cstheme="minorHAnsi"/>
          <w:sz w:val="24"/>
          <w:szCs w:val="24"/>
        </w:rPr>
      </w:pPr>
      <w:r w:rsidRPr="00B06788">
        <w:rPr>
          <w:rFonts w:cstheme="minorHAnsi"/>
          <w:sz w:val="24"/>
          <w:szCs w:val="24"/>
        </w:rPr>
        <w:t xml:space="preserve">Research indicates that the Police and probation service, who are the two founding members of MAPPA enjoy the benefit of having the most extensive collaboration, whereas other organisations and services such as the prison service, YOS, social services tend to be collaborated with much less. (Wood et al. 2007) however, it is reported that the prison service tends to retain information relating to prisoners and criminal activity “in-house” and did not share this information with the police or other agencies, this is detrimental as </w:t>
      </w:r>
      <w:proofErr w:type="spellStart"/>
      <w:r w:rsidRPr="00B06788">
        <w:rPr>
          <w:rFonts w:cstheme="minorHAnsi"/>
          <w:sz w:val="24"/>
          <w:szCs w:val="24"/>
        </w:rPr>
        <w:t>Maden</w:t>
      </w:r>
      <w:proofErr w:type="spellEnd"/>
      <w:r w:rsidRPr="00B06788">
        <w:rPr>
          <w:rFonts w:cstheme="minorHAnsi"/>
          <w:sz w:val="24"/>
          <w:szCs w:val="24"/>
        </w:rPr>
        <w:t xml:space="preserve"> (2007) states that as much information as possible is required in order to produce an effective risk assessment, and subjects’ behaviours within the prison system, such as threats </w:t>
      </w:r>
      <w:r w:rsidRPr="00B06788">
        <w:rPr>
          <w:rFonts w:cstheme="minorHAnsi"/>
          <w:sz w:val="24"/>
          <w:szCs w:val="24"/>
        </w:rPr>
        <w:lastRenderedPageBreak/>
        <w:t xml:space="preserve">to kill, violent disorder and offenses could form a major part of a risk assessment. (Nash &amp; Walker, 2009) </w:t>
      </w:r>
    </w:p>
    <w:p w14:paraId="46F884C7" w14:textId="77777777" w:rsidR="003C0C24" w:rsidRPr="00B06788" w:rsidRDefault="003C0C24" w:rsidP="003C0C24">
      <w:pPr>
        <w:rPr>
          <w:rFonts w:cstheme="minorHAnsi"/>
          <w:sz w:val="24"/>
          <w:szCs w:val="24"/>
        </w:rPr>
      </w:pPr>
      <w:r w:rsidRPr="00B06788">
        <w:rPr>
          <w:rFonts w:cstheme="minorHAnsi"/>
          <w:sz w:val="24"/>
          <w:szCs w:val="24"/>
        </w:rPr>
        <w:t>When assessing barriers to communication, Youth Offending Team services also indicated concerns about information sharing, and where the information may end up. Major concerns raised in reports were about potential harm to agency confidentiality. One-third of agencies have suggested that public protection should not override agency confidentiality. With agencies reporting these concerns there are still barriers to overcome in terms of communication between MAPPA agencies to enable more effective information sharing. This detracts from MAPPA’s effectiveness.</w:t>
      </w:r>
    </w:p>
    <w:p w14:paraId="470AA5AD" w14:textId="77777777" w:rsidR="003C0C24" w:rsidRDefault="003C0C24" w:rsidP="003C0C24">
      <w:pPr>
        <w:rPr>
          <w:rFonts w:cstheme="minorHAnsi"/>
          <w:sz w:val="24"/>
          <w:szCs w:val="24"/>
        </w:rPr>
      </w:pPr>
    </w:p>
    <w:p w14:paraId="7E82C073" w14:textId="77777777" w:rsidR="003C0C24" w:rsidRPr="00B06788" w:rsidRDefault="003C0C24" w:rsidP="003C0C24">
      <w:pPr>
        <w:rPr>
          <w:rFonts w:cstheme="minorHAnsi"/>
          <w:sz w:val="24"/>
          <w:szCs w:val="24"/>
        </w:rPr>
      </w:pPr>
    </w:p>
    <w:p w14:paraId="791DFD7A" w14:textId="77777777" w:rsidR="003C0C24" w:rsidRPr="00DE23DA" w:rsidRDefault="003C0C24" w:rsidP="003C0C24">
      <w:pPr>
        <w:rPr>
          <w:rFonts w:cstheme="minorHAnsi"/>
          <w:b/>
          <w:bCs/>
          <w:sz w:val="24"/>
          <w:szCs w:val="24"/>
        </w:rPr>
      </w:pPr>
      <w:r w:rsidRPr="00B06788">
        <w:rPr>
          <w:rFonts w:cstheme="minorHAnsi"/>
          <w:b/>
          <w:bCs/>
          <w:sz w:val="24"/>
          <w:szCs w:val="24"/>
        </w:rPr>
        <w:t>Support services</w:t>
      </w:r>
      <w:r>
        <w:rPr>
          <w:rFonts w:cstheme="minorHAnsi"/>
          <w:b/>
          <w:bCs/>
          <w:sz w:val="24"/>
          <w:szCs w:val="24"/>
        </w:rPr>
        <w:t xml:space="preserve"> / YOS</w:t>
      </w:r>
    </w:p>
    <w:p w14:paraId="0E921B59" w14:textId="77777777" w:rsidR="003C0C24" w:rsidRPr="00B06788" w:rsidRDefault="003C0C24" w:rsidP="003C0C24">
      <w:pPr>
        <w:rPr>
          <w:rFonts w:cstheme="minorHAnsi"/>
          <w:sz w:val="24"/>
          <w:szCs w:val="24"/>
        </w:rPr>
      </w:pPr>
      <w:r w:rsidRPr="00B06788">
        <w:rPr>
          <w:rFonts w:cstheme="minorHAnsi"/>
          <w:sz w:val="24"/>
          <w:szCs w:val="24"/>
        </w:rPr>
        <w:t>The Youth Offending Service is extremely important for individuals under the age of 18. Reports have identified gaps in the transitioning period between YOS and adult supervision under the Probation Service when they turn 18. Lack of understanding of the child and insufficient supervision and support are some of the highlighted issues that detracts from the effectiveness of MAPPA following this transition.</w:t>
      </w:r>
    </w:p>
    <w:p w14:paraId="162FD9B6" w14:textId="77777777" w:rsidR="003C0C24" w:rsidRPr="00B06788" w:rsidRDefault="003C0C24" w:rsidP="003C0C24">
      <w:pPr>
        <w:rPr>
          <w:rFonts w:cstheme="minorHAnsi"/>
          <w:sz w:val="24"/>
          <w:szCs w:val="24"/>
        </w:rPr>
      </w:pPr>
      <w:r w:rsidRPr="00B06788">
        <w:rPr>
          <w:rFonts w:cstheme="minorHAnsi"/>
          <w:sz w:val="24"/>
          <w:szCs w:val="24"/>
        </w:rPr>
        <w:t>Research indicates that this transitional period entering adulthood is referred to as the peak age of offending for MAPPA managed individuals. It is therefore important that these people are more effectively managed to reduce the risk of them whilst at the height of their offending careers. (</w:t>
      </w:r>
      <w:proofErr w:type="spellStart"/>
      <w:r w:rsidRPr="00B06788">
        <w:rPr>
          <w:rFonts w:cstheme="minorHAnsi"/>
          <w:sz w:val="24"/>
          <w:szCs w:val="24"/>
        </w:rPr>
        <w:t>Lundrigan</w:t>
      </w:r>
      <w:proofErr w:type="spellEnd"/>
      <w:r w:rsidRPr="00B06788">
        <w:rPr>
          <w:rFonts w:cstheme="minorHAnsi"/>
          <w:sz w:val="24"/>
          <w:szCs w:val="24"/>
        </w:rPr>
        <w:t xml:space="preserve">, Mann &amp; Specht, 2023) </w:t>
      </w:r>
    </w:p>
    <w:p w14:paraId="44BFCD52" w14:textId="77777777" w:rsidR="003C0C24" w:rsidRDefault="003C0C24" w:rsidP="003C0C24">
      <w:pPr>
        <w:rPr>
          <w:rFonts w:cstheme="minorHAnsi"/>
          <w:sz w:val="24"/>
          <w:szCs w:val="24"/>
        </w:rPr>
      </w:pPr>
    </w:p>
    <w:p w14:paraId="0D349118" w14:textId="77777777" w:rsidR="003C0C24" w:rsidRPr="00B06788" w:rsidRDefault="003C0C24" w:rsidP="003C0C24">
      <w:pPr>
        <w:rPr>
          <w:rFonts w:cstheme="minorHAnsi"/>
          <w:sz w:val="24"/>
          <w:szCs w:val="24"/>
        </w:rPr>
      </w:pPr>
    </w:p>
    <w:p w14:paraId="34AEF214" w14:textId="77777777" w:rsidR="003C0C24" w:rsidRPr="00B06788" w:rsidRDefault="003C0C24" w:rsidP="003C0C24">
      <w:pPr>
        <w:rPr>
          <w:rFonts w:cstheme="minorHAnsi"/>
          <w:b/>
          <w:bCs/>
          <w:sz w:val="24"/>
          <w:szCs w:val="24"/>
        </w:rPr>
      </w:pPr>
      <w:r w:rsidRPr="00B06788">
        <w:rPr>
          <w:rFonts w:cstheme="minorHAnsi"/>
          <w:b/>
          <w:bCs/>
          <w:sz w:val="24"/>
          <w:szCs w:val="24"/>
        </w:rPr>
        <w:t>Resources</w:t>
      </w:r>
    </w:p>
    <w:p w14:paraId="3689B11F" w14:textId="77777777" w:rsidR="003C0C24" w:rsidRPr="00B06788" w:rsidRDefault="003C0C24" w:rsidP="003C0C24">
      <w:pPr>
        <w:rPr>
          <w:rFonts w:cstheme="minorHAnsi"/>
          <w:sz w:val="24"/>
          <w:szCs w:val="24"/>
        </w:rPr>
      </w:pPr>
      <w:r w:rsidRPr="00B06788">
        <w:rPr>
          <w:rFonts w:cstheme="minorHAnsi"/>
          <w:sz w:val="24"/>
          <w:szCs w:val="24"/>
        </w:rPr>
        <w:t xml:space="preserve">To be able to be successful and provide a service in which effective risk assessments can be produced and MAPPA practitioners can manage violent and sexual offenders, sufficient resources must be available. There is a plethora of variables which make each case unique and present its own challenges. These variables mean the number of meetings, length and required practitioners is different each time and a standardisation are not possible to track required resources. MAPPA is becoming more resource intensive with the rise in mental-health and domestic related crime issues being reported. It has been reported that agencies do not always have the resources required to be able to provide the correct practitioners to MAPPA panel meetings, which in turn negatively affected the progress and effectiveness of meetings. (Mann &amp; </w:t>
      </w:r>
      <w:proofErr w:type="spellStart"/>
      <w:r w:rsidRPr="00B06788">
        <w:rPr>
          <w:rFonts w:cstheme="minorHAnsi"/>
          <w:sz w:val="24"/>
          <w:szCs w:val="24"/>
        </w:rPr>
        <w:t>Lundrigan</w:t>
      </w:r>
      <w:proofErr w:type="spellEnd"/>
      <w:r w:rsidRPr="00B06788">
        <w:rPr>
          <w:rFonts w:cstheme="minorHAnsi"/>
          <w:sz w:val="24"/>
          <w:szCs w:val="24"/>
        </w:rPr>
        <w:t>, 2023)</w:t>
      </w:r>
    </w:p>
    <w:p w14:paraId="5B5CD384" w14:textId="77777777" w:rsidR="003C0C24" w:rsidRDefault="003C0C24" w:rsidP="003C0C24">
      <w:pPr>
        <w:rPr>
          <w:rFonts w:cstheme="minorHAnsi"/>
          <w:sz w:val="24"/>
          <w:szCs w:val="24"/>
        </w:rPr>
      </w:pPr>
    </w:p>
    <w:p w14:paraId="132B6651" w14:textId="77777777" w:rsidR="003C0C24" w:rsidRDefault="003C0C24" w:rsidP="003C0C24">
      <w:pPr>
        <w:rPr>
          <w:rFonts w:cstheme="minorHAnsi"/>
          <w:sz w:val="24"/>
          <w:szCs w:val="24"/>
        </w:rPr>
      </w:pPr>
      <w:r>
        <w:rPr>
          <w:rFonts w:cstheme="minorHAnsi"/>
          <w:sz w:val="24"/>
          <w:szCs w:val="24"/>
        </w:rPr>
        <w:t xml:space="preserve">A report published by The Criminal Justice Joint Inspection found that the right people are being referred to MAPPA. Agencies that participate in MAPPA meetings appear to be focussed and demonstrated that having a collected group of agencies provided knowledge </w:t>
      </w:r>
      <w:r>
        <w:rPr>
          <w:rFonts w:cstheme="minorHAnsi"/>
          <w:sz w:val="24"/>
          <w:szCs w:val="24"/>
        </w:rPr>
        <w:lastRenderedPageBreak/>
        <w:t>which was able to improve access to services and, in some cases achieve outcomes that would not have been available without MAPPA meetings. Another function of note is that MAPPA management also brings valuable oversight in the most complex cases and enables better scrutiny of services’ actions and inaction when considering management of violent and sexual offenders.</w:t>
      </w:r>
      <w:r w:rsidRPr="002916E7">
        <w:t xml:space="preserve"> </w:t>
      </w:r>
      <w:r>
        <w:t>(Criminal Justice Joint Inspection, 2022)</w:t>
      </w:r>
    </w:p>
    <w:p w14:paraId="0300F278" w14:textId="77777777" w:rsidR="003C0C24" w:rsidRPr="00B06788" w:rsidRDefault="003C0C24" w:rsidP="003C0C24">
      <w:pPr>
        <w:rPr>
          <w:rFonts w:cstheme="minorHAnsi"/>
          <w:sz w:val="24"/>
          <w:szCs w:val="24"/>
        </w:rPr>
      </w:pPr>
    </w:p>
    <w:p w14:paraId="56628C2E" w14:textId="77777777" w:rsidR="003C0C24" w:rsidRPr="00B06788" w:rsidRDefault="003C0C24" w:rsidP="003C0C24">
      <w:pPr>
        <w:rPr>
          <w:rFonts w:cstheme="minorHAnsi"/>
          <w:sz w:val="24"/>
          <w:szCs w:val="24"/>
        </w:rPr>
      </w:pPr>
      <w:r w:rsidRPr="00B06788">
        <w:rPr>
          <w:rFonts w:cstheme="minorHAnsi"/>
          <w:sz w:val="24"/>
          <w:szCs w:val="24"/>
        </w:rPr>
        <w:t xml:space="preserve">MAPPA is a well-respected and valued means of managing violent and sexual offenders. MAPPA practitioners utilise their skillsets to come together and have discussions based on their experiences in their field of expertise, then through collaboration underpinned by MAPPA guidelines a mutual understanding is achieved, and an informed, structured plan can be put in place. Research shows that re-offending rates where MAPPA is utilised is significantly less than where it is not utilised. The proven one-year reoffending rates nationally are between 30.0% and 31.3%, however where MAPPA is used the proven one-year reoffending rate is more than halved and is recorded as 12.2%. (Mann &amp; Lundrigan,2023). </w:t>
      </w:r>
    </w:p>
    <w:p w14:paraId="1DA8AF76" w14:textId="77777777" w:rsidR="003C0C24" w:rsidRDefault="003C0C24" w:rsidP="003C0C24">
      <w:pPr>
        <w:rPr>
          <w:rFonts w:cstheme="minorHAnsi"/>
          <w:sz w:val="24"/>
          <w:szCs w:val="24"/>
        </w:rPr>
      </w:pPr>
    </w:p>
    <w:p w14:paraId="6B5FF7D0" w14:textId="77777777" w:rsidR="003C0C24" w:rsidRPr="00B06788" w:rsidRDefault="003C0C24" w:rsidP="003C0C24">
      <w:pPr>
        <w:rPr>
          <w:rFonts w:cstheme="minorHAnsi"/>
          <w:sz w:val="24"/>
          <w:szCs w:val="24"/>
        </w:rPr>
      </w:pPr>
    </w:p>
    <w:p w14:paraId="5BB2DE5F" w14:textId="77777777" w:rsidR="003C0C24" w:rsidRPr="00B06788" w:rsidRDefault="003C0C24" w:rsidP="003C0C24">
      <w:pPr>
        <w:rPr>
          <w:rFonts w:cstheme="minorHAnsi"/>
          <w:sz w:val="24"/>
          <w:szCs w:val="24"/>
        </w:rPr>
      </w:pPr>
      <w:r>
        <w:rPr>
          <w:rFonts w:cstheme="minorHAnsi"/>
          <w:sz w:val="24"/>
          <w:szCs w:val="24"/>
        </w:rPr>
        <w:t>MAPPA is an effective method of managing violent and sexual offenders. However, f</w:t>
      </w:r>
      <w:r w:rsidRPr="00B06788">
        <w:rPr>
          <w:rFonts w:cstheme="minorHAnsi"/>
          <w:sz w:val="24"/>
          <w:szCs w:val="24"/>
        </w:rPr>
        <w:t>or MAPPA to be more effective</w:t>
      </w:r>
      <w:r>
        <w:rPr>
          <w:rFonts w:cstheme="minorHAnsi"/>
          <w:sz w:val="24"/>
          <w:szCs w:val="24"/>
        </w:rPr>
        <w:t xml:space="preserve">, agencies must collaborate and communicate better and </w:t>
      </w:r>
      <w:r w:rsidRPr="00B06788">
        <w:rPr>
          <w:rFonts w:cstheme="minorHAnsi"/>
          <w:sz w:val="24"/>
          <w:szCs w:val="24"/>
        </w:rPr>
        <w:t>must provide as much accurate information as possible. Many services are withholding information for several reasons, and this is preventing accurate risk assessments from being completed. MAPPA has been proven to be successful in reducing re-offending rates in persons over the age of 18 with the reoffending rate being halved over a one-year research period. There are difficulties in managing young offenders however, with the transitional period between Youth Offending Services and adult probation services which has gaps that require re-assessment and improvements to prevent these youths continuing their criminal careers. Youths are statistically more likely to continue to offend past the age of 18, and at present MAPPA does not do enough to effectively reduce or manage these offenders to reduce the risk of them reoffending.</w:t>
      </w:r>
      <w:r>
        <w:rPr>
          <w:rFonts w:cstheme="minorHAnsi"/>
          <w:sz w:val="24"/>
          <w:szCs w:val="24"/>
        </w:rPr>
        <w:t xml:space="preserve"> Resourcing is also a factor which detracts from MAPPA’s effectiveness, with many services being stretched thin and unable to provide the appropriate practitioners to attend MAPPA meetings to effectively discuss and form risk assessments of subjects.</w:t>
      </w:r>
    </w:p>
    <w:p w14:paraId="7809CD6E" w14:textId="77777777" w:rsidR="003C0C24" w:rsidRPr="00B06788" w:rsidRDefault="003C0C24" w:rsidP="003C0C24">
      <w:pPr>
        <w:rPr>
          <w:rFonts w:cstheme="minorHAnsi"/>
          <w:sz w:val="24"/>
          <w:szCs w:val="24"/>
        </w:rPr>
      </w:pPr>
    </w:p>
    <w:p w14:paraId="2B1AFCE2" w14:textId="77777777" w:rsidR="003C0C24" w:rsidRPr="00055230" w:rsidRDefault="003C0C24" w:rsidP="003C0C24">
      <w:pPr>
        <w:rPr>
          <w:rFonts w:cstheme="minorHAnsi"/>
          <w:sz w:val="24"/>
          <w:szCs w:val="24"/>
          <w:u w:val="single"/>
        </w:rPr>
      </w:pPr>
      <w:r w:rsidRPr="00055230">
        <w:rPr>
          <w:rFonts w:cstheme="minorHAnsi"/>
          <w:sz w:val="24"/>
          <w:szCs w:val="24"/>
          <w:u w:val="single"/>
        </w:rPr>
        <w:t>Word count: 939.</w:t>
      </w:r>
    </w:p>
    <w:p w14:paraId="3856A1BF" w14:textId="77777777" w:rsidR="003C0C24" w:rsidRDefault="003C0C24"/>
    <w:p w14:paraId="5BA4EA98" w14:textId="77777777" w:rsidR="003C0C24" w:rsidRPr="00532EFB" w:rsidRDefault="003C0C24" w:rsidP="003C0C24">
      <w:pPr>
        <w:rPr>
          <w:b/>
          <w:bCs/>
          <w:sz w:val="24"/>
          <w:szCs w:val="24"/>
          <w:u w:val="single"/>
        </w:rPr>
      </w:pPr>
      <w:r w:rsidRPr="00532EFB">
        <w:rPr>
          <w:b/>
          <w:bCs/>
          <w:sz w:val="24"/>
          <w:szCs w:val="24"/>
          <w:u w:val="single"/>
        </w:rPr>
        <w:t>According to the Institute for Government (2023), recent scandals have exposed severe flaws in forces’ internal vetting and misconduct procedures and affected public confidence in the police. Therefore, why is it important that independent bodies exist to hold police officers accountable? (1000 words)</w:t>
      </w:r>
    </w:p>
    <w:p w14:paraId="60C8B69D" w14:textId="77777777" w:rsidR="003C0C24" w:rsidRPr="00AD0C72" w:rsidRDefault="003C0C24" w:rsidP="003C0C24">
      <w:pPr>
        <w:rPr>
          <w:sz w:val="24"/>
          <w:szCs w:val="24"/>
        </w:rPr>
      </w:pPr>
    </w:p>
    <w:p w14:paraId="0F12865F" w14:textId="77777777" w:rsidR="003C0C24" w:rsidRPr="000966A3" w:rsidRDefault="003C0C24" w:rsidP="003C0C24">
      <w:pPr>
        <w:rPr>
          <w:rFonts w:cstheme="minorHAnsi"/>
          <w:sz w:val="24"/>
          <w:szCs w:val="24"/>
        </w:rPr>
      </w:pPr>
      <w:r w:rsidRPr="000966A3">
        <w:rPr>
          <w:rFonts w:cstheme="minorHAnsi"/>
          <w:sz w:val="24"/>
          <w:szCs w:val="24"/>
        </w:rPr>
        <w:t>Policing in the United Kingdom is based upon the consent of the public, who allow its sworn officers to conduct their duties under powers given to them based on the mutual agreement that the persons performing said duties are competent and trustworthy in the execution of these duties. Police forces are required to ensure that officers are carefully selected, vetted, and scrutinised at every stage during the application process, and this is continued throughout their careers to ensure compliance is maintained. Recently, however there have been several high-profile failings reported</w:t>
      </w:r>
      <w:r w:rsidRPr="000966A3">
        <w:rPr>
          <w:rFonts w:cstheme="minorHAnsi"/>
          <w:color w:val="FF0000"/>
          <w:sz w:val="24"/>
          <w:szCs w:val="24"/>
        </w:rPr>
        <w:t xml:space="preserve"> </w:t>
      </w:r>
      <w:r w:rsidRPr="000966A3">
        <w:rPr>
          <w:rFonts w:cstheme="minorHAnsi"/>
          <w:sz w:val="24"/>
          <w:szCs w:val="24"/>
        </w:rPr>
        <w:t>in the media which have highlighted flaws and deficiencies in the standards of vetting and misconduct procedures in place, which have resulted in officers who have undermined the trust of the public and caused detriment to the</w:t>
      </w:r>
      <w:r w:rsidRPr="000966A3">
        <w:rPr>
          <w:rFonts w:cstheme="minorHAnsi"/>
          <w:color w:val="FF0000"/>
          <w:sz w:val="24"/>
          <w:szCs w:val="24"/>
        </w:rPr>
        <w:t xml:space="preserve"> </w:t>
      </w:r>
      <w:r w:rsidRPr="000966A3">
        <w:rPr>
          <w:rFonts w:cstheme="minorHAnsi"/>
          <w:sz w:val="24"/>
          <w:szCs w:val="24"/>
        </w:rPr>
        <w:t xml:space="preserve">faith in the police. I will explore these in this essay and support my findings with evidential research. </w:t>
      </w:r>
    </w:p>
    <w:p w14:paraId="54B99C1D" w14:textId="77777777" w:rsidR="003C0C24" w:rsidRPr="000966A3" w:rsidRDefault="003C0C24" w:rsidP="003C0C24">
      <w:pPr>
        <w:rPr>
          <w:rFonts w:cstheme="minorHAnsi"/>
          <w:sz w:val="24"/>
          <w:szCs w:val="24"/>
        </w:rPr>
      </w:pPr>
    </w:p>
    <w:p w14:paraId="6FA6E7D0" w14:textId="77777777" w:rsidR="003C0C24" w:rsidRPr="000966A3" w:rsidRDefault="003C0C24" w:rsidP="003C0C24">
      <w:pPr>
        <w:rPr>
          <w:rFonts w:cstheme="minorHAnsi"/>
          <w:sz w:val="24"/>
          <w:szCs w:val="24"/>
        </w:rPr>
      </w:pPr>
      <w:r w:rsidRPr="000966A3">
        <w:rPr>
          <w:rFonts w:cstheme="minorHAnsi"/>
          <w:sz w:val="24"/>
          <w:szCs w:val="24"/>
        </w:rPr>
        <w:t xml:space="preserve">Research conducted by Service Care Solutions states that employees of the police, regardless of rank are required to ensure that the highest levels of integrity are achieved by proper vetting procedures. Police officers and staff working within police stations have access to highly confidential and sensitive information, such as the Police National Computer (PNC), internal force intelligence gathering solutions and other external partner agencies. </w:t>
      </w:r>
      <w:r w:rsidRPr="000966A3">
        <w:rPr>
          <w:rFonts w:cstheme="minorHAnsi"/>
          <w:color w:val="2C3E50"/>
          <w:sz w:val="24"/>
          <w:szCs w:val="24"/>
          <w:shd w:val="clear" w:color="auto" w:fill="FFFFFF"/>
        </w:rPr>
        <w:t>(www.servicecare.org.uk, n.d.)</w:t>
      </w:r>
    </w:p>
    <w:p w14:paraId="71180A40" w14:textId="77777777" w:rsidR="003C0C24" w:rsidRPr="000966A3" w:rsidRDefault="003C0C24" w:rsidP="003C0C24">
      <w:pPr>
        <w:rPr>
          <w:rFonts w:cstheme="minorHAnsi"/>
          <w:sz w:val="24"/>
          <w:szCs w:val="24"/>
        </w:rPr>
      </w:pPr>
    </w:p>
    <w:p w14:paraId="424E2479" w14:textId="77777777" w:rsidR="003C0C24" w:rsidRPr="000966A3" w:rsidRDefault="003C0C24" w:rsidP="003C0C24">
      <w:pPr>
        <w:rPr>
          <w:rFonts w:cstheme="minorHAnsi"/>
          <w:sz w:val="24"/>
          <w:szCs w:val="24"/>
        </w:rPr>
      </w:pPr>
      <w:r w:rsidRPr="000966A3">
        <w:rPr>
          <w:rFonts w:cstheme="minorHAnsi"/>
          <w:sz w:val="24"/>
          <w:szCs w:val="24"/>
        </w:rPr>
        <w:t xml:space="preserve">It is important that these employees are not in a position where they can be compromised into giving this information to those who would use it for inappropriate and criminal uses. Forces need to be sure that those employees are not open to vulnerabilities which could be open to exploitation by criminal organisations who would seek to gain access to it. </w:t>
      </w:r>
    </w:p>
    <w:p w14:paraId="4ADA0D19" w14:textId="77777777" w:rsidR="003C0C24" w:rsidRPr="000966A3" w:rsidRDefault="003C0C24" w:rsidP="003C0C24">
      <w:pPr>
        <w:rPr>
          <w:rFonts w:cstheme="minorHAnsi"/>
          <w:sz w:val="24"/>
          <w:szCs w:val="24"/>
        </w:rPr>
      </w:pPr>
    </w:p>
    <w:p w14:paraId="2A355B70" w14:textId="77777777" w:rsidR="003C0C24" w:rsidRPr="000966A3" w:rsidRDefault="003C0C24" w:rsidP="003C0C24">
      <w:pPr>
        <w:rPr>
          <w:rFonts w:cstheme="minorHAnsi"/>
          <w:sz w:val="24"/>
          <w:szCs w:val="24"/>
        </w:rPr>
      </w:pPr>
      <w:r w:rsidRPr="000966A3">
        <w:rPr>
          <w:rFonts w:cstheme="minorHAnsi"/>
          <w:sz w:val="24"/>
          <w:szCs w:val="24"/>
        </w:rPr>
        <w:t>It is also important that the families and associates of employees are considered when conducting vetting checks, as well as financial information as these can be vulnerability factors when vetting perspective officers.</w:t>
      </w:r>
    </w:p>
    <w:p w14:paraId="5C01ABFB" w14:textId="77777777" w:rsidR="003C0C24" w:rsidRPr="000966A3" w:rsidRDefault="003C0C24" w:rsidP="003C0C24">
      <w:pPr>
        <w:rPr>
          <w:rFonts w:cstheme="minorHAnsi"/>
          <w:sz w:val="24"/>
          <w:szCs w:val="24"/>
        </w:rPr>
      </w:pPr>
    </w:p>
    <w:p w14:paraId="472FA349" w14:textId="77777777" w:rsidR="003C0C24" w:rsidRPr="000966A3" w:rsidRDefault="003C0C24" w:rsidP="003C0C24">
      <w:pPr>
        <w:rPr>
          <w:rFonts w:cstheme="minorHAnsi"/>
          <w:sz w:val="24"/>
          <w:szCs w:val="24"/>
        </w:rPr>
      </w:pPr>
      <w:r w:rsidRPr="000966A3">
        <w:rPr>
          <w:rFonts w:cstheme="minorHAnsi"/>
          <w:color w:val="141414"/>
          <w:sz w:val="24"/>
          <w:szCs w:val="24"/>
          <w:shd w:val="clear" w:color="auto" w:fill="FFFFFF"/>
        </w:rPr>
        <w:t>They also look at the financial status of applicants, as this determines whether you have been, are currently, or are likely to be in financial difficulty, or show signs of financial irresponsibility to the extent that you could become vulnerable to financial inducement.</w:t>
      </w:r>
      <w:r w:rsidRPr="000966A3">
        <w:rPr>
          <w:rFonts w:cstheme="minorHAnsi"/>
          <w:color w:val="141414"/>
          <w:sz w:val="24"/>
          <w:szCs w:val="24"/>
        </w:rPr>
        <w:br/>
      </w:r>
    </w:p>
    <w:p w14:paraId="0997FEF7" w14:textId="77777777" w:rsidR="003C0C24" w:rsidRPr="000966A3" w:rsidRDefault="003C0C24" w:rsidP="003C0C24">
      <w:pPr>
        <w:rPr>
          <w:rFonts w:cstheme="minorHAnsi"/>
          <w:sz w:val="24"/>
          <w:szCs w:val="24"/>
        </w:rPr>
      </w:pPr>
      <w:r w:rsidRPr="000966A3">
        <w:rPr>
          <w:rFonts w:cstheme="minorHAnsi"/>
          <w:sz w:val="24"/>
          <w:szCs w:val="24"/>
        </w:rPr>
        <w:t xml:space="preserve">There are several independent bodies that look at police performance and conduct investigations into police misconduct and procedures. These bodies are completely independent from the police and make their decisions in a fair manner when unfortunately, things go wrong, and the police need to be held accountable for the failings which are highlighted. </w:t>
      </w:r>
    </w:p>
    <w:p w14:paraId="271CFC3C" w14:textId="77777777" w:rsidR="003C0C24" w:rsidRPr="000966A3" w:rsidRDefault="003C0C24" w:rsidP="003C0C24">
      <w:pPr>
        <w:rPr>
          <w:rFonts w:cstheme="minorHAnsi"/>
          <w:sz w:val="24"/>
          <w:szCs w:val="24"/>
        </w:rPr>
      </w:pPr>
    </w:p>
    <w:p w14:paraId="1E054D9C" w14:textId="77777777" w:rsidR="003C0C24" w:rsidRPr="000966A3" w:rsidRDefault="003C0C24" w:rsidP="003C0C24">
      <w:pPr>
        <w:rPr>
          <w:rFonts w:cstheme="minorHAnsi"/>
          <w:sz w:val="24"/>
          <w:szCs w:val="24"/>
        </w:rPr>
      </w:pPr>
      <w:r w:rsidRPr="000966A3">
        <w:rPr>
          <w:rFonts w:cstheme="minorHAnsi"/>
          <w:sz w:val="24"/>
          <w:szCs w:val="24"/>
        </w:rPr>
        <w:t>Research highlights a recent scandal that confirms and validates the importance for independent bodies to exist and hold police officers accountable in instances such as the Sarah Everard case. The IOPC investigated this high-profile case which involved a Metropolitan Police Officer who abused his position as a constable to kidnap, rape and kill Sarah Everard. It identified further officers who’s standard of professional behaviour fell far below what is expected of them. The report also identified incidents of misconduct that ultimately led to worsened relationships between the public and the police and</w:t>
      </w:r>
      <w:r w:rsidRPr="000966A3">
        <w:rPr>
          <w:rFonts w:cstheme="minorHAnsi"/>
          <w:color w:val="FF0000"/>
          <w:sz w:val="24"/>
          <w:szCs w:val="24"/>
        </w:rPr>
        <w:t xml:space="preserve"> </w:t>
      </w:r>
      <w:r w:rsidRPr="000966A3">
        <w:rPr>
          <w:rFonts w:cstheme="minorHAnsi"/>
          <w:sz w:val="24"/>
          <w:szCs w:val="24"/>
        </w:rPr>
        <w:t xml:space="preserve">diminished the trust and respect that hard-working, law-abiding officers who perform their duties well every day have earned. </w:t>
      </w:r>
    </w:p>
    <w:p w14:paraId="4C7F1BE8" w14:textId="77777777" w:rsidR="003C0C24" w:rsidRPr="000966A3" w:rsidRDefault="003C0C24" w:rsidP="003C0C24">
      <w:pPr>
        <w:rPr>
          <w:rFonts w:cstheme="minorHAnsi"/>
          <w:sz w:val="24"/>
          <w:szCs w:val="24"/>
        </w:rPr>
      </w:pPr>
    </w:p>
    <w:p w14:paraId="435E8300" w14:textId="77777777" w:rsidR="003C0C24" w:rsidRPr="000966A3" w:rsidRDefault="003C0C24" w:rsidP="003C0C24">
      <w:pPr>
        <w:rPr>
          <w:rFonts w:cstheme="minorHAnsi"/>
          <w:sz w:val="24"/>
          <w:szCs w:val="24"/>
        </w:rPr>
      </w:pPr>
      <w:r w:rsidRPr="000966A3">
        <w:rPr>
          <w:rFonts w:cstheme="minorHAnsi"/>
          <w:sz w:val="24"/>
          <w:szCs w:val="24"/>
        </w:rPr>
        <w:t>The IOPC identified that Wayne Cozens, who had been linked to at least three known incidents of sexual offences between 2012 and 2015, had not been properly investigated by two police forces</w:t>
      </w:r>
      <w:r>
        <w:rPr>
          <w:rFonts w:cstheme="minorHAnsi"/>
          <w:sz w:val="24"/>
          <w:szCs w:val="24"/>
        </w:rPr>
        <w:t>:</w:t>
      </w:r>
      <w:r w:rsidRPr="000966A3">
        <w:rPr>
          <w:rFonts w:cstheme="minorHAnsi"/>
          <w:sz w:val="24"/>
          <w:szCs w:val="24"/>
        </w:rPr>
        <w:t xml:space="preserve"> Kent Police and the Metropolitan Police. Furthermore, an investigation also discovered that a further 12 officers’ actions amounted to misconduct who were involved in the investigation of Sarah Everards’ death where one of the officers had taken an inappropriate image and shared it with officers before he attended the cordon of the scene. </w:t>
      </w:r>
      <w:r w:rsidRPr="000966A3">
        <w:rPr>
          <w:rFonts w:cstheme="minorHAnsi"/>
          <w:color w:val="2C3E50"/>
          <w:sz w:val="24"/>
          <w:szCs w:val="24"/>
          <w:shd w:val="clear" w:color="auto" w:fill="FFFFFF"/>
        </w:rPr>
        <w:t>(</w:t>
      </w:r>
      <w:proofErr w:type="spellStart"/>
      <w:r w:rsidRPr="000966A3">
        <w:rPr>
          <w:rFonts w:cstheme="minorHAnsi"/>
          <w:color w:val="2C3E50"/>
          <w:sz w:val="24"/>
          <w:szCs w:val="24"/>
          <w:shd w:val="clear" w:color="auto" w:fill="FFFFFF"/>
        </w:rPr>
        <w:t>Lullo</w:t>
      </w:r>
      <w:proofErr w:type="spellEnd"/>
      <w:r w:rsidRPr="000966A3">
        <w:rPr>
          <w:rFonts w:cstheme="minorHAnsi"/>
          <w:color w:val="2C3E50"/>
          <w:sz w:val="24"/>
          <w:szCs w:val="24"/>
          <w:shd w:val="clear" w:color="auto" w:fill="FFFFFF"/>
        </w:rPr>
        <w:t>, n.d.)</w:t>
      </w:r>
    </w:p>
    <w:p w14:paraId="1BD46A2C" w14:textId="77777777" w:rsidR="003C0C24" w:rsidRPr="000966A3" w:rsidRDefault="003C0C24" w:rsidP="003C0C24">
      <w:pPr>
        <w:rPr>
          <w:rFonts w:cstheme="minorHAnsi"/>
          <w:sz w:val="24"/>
          <w:szCs w:val="24"/>
        </w:rPr>
      </w:pPr>
    </w:p>
    <w:p w14:paraId="3EF9E54A" w14:textId="77777777" w:rsidR="003C0C24" w:rsidRPr="000966A3" w:rsidRDefault="003C0C24" w:rsidP="003C0C24">
      <w:pPr>
        <w:rPr>
          <w:rFonts w:cstheme="minorHAnsi"/>
          <w:sz w:val="24"/>
          <w:szCs w:val="24"/>
        </w:rPr>
      </w:pPr>
      <w:r w:rsidRPr="000966A3">
        <w:rPr>
          <w:rFonts w:cstheme="minorHAnsi"/>
          <w:sz w:val="24"/>
          <w:szCs w:val="24"/>
          <w:shd w:val="clear" w:color="auto" w:fill="FFFFFF"/>
        </w:rPr>
        <w:t>Other organisations that play a key role in ensuring accountability of police forces and make suggestions on how to improve when failings are identified include His Majesty’s inspectorate of constabulary and fire and rescue services (HMICFS), who’s role it is to inspect and report on the effectiveness of forces and offer guidelines based on these findings,  and Police and Crime Commissioners who appoint police forces chief inspectors and monitors how they oversee the strategic objectives of the force. It also ensures that complaints received to forces are handled effectively and in a fair manner. All of this contributes to the overall accountability and ensures the standards required of police forces are upheld.</w:t>
      </w:r>
      <w:r w:rsidRPr="000966A3">
        <w:rPr>
          <w:rFonts w:cstheme="minorHAnsi"/>
          <w:color w:val="2C3E50"/>
          <w:sz w:val="24"/>
          <w:szCs w:val="24"/>
          <w:shd w:val="clear" w:color="auto" w:fill="FFFFFF"/>
        </w:rPr>
        <w:t xml:space="preserve"> </w:t>
      </w:r>
    </w:p>
    <w:p w14:paraId="13DE106B" w14:textId="77777777" w:rsidR="003C0C24" w:rsidRPr="000966A3" w:rsidRDefault="003C0C24" w:rsidP="003C0C24">
      <w:pPr>
        <w:rPr>
          <w:rFonts w:cstheme="minorHAnsi"/>
          <w:sz w:val="24"/>
          <w:szCs w:val="24"/>
          <w:shd w:val="clear" w:color="auto" w:fill="FFFFFF"/>
        </w:rPr>
      </w:pPr>
    </w:p>
    <w:p w14:paraId="492885C1" w14:textId="77777777" w:rsidR="003C0C24" w:rsidRPr="000966A3" w:rsidRDefault="003C0C24" w:rsidP="003C0C24">
      <w:pPr>
        <w:rPr>
          <w:rFonts w:cstheme="minorHAnsi"/>
          <w:sz w:val="24"/>
          <w:szCs w:val="24"/>
        </w:rPr>
      </w:pPr>
      <w:r w:rsidRPr="000966A3">
        <w:rPr>
          <w:rFonts w:cstheme="minorHAnsi"/>
          <w:sz w:val="24"/>
          <w:szCs w:val="24"/>
          <w:shd w:val="clear" w:color="auto" w:fill="FFFFFF"/>
        </w:rPr>
        <w:t xml:space="preserve">Internal investigations often return favourable results for serving Constables, with fewer than 1% of officers facing multiple allegations of misconduct being dismissed. With most complaints being handled internally by Professional Standards Departments headed by officers working in the same police force, and the opportunity for higher ranking officers to overturn decisions this concerningly leaves room for corruption to remain an option. </w:t>
      </w:r>
      <w:r w:rsidRPr="000966A3">
        <w:rPr>
          <w:rFonts w:cstheme="minorHAnsi"/>
          <w:color w:val="2C3E50"/>
          <w:sz w:val="24"/>
          <w:szCs w:val="24"/>
          <w:shd w:val="clear" w:color="auto" w:fill="FFFFFF"/>
        </w:rPr>
        <w:t xml:space="preserve">(Richards, 2022) </w:t>
      </w:r>
    </w:p>
    <w:p w14:paraId="32A00F63" w14:textId="77777777" w:rsidR="003C0C24" w:rsidRPr="000966A3" w:rsidRDefault="003C0C24" w:rsidP="003C0C24">
      <w:pPr>
        <w:rPr>
          <w:rFonts w:cstheme="minorHAnsi"/>
          <w:sz w:val="24"/>
          <w:szCs w:val="24"/>
          <w:shd w:val="clear" w:color="auto" w:fill="FFFFFF"/>
        </w:rPr>
      </w:pPr>
    </w:p>
    <w:p w14:paraId="417B0D60" w14:textId="77777777" w:rsidR="003C0C24" w:rsidRPr="000966A3" w:rsidRDefault="003C0C24" w:rsidP="003C0C24">
      <w:pPr>
        <w:rPr>
          <w:rFonts w:cstheme="minorHAnsi"/>
          <w:sz w:val="24"/>
          <w:szCs w:val="24"/>
          <w:shd w:val="clear" w:color="auto" w:fill="FFFFFF"/>
        </w:rPr>
      </w:pPr>
      <w:r w:rsidRPr="000966A3">
        <w:rPr>
          <w:rFonts w:cstheme="minorHAnsi"/>
          <w:sz w:val="24"/>
          <w:szCs w:val="24"/>
          <w:shd w:val="clear" w:color="auto" w:fill="FFFFFF"/>
        </w:rPr>
        <w:t xml:space="preserve">Members of the public and other service users that turn to the police for assistance and support often put their entire trust in the strangers that have sworn an oath to protect and support them in their time of need. Often these people have nowhere else to turn and the </w:t>
      </w:r>
      <w:r w:rsidRPr="000966A3">
        <w:rPr>
          <w:rFonts w:cstheme="minorHAnsi"/>
          <w:sz w:val="24"/>
          <w:szCs w:val="24"/>
          <w:shd w:val="clear" w:color="auto" w:fill="FFFFFF"/>
        </w:rPr>
        <w:lastRenderedPageBreak/>
        <w:t xml:space="preserve">level of service they receive can have a massive impact on their lives and how they engage with the police in the future. Trust in the police is paramount, and once this is broken its effects are widespread and felt for long periods of time after the incident has taken place. The police rely on the public’s confidence to be able to perform its duties effectively. There have been several high-profile cases that have severely diminished the trust in the police service, and </w:t>
      </w:r>
      <w:proofErr w:type="gramStart"/>
      <w:r w:rsidRPr="000966A3">
        <w:rPr>
          <w:rFonts w:cstheme="minorHAnsi"/>
          <w:sz w:val="24"/>
          <w:szCs w:val="24"/>
          <w:shd w:val="clear" w:color="auto" w:fill="FFFFFF"/>
        </w:rPr>
        <w:t>it is clear that investigations</w:t>
      </w:r>
      <w:proofErr w:type="gramEnd"/>
      <w:r w:rsidRPr="000966A3">
        <w:rPr>
          <w:rFonts w:cstheme="minorHAnsi"/>
          <w:sz w:val="24"/>
          <w:szCs w:val="24"/>
          <w:shd w:val="clear" w:color="auto" w:fill="FFFFFF"/>
        </w:rPr>
        <w:t xml:space="preserve"> that have been conducted internally by forces have been ineffective and have failed to identify behaviour that would ultimately lead to tragic incidents. </w:t>
      </w:r>
    </w:p>
    <w:p w14:paraId="28BCEF7F" w14:textId="77777777" w:rsidR="003C0C24" w:rsidRPr="000966A3" w:rsidRDefault="003C0C24" w:rsidP="003C0C24">
      <w:pPr>
        <w:rPr>
          <w:rFonts w:cstheme="minorHAnsi"/>
          <w:sz w:val="24"/>
          <w:szCs w:val="24"/>
          <w:shd w:val="clear" w:color="auto" w:fill="FFFFFF"/>
        </w:rPr>
      </w:pPr>
    </w:p>
    <w:p w14:paraId="733CA9E2" w14:textId="77777777" w:rsidR="003C0C24" w:rsidRPr="000966A3" w:rsidRDefault="003C0C24" w:rsidP="003C0C24">
      <w:pPr>
        <w:rPr>
          <w:rFonts w:cstheme="minorHAnsi"/>
          <w:sz w:val="24"/>
          <w:szCs w:val="24"/>
        </w:rPr>
      </w:pPr>
      <w:r w:rsidRPr="000966A3">
        <w:rPr>
          <w:rFonts w:cstheme="minorHAnsi"/>
          <w:sz w:val="24"/>
          <w:szCs w:val="24"/>
          <w:shd w:val="clear" w:color="auto" w:fill="FFFFFF"/>
        </w:rPr>
        <w:t>Whilst there are several independent organisations with effective policies and procedures in place to ensure that Police officers are held accountable there are still opportunities to further research the effectiveness of the current policies and procedures in place to investigate misconduct within the police, and by external organisations. It is also important to note that investigations often take far too long to complete, and with the capability for investigations to remain in-house where higher ranking officers, who could potentially be corrupt themselves, could intercept and disrupt investigations before they are conducted properly by organisations such as the IOPC and HMICFS.</w:t>
      </w:r>
    </w:p>
    <w:p w14:paraId="794E3FA1" w14:textId="77777777" w:rsidR="003C0C24" w:rsidRDefault="003C0C24" w:rsidP="003C0C24"/>
    <w:p w14:paraId="49EBFF7F" w14:textId="77777777" w:rsidR="003C0C24" w:rsidRPr="00D630A7" w:rsidRDefault="003C0C24" w:rsidP="003C0C24">
      <w:pPr>
        <w:rPr>
          <w:u w:val="single"/>
        </w:rPr>
      </w:pPr>
      <w:r w:rsidRPr="00D630A7">
        <w:rPr>
          <w:u w:val="single"/>
        </w:rPr>
        <w:t>Word count: 1033</w:t>
      </w:r>
    </w:p>
    <w:p w14:paraId="2FAF6755" w14:textId="77777777" w:rsidR="003C0C24" w:rsidRDefault="003C0C24"/>
    <w:p w14:paraId="005B7C70" w14:textId="231A1A3C" w:rsidR="003C0C24" w:rsidRDefault="003C0C24">
      <w:r>
        <w:t>References:</w:t>
      </w:r>
    </w:p>
    <w:p w14:paraId="3EC3EBAA" w14:textId="77777777" w:rsidR="003C0C24" w:rsidRDefault="003C0C24" w:rsidP="003C0C24">
      <w:pPr>
        <w:rPr>
          <w:rFonts w:cstheme="minorHAnsi"/>
          <w:sz w:val="24"/>
          <w:szCs w:val="24"/>
        </w:rPr>
      </w:pPr>
      <w:r w:rsidRPr="00852D59">
        <w:rPr>
          <w:rFonts w:cstheme="minorHAnsi"/>
          <w:sz w:val="24"/>
          <w:szCs w:val="24"/>
        </w:rPr>
        <w:t xml:space="preserve">Adverse Childhood Experiences (ACEs) and Gang Involvement Among Juvenile Offenders: Assessing the Mediation Effects of Substance Use and Temperament Deficits - Kevin T. Wolff, Michael T. </w:t>
      </w:r>
      <w:proofErr w:type="spellStart"/>
      <w:r w:rsidRPr="00852D59">
        <w:rPr>
          <w:rFonts w:cstheme="minorHAnsi"/>
          <w:sz w:val="24"/>
          <w:szCs w:val="24"/>
        </w:rPr>
        <w:t>Baglivio</w:t>
      </w:r>
      <w:proofErr w:type="spellEnd"/>
      <w:r w:rsidRPr="00852D59">
        <w:rPr>
          <w:rFonts w:cstheme="minorHAnsi"/>
          <w:sz w:val="24"/>
          <w:szCs w:val="24"/>
        </w:rPr>
        <w:t>, Hannah J. Klein, Alex R. Piquero, Matt DeLisi, James C. (Buddy) Howell, 2020 (sagepub.com)</w:t>
      </w:r>
    </w:p>
    <w:p w14:paraId="7D34B1D8" w14:textId="77777777" w:rsidR="003C0C24" w:rsidRDefault="003C0C24" w:rsidP="003C0C24">
      <w:pPr>
        <w:rPr>
          <w:rFonts w:cstheme="minorHAnsi"/>
          <w:sz w:val="24"/>
          <w:szCs w:val="24"/>
        </w:rPr>
      </w:pPr>
    </w:p>
    <w:p w14:paraId="6997AA8B" w14:textId="77777777" w:rsidR="003C0C24" w:rsidRDefault="003C0C24" w:rsidP="003C0C24">
      <w:pPr>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Basham, B. R. (2014). Police instructor or police educator? </w:t>
      </w:r>
      <w:r>
        <w:rPr>
          <w:rFonts w:ascii="Source Sans Pro" w:hAnsi="Source Sans Pro"/>
          <w:i/>
          <w:iCs/>
          <w:color w:val="3A3A3A"/>
          <w:sz w:val="23"/>
          <w:szCs w:val="23"/>
          <w:shd w:val="clear" w:color="auto" w:fill="FFFFFF"/>
        </w:rPr>
        <w:t>Salus Journal</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2</w:t>
      </w:r>
      <w:r>
        <w:rPr>
          <w:rFonts w:ascii="Source Sans Pro" w:hAnsi="Source Sans Pro"/>
          <w:color w:val="3A3A3A"/>
          <w:sz w:val="23"/>
          <w:szCs w:val="23"/>
          <w:shd w:val="clear" w:color="auto" w:fill="FFFFFF"/>
        </w:rPr>
        <w:t>.</w:t>
      </w:r>
    </w:p>
    <w:p w14:paraId="7A769918" w14:textId="77777777" w:rsidR="003C0C24" w:rsidRDefault="003C0C24" w:rsidP="003C0C24">
      <w:pPr>
        <w:rPr>
          <w:rFonts w:ascii="Source Sans Pro" w:hAnsi="Source Sans Pro"/>
          <w:color w:val="3A3A3A"/>
          <w:sz w:val="23"/>
          <w:szCs w:val="23"/>
          <w:shd w:val="clear" w:color="auto" w:fill="FFFFFF"/>
        </w:rPr>
      </w:pPr>
    </w:p>
    <w:p w14:paraId="32DC1E90" w14:textId="77777777" w:rsidR="003C0C24" w:rsidRDefault="003C0C24" w:rsidP="003C0C24">
      <w:pPr>
        <w:rPr>
          <w:rFonts w:ascii="Open Sans" w:hAnsi="Open Sans" w:cs="Open Sans"/>
          <w:color w:val="333333"/>
          <w:shd w:val="clear" w:color="auto" w:fill="FFFFFF"/>
        </w:rPr>
      </w:pPr>
      <w:proofErr w:type="spellStart"/>
      <w:r>
        <w:rPr>
          <w:rFonts w:ascii="Open Sans" w:hAnsi="Open Sans" w:cs="Open Sans"/>
          <w:color w:val="333333"/>
          <w:shd w:val="clear" w:color="auto" w:fill="FFFFFF"/>
        </w:rPr>
        <w:t>Bettinson</w:t>
      </w:r>
      <w:proofErr w:type="spellEnd"/>
      <w:r>
        <w:rPr>
          <w:rFonts w:ascii="Open Sans" w:hAnsi="Open Sans" w:cs="Open Sans"/>
          <w:color w:val="333333"/>
          <w:shd w:val="clear" w:color="auto" w:fill="FFFFFF"/>
        </w:rPr>
        <w:t xml:space="preserve"> V, Bishop C (2015) Is the creation of a discrete offence of coercive control necessary to combat domestic violence? </w:t>
      </w:r>
      <w:r>
        <w:rPr>
          <w:rStyle w:val="Emphasis"/>
          <w:rFonts w:ascii="Open Sans" w:hAnsi="Open Sans" w:cs="Open Sans"/>
          <w:color w:val="333333"/>
          <w:shd w:val="clear" w:color="auto" w:fill="FFFFFF"/>
        </w:rPr>
        <w:t>Northern Ireland Legal Quarterly</w:t>
      </w:r>
      <w:r>
        <w:rPr>
          <w:rFonts w:ascii="Open Sans" w:hAnsi="Open Sans" w:cs="Open Sans"/>
          <w:color w:val="333333"/>
          <w:shd w:val="clear" w:color="auto" w:fill="FFFFFF"/>
        </w:rPr>
        <w:t> 66: 179–197.</w:t>
      </w:r>
    </w:p>
    <w:p w14:paraId="418D4311" w14:textId="77777777" w:rsidR="003C0C24" w:rsidRDefault="003C0C24" w:rsidP="003C0C24">
      <w:pPr>
        <w:rPr>
          <w:rFonts w:ascii="Open Sans" w:hAnsi="Open Sans" w:cs="Open Sans"/>
          <w:color w:val="333333"/>
          <w:shd w:val="clear" w:color="auto" w:fill="FFFFFF"/>
        </w:rPr>
      </w:pPr>
    </w:p>
    <w:p w14:paraId="6352CB53" w14:textId="77777777" w:rsidR="003C0C24" w:rsidRDefault="00000000" w:rsidP="003C0C24">
      <w:hyperlink r:id="rId5" w:history="1">
        <w:r w:rsidR="003C0C24">
          <w:rPr>
            <w:rStyle w:val="Hyperlink"/>
          </w:rPr>
          <w:t xml:space="preserve">‘Community policing’ is </w:t>
        </w:r>
        <w:proofErr w:type="spellStart"/>
        <w:r w:rsidR="003C0C24">
          <w:rPr>
            <w:rStyle w:val="Hyperlink"/>
          </w:rPr>
          <w:t>fueled</w:t>
        </w:r>
        <w:proofErr w:type="spellEnd"/>
        <w:r w:rsidR="003C0C24">
          <w:rPr>
            <w:rStyle w:val="Hyperlink"/>
          </w:rPr>
          <w:t xml:space="preserve"> by diversity, </w:t>
        </w:r>
        <w:proofErr w:type="gramStart"/>
        <w:r w:rsidR="003C0C24">
          <w:rPr>
            <w:rStyle w:val="Hyperlink"/>
          </w:rPr>
          <w:t>equity</w:t>
        </w:r>
        <w:proofErr w:type="gramEnd"/>
        <w:r w:rsidR="003C0C24">
          <w:rPr>
            <w:rStyle w:val="Hyperlink"/>
          </w:rPr>
          <w:t xml:space="preserve"> and inclusion | Federal News Network</w:t>
        </w:r>
      </w:hyperlink>
    </w:p>
    <w:p w14:paraId="7A4F1B6C" w14:textId="77777777" w:rsidR="003C0C24" w:rsidRDefault="003C0C24" w:rsidP="003C0C24">
      <w:pPr>
        <w:rPr>
          <w:rFonts w:ascii="Open Sans" w:hAnsi="Open Sans" w:cs="Open Sans"/>
          <w:color w:val="333333"/>
          <w:shd w:val="clear" w:color="auto" w:fill="FFFFFF"/>
        </w:rPr>
      </w:pPr>
    </w:p>
    <w:p w14:paraId="47DBEA22" w14:textId="77777777" w:rsidR="003C0C24" w:rsidRDefault="003C0C24" w:rsidP="003C0C24">
      <w:pPr>
        <w:rPr>
          <w:rFonts w:ascii="Open Sans" w:hAnsi="Open Sans" w:cs="Open Sans"/>
          <w:color w:val="333333"/>
        </w:rPr>
      </w:pPr>
      <w:r>
        <w:rPr>
          <w:rFonts w:ascii="Open Sans" w:hAnsi="Open Sans" w:cs="Open Sans"/>
          <w:color w:val="333333"/>
        </w:rPr>
        <w:t xml:space="preserve">Clarke, C. A., &amp; Armstrong, K. (2012). Beyond reproach: The need for effective and responsive training. In M. R. </w:t>
      </w:r>
      <w:proofErr w:type="spellStart"/>
      <w:r>
        <w:rPr>
          <w:rFonts w:ascii="Open Sans" w:hAnsi="Open Sans" w:cs="Open Sans"/>
          <w:color w:val="333333"/>
        </w:rPr>
        <w:t>Haberfeld</w:t>
      </w:r>
      <w:proofErr w:type="spellEnd"/>
      <w:r>
        <w:rPr>
          <w:rFonts w:ascii="Open Sans" w:hAnsi="Open Sans" w:cs="Open Sans"/>
          <w:color w:val="333333"/>
        </w:rPr>
        <w:t>, C. A. Clarke, &amp; D. L. Sheehan (Eds.), </w:t>
      </w:r>
      <w:r>
        <w:rPr>
          <w:rStyle w:val="citationsource-book"/>
          <w:rFonts w:ascii="Open Sans" w:hAnsi="Open Sans" w:cs="Open Sans"/>
          <w:i/>
          <w:iCs/>
          <w:color w:val="333333"/>
        </w:rPr>
        <w:t>Police organization and training</w:t>
      </w:r>
      <w:r>
        <w:rPr>
          <w:rFonts w:ascii="Open Sans" w:hAnsi="Open Sans" w:cs="Open Sans"/>
          <w:color w:val="333333"/>
        </w:rPr>
        <w:t> (pp. 11–26). New York, NY: Springer.10.1007/978-1-4614-0745-4</w:t>
      </w:r>
    </w:p>
    <w:p w14:paraId="5AB1E368" w14:textId="77777777" w:rsidR="003C0C24" w:rsidRDefault="003C0C24" w:rsidP="003C0C24">
      <w:pPr>
        <w:rPr>
          <w:rFonts w:ascii="Open Sans" w:hAnsi="Open Sans" w:cs="Open Sans"/>
          <w:color w:val="333333"/>
        </w:rPr>
      </w:pPr>
    </w:p>
    <w:p w14:paraId="756DEA70" w14:textId="77777777" w:rsidR="003C0C24" w:rsidRDefault="003C0C24" w:rsidP="003C0C24">
      <w:pPr>
        <w:rPr>
          <w:rFonts w:cstheme="minorHAnsi"/>
          <w:color w:val="303030"/>
          <w:sz w:val="24"/>
          <w:szCs w:val="24"/>
          <w:shd w:val="clear" w:color="auto" w:fill="FFFFFF"/>
        </w:rPr>
      </w:pPr>
      <w:r w:rsidRPr="00852D59">
        <w:rPr>
          <w:rFonts w:cstheme="minorHAnsi"/>
          <w:color w:val="303030"/>
          <w:sz w:val="24"/>
          <w:szCs w:val="24"/>
          <w:shd w:val="clear" w:color="auto" w:fill="FFFFFF"/>
        </w:rPr>
        <w:t>Egan V, Beadman M. Personality, and gang embeddedness. </w:t>
      </w:r>
      <w:r w:rsidRPr="00852D59">
        <w:rPr>
          <w:rStyle w:val="ref-journal"/>
          <w:rFonts w:cstheme="minorHAnsi"/>
          <w:i/>
          <w:iCs/>
          <w:color w:val="303030"/>
          <w:sz w:val="24"/>
          <w:szCs w:val="24"/>
          <w:shd w:val="clear" w:color="auto" w:fill="FFFFFF"/>
        </w:rPr>
        <w:t>Personality and Individual Differences. </w:t>
      </w:r>
      <w:r w:rsidRPr="00852D59">
        <w:rPr>
          <w:rFonts w:cstheme="minorHAnsi"/>
          <w:color w:val="303030"/>
          <w:sz w:val="24"/>
          <w:szCs w:val="24"/>
          <w:shd w:val="clear" w:color="auto" w:fill="FFFFFF"/>
        </w:rPr>
        <w:t>2011;</w:t>
      </w:r>
      <w:r w:rsidRPr="00852D59">
        <w:rPr>
          <w:rStyle w:val="ref-vol"/>
          <w:rFonts w:cstheme="minorHAnsi"/>
          <w:color w:val="303030"/>
          <w:sz w:val="24"/>
          <w:szCs w:val="24"/>
          <w:shd w:val="clear" w:color="auto" w:fill="FFFFFF"/>
        </w:rPr>
        <w:t>51</w:t>
      </w:r>
      <w:r w:rsidRPr="00852D59">
        <w:rPr>
          <w:rFonts w:cstheme="minorHAnsi"/>
          <w:color w:val="303030"/>
          <w:sz w:val="24"/>
          <w:szCs w:val="24"/>
          <w:shd w:val="clear" w:color="auto" w:fill="FFFFFF"/>
        </w:rPr>
        <w:t xml:space="preserve">(6):748–753. </w:t>
      </w:r>
      <w:proofErr w:type="spellStart"/>
      <w:r w:rsidRPr="00852D59">
        <w:rPr>
          <w:rFonts w:cstheme="minorHAnsi"/>
          <w:color w:val="303030"/>
          <w:sz w:val="24"/>
          <w:szCs w:val="24"/>
          <w:shd w:val="clear" w:color="auto" w:fill="FFFFFF"/>
        </w:rPr>
        <w:t>doi</w:t>
      </w:r>
      <w:proofErr w:type="spellEnd"/>
      <w:r w:rsidRPr="00852D59">
        <w:rPr>
          <w:rFonts w:cstheme="minorHAnsi"/>
          <w:color w:val="303030"/>
          <w:sz w:val="24"/>
          <w:szCs w:val="24"/>
          <w:shd w:val="clear" w:color="auto" w:fill="FFFFFF"/>
        </w:rPr>
        <w:t>: 10.1016/j.paid.2011.06.021. </w:t>
      </w:r>
    </w:p>
    <w:p w14:paraId="14C7CCD7" w14:textId="77777777" w:rsidR="003C0C24" w:rsidRPr="00852D59" w:rsidRDefault="003C0C24" w:rsidP="003C0C24">
      <w:pPr>
        <w:rPr>
          <w:rFonts w:cstheme="minorHAnsi"/>
          <w:sz w:val="24"/>
          <w:szCs w:val="24"/>
        </w:rPr>
      </w:pPr>
    </w:p>
    <w:p w14:paraId="500A1B36" w14:textId="77777777" w:rsidR="003C0C24" w:rsidRDefault="003C0C24" w:rsidP="003C0C24">
      <w:pPr>
        <w:rPr>
          <w:rFonts w:ascii="Open Sans" w:hAnsi="Open Sans" w:cs="Open Sans"/>
          <w:color w:val="333333"/>
          <w:shd w:val="clear" w:color="auto" w:fill="FFFFFF"/>
        </w:rPr>
      </w:pPr>
      <w:r>
        <w:rPr>
          <w:rFonts w:ascii="Open Sans" w:hAnsi="Open Sans" w:cs="Open Sans"/>
          <w:color w:val="333333"/>
          <w:shd w:val="clear" w:color="auto" w:fill="FFFFFF"/>
        </w:rPr>
        <w:t>Hayes S, Jefferies S (2016) Romantic terrorism? An auto-ethnographic analysis of gendered psychological and emotional tactics in domestic violence. </w:t>
      </w:r>
      <w:r>
        <w:rPr>
          <w:rStyle w:val="Emphasis"/>
          <w:rFonts w:ascii="Open Sans" w:hAnsi="Open Sans" w:cs="Open Sans"/>
          <w:color w:val="333333"/>
          <w:shd w:val="clear" w:color="auto" w:fill="FFFFFF"/>
        </w:rPr>
        <w:t>Journal of Research in Gender Studies</w:t>
      </w:r>
      <w:r>
        <w:rPr>
          <w:rFonts w:ascii="Open Sans" w:hAnsi="Open Sans" w:cs="Open Sans"/>
          <w:color w:val="333333"/>
          <w:shd w:val="clear" w:color="auto" w:fill="FFFFFF"/>
        </w:rPr>
        <w:t> 6(2);</w:t>
      </w:r>
      <w:r w:rsidRPr="00534329">
        <w:rPr>
          <w:rFonts w:ascii="Open Sans" w:hAnsi="Open Sans" w:cs="Open Sans"/>
          <w:color w:val="333333"/>
          <w:shd w:val="clear" w:color="auto" w:fill="FFFFFF"/>
        </w:rPr>
        <w:t xml:space="preserve"> </w:t>
      </w:r>
      <w:r>
        <w:rPr>
          <w:rFonts w:ascii="Open Sans" w:hAnsi="Open Sans" w:cs="Open Sans"/>
          <w:color w:val="333333"/>
          <w:shd w:val="clear" w:color="auto" w:fill="FFFFFF"/>
        </w:rPr>
        <w:t>38–61.</w:t>
      </w:r>
    </w:p>
    <w:p w14:paraId="2EC2CEEB" w14:textId="77777777" w:rsidR="003C0C24" w:rsidRDefault="003C0C24" w:rsidP="003C0C24">
      <w:pPr>
        <w:rPr>
          <w:rFonts w:ascii="Open Sans" w:hAnsi="Open Sans" w:cs="Open Sans"/>
          <w:color w:val="333333"/>
        </w:rPr>
      </w:pPr>
    </w:p>
    <w:p w14:paraId="0288E138" w14:textId="77777777" w:rsidR="003C0C24" w:rsidRDefault="003C0C24" w:rsidP="003C0C24">
      <w:pPr>
        <w:rPr>
          <w:rFonts w:ascii="Open Sans" w:hAnsi="Open Sans" w:cs="Open Sans"/>
          <w:color w:val="333333"/>
        </w:rPr>
      </w:pPr>
      <w:r>
        <w:rPr>
          <w:rFonts w:ascii="Open Sans" w:hAnsi="Open Sans" w:cs="Open Sans"/>
          <w:color w:val="333333"/>
        </w:rPr>
        <w:t>Her Majesty’s Inspectorate of Constabulary. (1996). </w:t>
      </w:r>
      <w:r>
        <w:rPr>
          <w:rFonts w:ascii="Open Sans" w:hAnsi="Open Sans" w:cs="Open Sans"/>
          <w:i/>
          <w:iCs/>
          <w:color w:val="333333"/>
        </w:rPr>
        <w:t>Developing diversity in the police service</w:t>
      </w:r>
      <w:r>
        <w:rPr>
          <w:rFonts w:ascii="Open Sans" w:hAnsi="Open Sans" w:cs="Open Sans"/>
          <w:color w:val="333333"/>
        </w:rPr>
        <w:t xml:space="preserve">. London: Home Office accessed </w:t>
      </w:r>
      <w:proofErr w:type="gramStart"/>
      <w:r>
        <w:rPr>
          <w:rFonts w:ascii="Open Sans" w:hAnsi="Open Sans" w:cs="Open Sans"/>
          <w:color w:val="333333"/>
        </w:rPr>
        <w:t>25/01/2024</w:t>
      </w:r>
      <w:proofErr w:type="gramEnd"/>
      <w:r>
        <w:rPr>
          <w:rFonts w:ascii="Open Sans" w:hAnsi="Open Sans" w:cs="Open Sans"/>
          <w:color w:val="333333"/>
        </w:rPr>
        <w:t xml:space="preserve"> </w:t>
      </w:r>
    </w:p>
    <w:p w14:paraId="5834DEA2" w14:textId="77777777" w:rsidR="003C0C24" w:rsidRDefault="003C0C24" w:rsidP="003C0C24">
      <w:pPr>
        <w:rPr>
          <w:rFonts w:ascii="Open Sans" w:hAnsi="Open Sans" w:cs="Open Sans"/>
          <w:color w:val="333333"/>
        </w:rPr>
      </w:pPr>
    </w:p>
    <w:p w14:paraId="7F4DDD05" w14:textId="77777777" w:rsidR="003C0C24" w:rsidRDefault="00000000" w:rsidP="003C0C24">
      <w:pPr>
        <w:rPr>
          <w:rFonts w:ascii="Open Sans" w:hAnsi="Open Sans" w:cs="Open Sans"/>
        </w:rPr>
      </w:pPr>
      <w:hyperlink r:id="rId6" w:history="1">
        <w:r w:rsidR="003C0C24" w:rsidRPr="00BB3D6E">
          <w:rPr>
            <w:rStyle w:val="Hyperlink"/>
            <w:rFonts w:ascii="Open Sans" w:hAnsi="Open Sans" w:cs="Open Sans"/>
          </w:rPr>
          <w:t>https://www.justiceinspectorates.gov.uk/hmic/media/developing-diversity-in-the-police-service-19950101.pdf</w:t>
        </w:r>
      </w:hyperlink>
    </w:p>
    <w:p w14:paraId="6924F66F" w14:textId="77777777" w:rsidR="003C0C24" w:rsidRDefault="003C0C24" w:rsidP="003C0C24">
      <w:pPr>
        <w:rPr>
          <w:rFonts w:ascii="Open Sans" w:hAnsi="Open Sans" w:cs="Open Sans"/>
        </w:rPr>
      </w:pPr>
    </w:p>
    <w:p w14:paraId="4A0EF6A3" w14:textId="77777777" w:rsidR="003C0C24" w:rsidRDefault="003C0C24" w:rsidP="003C0C24">
      <w:pPr>
        <w:rPr>
          <w:rFonts w:ascii="Calibri" w:hAnsi="Calibri" w:cs="Calibri"/>
          <w:color w:val="2C3E50"/>
          <w:sz w:val="27"/>
          <w:szCs w:val="27"/>
          <w:shd w:val="clear" w:color="auto" w:fill="FEF1C4"/>
        </w:rPr>
      </w:pPr>
      <w:proofErr w:type="spellStart"/>
      <w:r>
        <w:rPr>
          <w:rFonts w:ascii="Calibri" w:hAnsi="Calibri" w:cs="Calibri"/>
          <w:color w:val="2C3E50"/>
          <w:sz w:val="27"/>
          <w:szCs w:val="27"/>
          <w:shd w:val="clear" w:color="auto" w:fill="FEF1C4"/>
        </w:rPr>
        <w:t>Lullo</w:t>
      </w:r>
      <w:proofErr w:type="spellEnd"/>
      <w:r>
        <w:rPr>
          <w:rFonts w:ascii="Calibri" w:hAnsi="Calibri" w:cs="Calibri"/>
          <w:color w:val="2C3E50"/>
          <w:sz w:val="27"/>
          <w:szCs w:val="27"/>
          <w:shd w:val="clear" w:color="auto" w:fill="FEF1C4"/>
        </w:rPr>
        <w:t>, V. (n.d.). </w:t>
      </w:r>
      <w:r>
        <w:rPr>
          <w:rFonts w:ascii="Calibri" w:hAnsi="Calibri" w:cs="Calibri"/>
          <w:i/>
          <w:iCs/>
          <w:color w:val="2C3E50"/>
          <w:sz w:val="27"/>
          <w:szCs w:val="27"/>
          <w:shd w:val="clear" w:color="auto" w:fill="FEF1C4"/>
        </w:rPr>
        <w:t>The murder of Sarah Everard: How the Met Police failed women</w:t>
      </w:r>
      <w:r>
        <w:rPr>
          <w:rFonts w:ascii="Calibri" w:hAnsi="Calibri" w:cs="Calibri"/>
          <w:color w:val="2C3E50"/>
          <w:sz w:val="27"/>
          <w:szCs w:val="27"/>
          <w:shd w:val="clear" w:color="auto" w:fill="FEF1C4"/>
        </w:rPr>
        <w:t xml:space="preserve">. [online] </w:t>
      </w:r>
      <w:proofErr w:type="spellStart"/>
      <w:r>
        <w:rPr>
          <w:rFonts w:ascii="Calibri" w:hAnsi="Calibri" w:cs="Calibri"/>
          <w:color w:val="2C3E50"/>
          <w:sz w:val="27"/>
          <w:szCs w:val="27"/>
          <w:shd w:val="clear" w:color="auto" w:fill="FEF1C4"/>
        </w:rPr>
        <w:t>Crime+Investigation</w:t>
      </w:r>
      <w:proofErr w:type="spellEnd"/>
      <w:r>
        <w:rPr>
          <w:rFonts w:ascii="Calibri" w:hAnsi="Calibri" w:cs="Calibri"/>
          <w:color w:val="2C3E50"/>
          <w:sz w:val="27"/>
          <w:szCs w:val="27"/>
          <w:shd w:val="clear" w:color="auto" w:fill="FEF1C4"/>
        </w:rPr>
        <w:t xml:space="preserve"> UK. Available at: </w:t>
      </w:r>
      <w:hyperlink r:id="rId7" w:history="1">
        <w:r w:rsidRPr="00BB3D6E">
          <w:rPr>
            <w:rStyle w:val="Hyperlink"/>
            <w:rFonts w:ascii="Calibri" w:hAnsi="Calibri" w:cs="Calibri"/>
            <w:sz w:val="27"/>
            <w:szCs w:val="27"/>
            <w:shd w:val="clear" w:color="auto" w:fill="FEF1C4"/>
          </w:rPr>
          <w:t>https://www.crimeandinvestigation.co.uk/articles/murder-sarah-everard</w:t>
        </w:r>
      </w:hyperlink>
      <w:r>
        <w:rPr>
          <w:rFonts w:ascii="Calibri" w:hAnsi="Calibri" w:cs="Calibri"/>
          <w:color w:val="2C3E50"/>
          <w:sz w:val="27"/>
          <w:szCs w:val="27"/>
          <w:shd w:val="clear" w:color="auto" w:fill="FEF1C4"/>
        </w:rPr>
        <w:t>.</w:t>
      </w:r>
    </w:p>
    <w:p w14:paraId="3B189DC9" w14:textId="77777777" w:rsidR="003C0C24" w:rsidRDefault="003C0C24" w:rsidP="003C0C24"/>
    <w:p w14:paraId="3A6A084E" w14:textId="77777777" w:rsidR="003C0C24" w:rsidRDefault="003C0C24" w:rsidP="003C0C24">
      <w:pPr>
        <w:rPr>
          <w:rFonts w:cstheme="minorHAnsi"/>
          <w:color w:val="222222"/>
          <w:sz w:val="24"/>
          <w:szCs w:val="24"/>
          <w:shd w:val="clear" w:color="auto" w:fill="FFFFFF"/>
        </w:rPr>
      </w:pPr>
      <w:proofErr w:type="spellStart"/>
      <w:r w:rsidRPr="00B06788">
        <w:rPr>
          <w:rFonts w:cstheme="minorHAnsi"/>
          <w:color w:val="222222"/>
          <w:sz w:val="24"/>
          <w:szCs w:val="24"/>
          <w:shd w:val="clear" w:color="auto" w:fill="FFFFFF"/>
        </w:rPr>
        <w:t>Maden</w:t>
      </w:r>
      <w:proofErr w:type="spellEnd"/>
      <w:r w:rsidRPr="00B06788">
        <w:rPr>
          <w:rFonts w:cstheme="minorHAnsi"/>
          <w:color w:val="222222"/>
          <w:sz w:val="24"/>
          <w:szCs w:val="24"/>
          <w:shd w:val="clear" w:color="auto" w:fill="FFFFFF"/>
        </w:rPr>
        <w:t>, T., 2007. </w:t>
      </w:r>
      <w:r w:rsidRPr="00B06788">
        <w:rPr>
          <w:rFonts w:cstheme="minorHAnsi"/>
          <w:i/>
          <w:iCs/>
          <w:color w:val="222222"/>
          <w:sz w:val="24"/>
          <w:szCs w:val="24"/>
          <w:shd w:val="clear" w:color="auto" w:fill="FFFFFF"/>
        </w:rPr>
        <w:t>Treating violence: a guide to risk management in mental health</w:t>
      </w:r>
      <w:r w:rsidRPr="00B06788">
        <w:rPr>
          <w:rFonts w:cstheme="minorHAnsi"/>
          <w:color w:val="222222"/>
          <w:sz w:val="24"/>
          <w:szCs w:val="24"/>
          <w:shd w:val="clear" w:color="auto" w:fill="FFFFFF"/>
        </w:rPr>
        <w:t>. OUP Oxford.</w:t>
      </w:r>
    </w:p>
    <w:p w14:paraId="10CD5B7A" w14:textId="77777777" w:rsidR="003C0C24" w:rsidRPr="00B06788" w:rsidRDefault="003C0C24" w:rsidP="003C0C24">
      <w:pPr>
        <w:rPr>
          <w:rFonts w:cstheme="minorHAnsi"/>
          <w:sz w:val="24"/>
          <w:szCs w:val="24"/>
        </w:rPr>
      </w:pPr>
    </w:p>
    <w:p w14:paraId="313B0135" w14:textId="77777777" w:rsidR="003C0C24" w:rsidRDefault="003C0C24" w:rsidP="003C0C24">
      <w:pPr>
        <w:rPr>
          <w:rFonts w:ascii="Open Sans" w:hAnsi="Open Sans" w:cs="Open Sans"/>
          <w:color w:val="333333"/>
        </w:rPr>
      </w:pPr>
      <w:proofErr w:type="spellStart"/>
      <w:r>
        <w:rPr>
          <w:rFonts w:ascii="Open Sans" w:hAnsi="Open Sans" w:cs="Open Sans"/>
          <w:color w:val="333333"/>
        </w:rPr>
        <w:t>Mastrofski</w:t>
      </w:r>
      <w:proofErr w:type="spellEnd"/>
      <w:r>
        <w:rPr>
          <w:rFonts w:ascii="Open Sans" w:hAnsi="Open Sans" w:cs="Open Sans"/>
          <w:color w:val="333333"/>
        </w:rPr>
        <w:t xml:space="preserve">, S. D., Jonathan-Zamir, T., </w:t>
      </w:r>
      <w:proofErr w:type="spellStart"/>
      <w:r>
        <w:rPr>
          <w:rFonts w:ascii="Open Sans" w:hAnsi="Open Sans" w:cs="Open Sans"/>
          <w:color w:val="333333"/>
        </w:rPr>
        <w:t>Moyal</w:t>
      </w:r>
      <w:proofErr w:type="spellEnd"/>
      <w:r>
        <w:rPr>
          <w:rFonts w:ascii="Open Sans" w:hAnsi="Open Sans" w:cs="Open Sans"/>
          <w:color w:val="333333"/>
        </w:rPr>
        <w:t>, S., &amp; Willis, J. J. (2016). Predicting procedural justice in police-citizen encounters. </w:t>
      </w:r>
      <w:r>
        <w:rPr>
          <w:rStyle w:val="citationsource-journal"/>
          <w:rFonts w:ascii="Open Sans" w:hAnsi="Open Sans" w:cs="Open Sans"/>
          <w:i/>
          <w:iCs/>
          <w:color w:val="333333"/>
        </w:rPr>
        <w:t xml:space="preserve">Criminal Justice and </w:t>
      </w:r>
      <w:proofErr w:type="spellStart"/>
      <w:r>
        <w:rPr>
          <w:rStyle w:val="citationsource-journal"/>
          <w:rFonts w:ascii="Open Sans" w:hAnsi="Open Sans" w:cs="Open Sans"/>
          <w:i/>
          <w:iCs/>
          <w:color w:val="333333"/>
        </w:rPr>
        <w:t>Behavior</w:t>
      </w:r>
      <w:proofErr w:type="spellEnd"/>
      <w:proofErr w:type="gramStart"/>
      <w:r>
        <w:rPr>
          <w:rStyle w:val="citationsource-journal"/>
          <w:rFonts w:ascii="Open Sans" w:hAnsi="Open Sans" w:cs="Open Sans"/>
          <w:i/>
          <w:iCs/>
          <w:color w:val="333333"/>
        </w:rPr>
        <w:t>,</w:t>
      </w:r>
      <w:r w:rsidRPr="00645DA3">
        <w:rPr>
          <w:rFonts w:ascii="Open Sans" w:hAnsi="Open Sans" w:cs="Open Sans"/>
          <w:color w:val="333333"/>
        </w:rPr>
        <w:t xml:space="preserve"> </w:t>
      </w:r>
      <w:r>
        <w:rPr>
          <w:rFonts w:ascii="Open Sans" w:hAnsi="Open Sans" w:cs="Open Sans"/>
          <w:color w:val="333333"/>
        </w:rPr>
        <w:t>,</w:t>
      </w:r>
      <w:proofErr w:type="gramEnd"/>
      <w:r>
        <w:rPr>
          <w:rFonts w:ascii="Open Sans" w:hAnsi="Open Sans" w:cs="Open Sans"/>
          <w:color w:val="333333"/>
        </w:rPr>
        <w:t> </w:t>
      </w:r>
      <w:hyperlink r:id="rId8" w:tgtFrame="_blank" w:history="1">
        <w:r>
          <w:rPr>
            <w:rStyle w:val="Hyperlink"/>
            <w:rFonts w:ascii="Open Sans" w:hAnsi="Open Sans" w:cs="Open Sans"/>
            <w:color w:val="10147E"/>
          </w:rPr>
          <w:t>43</w:t>
        </w:r>
      </w:hyperlink>
      <w:r>
        <w:rPr>
          <w:rFonts w:ascii="Open Sans" w:hAnsi="Open Sans" w:cs="Open Sans"/>
          <w:color w:val="333333"/>
        </w:rPr>
        <w:t>, 119–139.10.1177/0093854815613540</w:t>
      </w:r>
    </w:p>
    <w:p w14:paraId="3FAA1656" w14:textId="77777777" w:rsidR="003C0C24" w:rsidRDefault="003C0C24" w:rsidP="003C0C24">
      <w:pPr>
        <w:rPr>
          <w:rFonts w:ascii="Open Sans" w:hAnsi="Open Sans" w:cs="Open Sans"/>
          <w:color w:val="333333"/>
        </w:rPr>
      </w:pPr>
    </w:p>
    <w:p w14:paraId="7B27B10A" w14:textId="77777777" w:rsidR="003C0C24" w:rsidRDefault="003C0C24" w:rsidP="003C0C24">
      <w:pPr>
        <w:rPr>
          <w:rFonts w:ascii="Open Sans" w:hAnsi="Open Sans" w:cs="Open Sans"/>
          <w:color w:val="333333"/>
        </w:rPr>
      </w:pPr>
      <w:r>
        <w:rPr>
          <w:rFonts w:ascii="Open Sans" w:hAnsi="Open Sans" w:cs="Open Sans"/>
          <w:color w:val="333333"/>
        </w:rPr>
        <w:t>Miles-Johnson, T. (2013). Confidence and trust in police: How sexual identity difference shapes perceptions of police. </w:t>
      </w:r>
      <w:r>
        <w:rPr>
          <w:rStyle w:val="citationsource-journal"/>
          <w:rFonts w:ascii="Open Sans" w:hAnsi="Open Sans" w:cs="Open Sans"/>
          <w:i/>
          <w:iCs/>
          <w:color w:val="333333"/>
        </w:rPr>
        <w:t>Current issues in criminal justice</w:t>
      </w:r>
      <w:r>
        <w:rPr>
          <w:rFonts w:ascii="Open Sans" w:hAnsi="Open Sans" w:cs="Open Sans"/>
          <w:color w:val="333333"/>
        </w:rPr>
        <w:t>, </w:t>
      </w:r>
      <w:r>
        <w:rPr>
          <w:rFonts w:ascii="Open Sans" w:hAnsi="Open Sans" w:cs="Open Sans"/>
          <w:i/>
          <w:iCs/>
          <w:color w:val="333333"/>
        </w:rPr>
        <w:t>25</w:t>
      </w:r>
      <w:r>
        <w:rPr>
          <w:rFonts w:ascii="Open Sans" w:hAnsi="Open Sans" w:cs="Open Sans"/>
          <w:color w:val="333333"/>
        </w:rPr>
        <w:t>, 685–702.</w:t>
      </w:r>
    </w:p>
    <w:p w14:paraId="3CBFB7A2" w14:textId="77777777" w:rsidR="003C0C24" w:rsidRDefault="003C0C24" w:rsidP="003C0C24">
      <w:pPr>
        <w:rPr>
          <w:rFonts w:ascii="Open Sans" w:hAnsi="Open Sans" w:cs="Open Sans"/>
          <w:color w:val="333333"/>
        </w:rPr>
      </w:pPr>
    </w:p>
    <w:p w14:paraId="21F48404" w14:textId="77777777" w:rsidR="003C0C24" w:rsidRDefault="00000000" w:rsidP="003C0C24">
      <w:pPr>
        <w:rPr>
          <w:rStyle w:val="Hyperlink"/>
        </w:rPr>
      </w:pPr>
      <w:hyperlink r:id="rId9" w:anchor="by-ethnicity-over-time-2007-to-2020-police-officers" w:history="1">
        <w:r w:rsidR="003C0C24">
          <w:rPr>
            <w:rStyle w:val="Hyperlink"/>
          </w:rPr>
          <w:t>Police workforce - GOV.UK Ethnicity facts and figures (ethnicity-facts-figures.service.gov.uk)</w:t>
        </w:r>
      </w:hyperlink>
    </w:p>
    <w:p w14:paraId="3C794FD7" w14:textId="77777777" w:rsidR="003C0C24" w:rsidRPr="00E40831" w:rsidRDefault="003C0C24" w:rsidP="003C0C24">
      <w:pPr>
        <w:rPr>
          <w:sz w:val="24"/>
          <w:szCs w:val="24"/>
        </w:rPr>
      </w:pPr>
    </w:p>
    <w:p w14:paraId="14F8C266" w14:textId="77777777" w:rsidR="003C0C24" w:rsidRDefault="003C0C24" w:rsidP="003C0C24">
      <w:pPr>
        <w:rPr>
          <w:rFonts w:cstheme="minorHAnsi"/>
          <w:color w:val="2A2A2A"/>
          <w:sz w:val="24"/>
          <w:szCs w:val="24"/>
          <w:shd w:val="clear" w:color="auto" w:fill="FFFFFF"/>
        </w:rPr>
      </w:pPr>
      <w:r w:rsidRPr="00B06788">
        <w:rPr>
          <w:rStyle w:val="Emphasis"/>
          <w:rFonts w:cstheme="minorHAnsi"/>
          <w:color w:val="2A2A2A"/>
          <w:sz w:val="24"/>
          <w:szCs w:val="24"/>
          <w:bdr w:val="none" w:sz="0" w:space="0" w:color="auto" w:frame="1"/>
          <w:shd w:val="clear" w:color="auto" w:fill="FFFFFF"/>
        </w:rPr>
        <w:t>Policing: A Journal of Policy and Practice</w:t>
      </w:r>
      <w:r w:rsidRPr="00B06788">
        <w:rPr>
          <w:rFonts w:cstheme="minorHAnsi"/>
          <w:color w:val="2A2A2A"/>
          <w:sz w:val="24"/>
          <w:szCs w:val="24"/>
          <w:shd w:val="clear" w:color="auto" w:fill="FFFFFF"/>
        </w:rPr>
        <w:t>, Volume 3, Issue 2, 2009, Pages 172–180,</w:t>
      </w:r>
    </w:p>
    <w:p w14:paraId="26468DFC" w14:textId="77777777" w:rsidR="003C0C24" w:rsidRPr="00B06788" w:rsidRDefault="003C0C24" w:rsidP="003C0C24">
      <w:pPr>
        <w:rPr>
          <w:rFonts w:cstheme="minorHAnsi"/>
          <w:sz w:val="24"/>
          <w:szCs w:val="24"/>
        </w:rPr>
      </w:pPr>
    </w:p>
    <w:p w14:paraId="7BC1C899" w14:textId="77777777" w:rsidR="003C0C24" w:rsidRDefault="003C0C24" w:rsidP="003C0C24">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lastRenderedPageBreak/>
        <w:t>Richards, G. (2022). </w:t>
      </w:r>
      <w:r>
        <w:rPr>
          <w:rFonts w:ascii="Calibri" w:hAnsi="Calibri" w:cs="Calibri"/>
          <w:i/>
          <w:iCs/>
          <w:color w:val="2C3E50"/>
          <w:sz w:val="27"/>
          <w:szCs w:val="27"/>
          <w:shd w:val="clear" w:color="auto" w:fill="FEF1C4"/>
        </w:rPr>
        <w:t>Police accountability</w:t>
      </w:r>
      <w:r>
        <w:rPr>
          <w:rFonts w:ascii="Calibri" w:hAnsi="Calibri" w:cs="Calibri"/>
          <w:color w:val="2C3E50"/>
          <w:sz w:val="27"/>
          <w:szCs w:val="27"/>
          <w:shd w:val="clear" w:color="auto" w:fill="FEF1C4"/>
        </w:rPr>
        <w:t xml:space="preserve">. [online] Institute for Government. Available at: </w:t>
      </w:r>
      <w:hyperlink r:id="rId10" w:history="1">
        <w:r w:rsidRPr="00BB3D6E">
          <w:rPr>
            <w:rStyle w:val="Hyperlink"/>
            <w:rFonts w:ascii="Calibri" w:hAnsi="Calibri" w:cs="Calibri"/>
            <w:sz w:val="27"/>
            <w:szCs w:val="27"/>
            <w:shd w:val="clear" w:color="auto" w:fill="FEF1C4"/>
          </w:rPr>
          <w:t>https://www.instituteforgovernment.org.uk/article/explainer/police-accountability</w:t>
        </w:r>
      </w:hyperlink>
      <w:r>
        <w:rPr>
          <w:rFonts w:ascii="Calibri" w:hAnsi="Calibri" w:cs="Calibri"/>
          <w:color w:val="2C3E50"/>
          <w:sz w:val="27"/>
          <w:szCs w:val="27"/>
          <w:shd w:val="clear" w:color="auto" w:fill="FEF1C4"/>
        </w:rPr>
        <w:t>.</w:t>
      </w:r>
    </w:p>
    <w:p w14:paraId="54397D6F" w14:textId="77777777" w:rsidR="003C0C24" w:rsidRDefault="003C0C24" w:rsidP="003C0C24">
      <w:pPr>
        <w:rPr>
          <w:rFonts w:ascii="Calibri" w:hAnsi="Calibri" w:cs="Calibri"/>
          <w:color w:val="2C3E50"/>
          <w:sz w:val="27"/>
          <w:szCs w:val="27"/>
          <w:shd w:val="clear" w:color="auto" w:fill="FEF1C4"/>
        </w:rPr>
      </w:pPr>
    </w:p>
    <w:p w14:paraId="3C8DDBDF" w14:textId="77777777" w:rsidR="003C0C24" w:rsidRDefault="003C0C24" w:rsidP="003C0C24">
      <w:pPr>
        <w:rPr>
          <w:rFonts w:cstheme="minorHAnsi"/>
          <w:color w:val="3A3A3A"/>
          <w:sz w:val="24"/>
          <w:szCs w:val="24"/>
          <w:shd w:val="clear" w:color="auto" w:fill="FFFFFF"/>
        </w:rPr>
      </w:pPr>
      <w:r w:rsidRPr="00852D59">
        <w:rPr>
          <w:rFonts w:cstheme="minorHAnsi"/>
          <w:color w:val="3A3A3A"/>
          <w:sz w:val="24"/>
          <w:szCs w:val="24"/>
          <w:shd w:val="clear" w:color="auto" w:fill="FFFFFF"/>
        </w:rPr>
        <w:t>S.-A. Ashton M. Ioannou L. Hammond. (2018). </w:t>
      </w:r>
      <w:r w:rsidRPr="00852D59">
        <w:rPr>
          <w:rFonts w:cstheme="minorHAnsi"/>
          <w:i/>
          <w:iCs/>
          <w:color w:val="3A3A3A"/>
          <w:sz w:val="24"/>
          <w:szCs w:val="24"/>
          <w:shd w:val="clear" w:color="auto" w:fill="FFFFFF"/>
        </w:rPr>
        <w:t>Offending patterns of youth gang members and leavers</w:t>
      </w:r>
      <w:r w:rsidRPr="00852D59">
        <w:rPr>
          <w:rFonts w:cstheme="minorHAnsi"/>
          <w:color w:val="3A3A3A"/>
          <w:sz w:val="24"/>
          <w:szCs w:val="24"/>
          <w:shd w:val="clear" w:color="auto" w:fill="FFFFFF"/>
        </w:rPr>
        <w:t xml:space="preserve"> (Vol. 25, Issue 2). </w:t>
      </w:r>
      <w:hyperlink r:id="rId11" w:history="1">
        <w:r w:rsidRPr="00BB3D6E">
          <w:rPr>
            <w:rStyle w:val="Hyperlink"/>
            <w:rFonts w:cstheme="minorHAnsi"/>
            <w:sz w:val="24"/>
            <w:szCs w:val="24"/>
            <w:shd w:val="clear" w:color="auto" w:fill="FFFFFF"/>
          </w:rPr>
          <w:t>https://doi.org/info:doi/</w:t>
        </w:r>
      </w:hyperlink>
    </w:p>
    <w:p w14:paraId="2938DDF8" w14:textId="77777777" w:rsidR="003C0C24" w:rsidRPr="00852D59" w:rsidRDefault="003C0C24" w:rsidP="003C0C24">
      <w:pPr>
        <w:rPr>
          <w:rFonts w:cstheme="minorHAnsi"/>
          <w:sz w:val="24"/>
          <w:szCs w:val="24"/>
        </w:rPr>
      </w:pPr>
    </w:p>
    <w:p w14:paraId="05A83269" w14:textId="77777777" w:rsidR="003C0C24" w:rsidRDefault="00000000" w:rsidP="003C0C24">
      <w:pPr>
        <w:rPr>
          <w:rStyle w:val="Hyperlink"/>
        </w:rPr>
      </w:pPr>
      <w:hyperlink r:id="rId12" w:history="1">
        <w:r w:rsidR="003C0C24">
          <w:rPr>
            <w:rStyle w:val="Hyperlink"/>
          </w:rPr>
          <w:t>Stop and search ‘makes it harder to hire black police officers’ | Police | The Guardian</w:t>
        </w:r>
      </w:hyperlink>
    </w:p>
    <w:p w14:paraId="20A2AC48" w14:textId="77777777" w:rsidR="003C0C24" w:rsidRPr="00E40831" w:rsidRDefault="003C0C24" w:rsidP="003C0C24">
      <w:pPr>
        <w:rPr>
          <w:sz w:val="24"/>
          <w:szCs w:val="24"/>
        </w:rPr>
      </w:pPr>
    </w:p>
    <w:p w14:paraId="1BB7FA3C" w14:textId="77777777" w:rsidR="003C0C24" w:rsidRDefault="003C0C24" w:rsidP="003C0C24">
      <w:r>
        <w:t>Twenty years on, is MAPPA achieving its objectives? A joint thematic inspection of Multi-Agency Public Protection Arrangements July 2022</w:t>
      </w:r>
    </w:p>
    <w:p w14:paraId="7C078C7C" w14:textId="77777777" w:rsidR="003C0C24" w:rsidRPr="00B06788" w:rsidRDefault="003C0C24" w:rsidP="003C0C24">
      <w:pPr>
        <w:rPr>
          <w:rFonts w:cstheme="minorHAnsi"/>
          <w:sz w:val="24"/>
          <w:szCs w:val="24"/>
        </w:rPr>
      </w:pPr>
    </w:p>
    <w:p w14:paraId="48A57632" w14:textId="77777777" w:rsidR="003C0C24" w:rsidRDefault="003C0C24" w:rsidP="003C0C24">
      <w:pPr>
        <w:rPr>
          <w:rFonts w:ascii="Open Sans" w:hAnsi="Open Sans" w:cs="Open Sans"/>
          <w:color w:val="333333"/>
        </w:rPr>
      </w:pPr>
      <w:r>
        <w:rPr>
          <w:rFonts w:ascii="Open Sans" w:hAnsi="Open Sans" w:cs="Open Sans"/>
          <w:color w:val="333333"/>
        </w:rPr>
        <w:t xml:space="preserve">Tyler, T. R. (2016). Trust in the twenty-first century. In E. Shockley, T. Neal, L. M. </w:t>
      </w:r>
      <w:proofErr w:type="spellStart"/>
      <w:r>
        <w:rPr>
          <w:rFonts w:ascii="Open Sans" w:hAnsi="Open Sans" w:cs="Open Sans"/>
          <w:color w:val="333333"/>
        </w:rPr>
        <w:t>Pytlikzillig</w:t>
      </w:r>
      <w:proofErr w:type="spellEnd"/>
      <w:r>
        <w:rPr>
          <w:rFonts w:ascii="Open Sans" w:hAnsi="Open Sans" w:cs="Open Sans"/>
          <w:color w:val="333333"/>
        </w:rPr>
        <w:t>, &amp; B. H. Bornstein (Eds.), </w:t>
      </w:r>
      <w:r>
        <w:rPr>
          <w:rStyle w:val="citationsource-book"/>
          <w:rFonts w:ascii="Open Sans" w:hAnsi="Open Sans" w:cs="Open Sans"/>
          <w:i/>
          <w:iCs/>
          <w:color w:val="333333"/>
        </w:rPr>
        <w:t>Interdisciplinary perspectives on trust</w:t>
      </w:r>
      <w:r>
        <w:rPr>
          <w:rFonts w:ascii="Open Sans" w:hAnsi="Open Sans" w:cs="Open Sans"/>
          <w:color w:val="333333"/>
        </w:rPr>
        <w:t> (pp. 203–215). New York, NY: Springer International Publishing.10.1007/978-3-319-22261-5</w:t>
      </w:r>
    </w:p>
    <w:p w14:paraId="0EB42D77" w14:textId="77777777" w:rsidR="003C0C24" w:rsidRPr="00E40831" w:rsidRDefault="003C0C24" w:rsidP="003C0C24">
      <w:pPr>
        <w:rPr>
          <w:sz w:val="24"/>
          <w:szCs w:val="24"/>
        </w:rPr>
      </w:pPr>
    </w:p>
    <w:p w14:paraId="3140E4C8" w14:textId="77777777" w:rsidR="003C0C24" w:rsidRDefault="003C0C24" w:rsidP="003C0C24">
      <w:pPr>
        <w:rPr>
          <w:rFonts w:ascii="Open Sans" w:hAnsi="Open Sans" w:cs="Open Sans"/>
          <w:color w:val="333333"/>
          <w:shd w:val="clear" w:color="auto" w:fill="FFFFFF"/>
        </w:rPr>
      </w:pPr>
      <w:proofErr w:type="spellStart"/>
      <w:r>
        <w:rPr>
          <w:rFonts w:ascii="Open Sans" w:hAnsi="Open Sans" w:cs="Open Sans"/>
          <w:color w:val="333333"/>
          <w:shd w:val="clear" w:color="auto" w:fill="FFFFFF"/>
        </w:rPr>
        <w:t>Velonis</w:t>
      </w:r>
      <w:proofErr w:type="spellEnd"/>
      <w:r>
        <w:rPr>
          <w:rFonts w:ascii="Open Sans" w:hAnsi="Open Sans" w:cs="Open Sans"/>
          <w:color w:val="333333"/>
          <w:shd w:val="clear" w:color="auto" w:fill="FFFFFF"/>
        </w:rPr>
        <w:t xml:space="preserve"> AJ (2016) ‘“He never did anything you typically think of as abuse”: Experiences with violence in controlling and non-controlling relationships in a non-agency sample of women. </w:t>
      </w:r>
      <w:r>
        <w:rPr>
          <w:rStyle w:val="Emphasis"/>
          <w:rFonts w:ascii="Open Sans" w:hAnsi="Open Sans" w:cs="Open Sans"/>
          <w:color w:val="333333"/>
          <w:shd w:val="clear" w:color="auto" w:fill="FFFFFF"/>
        </w:rPr>
        <w:t>Violence against Women</w:t>
      </w:r>
      <w:r>
        <w:rPr>
          <w:rFonts w:ascii="Open Sans" w:hAnsi="Open Sans" w:cs="Open Sans"/>
          <w:color w:val="333333"/>
          <w:shd w:val="clear" w:color="auto" w:fill="FFFFFF"/>
        </w:rPr>
        <w:t> 22: 1031–1054.</w:t>
      </w:r>
    </w:p>
    <w:p w14:paraId="21958920" w14:textId="77777777" w:rsidR="003C0C24" w:rsidRDefault="003C0C24" w:rsidP="003C0C24">
      <w:pPr>
        <w:rPr>
          <w:rFonts w:ascii="Open Sans" w:hAnsi="Open Sans" w:cs="Open Sans"/>
          <w:color w:val="333333"/>
          <w:shd w:val="clear" w:color="auto" w:fill="FFFFFF"/>
        </w:rPr>
      </w:pPr>
    </w:p>
    <w:p w14:paraId="00BA5A82" w14:textId="77777777" w:rsidR="003C0C24" w:rsidRDefault="003C0C24" w:rsidP="003C0C24">
      <w:pPr>
        <w:rPr>
          <w:rFonts w:ascii="Open Sans" w:hAnsi="Open Sans" w:cs="Open Sans"/>
          <w:color w:val="333333"/>
          <w:shd w:val="clear" w:color="auto" w:fill="FFFFFF"/>
        </w:rPr>
      </w:pPr>
      <w:r>
        <w:rPr>
          <w:rFonts w:ascii="Open Sans" w:hAnsi="Open Sans" w:cs="Open Sans"/>
          <w:color w:val="333333"/>
          <w:shd w:val="clear" w:color="auto" w:fill="FFFFFF"/>
        </w:rPr>
        <w:t xml:space="preserve">Vigil, J, (2018) Gangs, </w:t>
      </w:r>
      <w:proofErr w:type="gramStart"/>
      <w:r>
        <w:rPr>
          <w:rFonts w:ascii="Open Sans" w:hAnsi="Open Sans" w:cs="Open Sans"/>
          <w:color w:val="333333"/>
          <w:shd w:val="clear" w:color="auto" w:fill="FFFFFF"/>
        </w:rPr>
        <w:t>Poverty</w:t>
      </w:r>
      <w:proofErr w:type="gramEnd"/>
      <w:r>
        <w:rPr>
          <w:rFonts w:ascii="Open Sans" w:hAnsi="Open Sans" w:cs="Open Sans"/>
          <w:color w:val="333333"/>
          <w:shd w:val="clear" w:color="auto" w:fill="FFFFFF"/>
        </w:rPr>
        <w:t xml:space="preserve"> and the future. Readings in the anthropology of a city, 2018; 245-246</w:t>
      </w:r>
    </w:p>
    <w:p w14:paraId="082EE474" w14:textId="77777777" w:rsidR="003C0C24" w:rsidRPr="00852D59" w:rsidRDefault="003C0C24" w:rsidP="003C0C24">
      <w:pPr>
        <w:rPr>
          <w:rFonts w:cstheme="minorHAnsi"/>
          <w:sz w:val="24"/>
          <w:szCs w:val="24"/>
        </w:rPr>
      </w:pPr>
    </w:p>
    <w:p w14:paraId="09FEE49A" w14:textId="77777777" w:rsidR="003C0C24" w:rsidRDefault="003C0C24" w:rsidP="003C0C24">
      <w:pPr>
        <w:rPr>
          <w:rFonts w:cstheme="minorHAnsi"/>
          <w:color w:val="222222"/>
          <w:sz w:val="24"/>
          <w:szCs w:val="24"/>
          <w:shd w:val="clear" w:color="auto" w:fill="FFFFFF"/>
        </w:rPr>
      </w:pPr>
      <w:r w:rsidRPr="00B06788">
        <w:rPr>
          <w:rFonts w:cstheme="minorHAnsi"/>
          <w:color w:val="222222"/>
          <w:sz w:val="24"/>
          <w:szCs w:val="24"/>
          <w:shd w:val="clear" w:color="auto" w:fill="FFFFFF"/>
        </w:rPr>
        <w:t xml:space="preserve">Wood, J., </w:t>
      </w:r>
      <w:proofErr w:type="spellStart"/>
      <w:r w:rsidRPr="00B06788">
        <w:rPr>
          <w:rFonts w:cstheme="minorHAnsi"/>
          <w:color w:val="222222"/>
          <w:sz w:val="24"/>
          <w:szCs w:val="24"/>
          <w:shd w:val="clear" w:color="auto" w:fill="FFFFFF"/>
        </w:rPr>
        <w:t>Kemshall</w:t>
      </w:r>
      <w:proofErr w:type="spellEnd"/>
      <w:r w:rsidRPr="00B06788">
        <w:rPr>
          <w:rFonts w:cstheme="minorHAnsi"/>
          <w:color w:val="222222"/>
          <w:sz w:val="24"/>
          <w:szCs w:val="24"/>
          <w:shd w:val="clear" w:color="auto" w:fill="FFFFFF"/>
        </w:rPr>
        <w:t>, H. and Maguire, M., 2007. </w:t>
      </w:r>
      <w:r w:rsidRPr="00B06788">
        <w:rPr>
          <w:rFonts w:cstheme="minorHAnsi"/>
          <w:i/>
          <w:iCs/>
          <w:color w:val="222222"/>
          <w:sz w:val="24"/>
          <w:szCs w:val="24"/>
          <w:shd w:val="clear" w:color="auto" w:fill="FFFFFF"/>
        </w:rPr>
        <w:t>The operation and experience of multi-agency public protection arrangements (MAPPA)</w:t>
      </w:r>
      <w:r w:rsidRPr="00B06788">
        <w:rPr>
          <w:rFonts w:cstheme="minorHAnsi"/>
          <w:color w:val="222222"/>
          <w:sz w:val="24"/>
          <w:szCs w:val="24"/>
          <w:shd w:val="clear" w:color="auto" w:fill="FFFFFF"/>
        </w:rPr>
        <w:t>. London: Home Office.</w:t>
      </w:r>
    </w:p>
    <w:p w14:paraId="1294983D" w14:textId="77777777" w:rsidR="003C0C24" w:rsidRDefault="003C0C24" w:rsidP="003C0C24">
      <w:pPr>
        <w:rPr>
          <w:rFonts w:cstheme="minorHAnsi"/>
          <w:color w:val="222222"/>
          <w:sz w:val="24"/>
          <w:szCs w:val="24"/>
          <w:shd w:val="clear" w:color="auto" w:fill="FFFFFF"/>
        </w:rPr>
      </w:pPr>
    </w:p>
    <w:p w14:paraId="69A12566" w14:textId="77777777" w:rsidR="003C0C24" w:rsidRDefault="003C0C24" w:rsidP="003C0C24">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www.servicecare.org.uk. (n.d.). </w:t>
      </w:r>
      <w:r>
        <w:rPr>
          <w:rFonts w:ascii="Calibri" w:hAnsi="Calibri" w:cs="Calibri"/>
          <w:i/>
          <w:iCs/>
          <w:color w:val="2C3E50"/>
          <w:sz w:val="27"/>
          <w:szCs w:val="27"/>
          <w:shd w:val="clear" w:color="auto" w:fill="FEF1C4"/>
        </w:rPr>
        <w:t xml:space="preserve">Police Vetting - What is it, </w:t>
      </w:r>
      <w:proofErr w:type="gramStart"/>
      <w:r>
        <w:rPr>
          <w:rFonts w:ascii="Calibri" w:hAnsi="Calibri" w:cs="Calibri"/>
          <w:i/>
          <w:iCs/>
          <w:color w:val="2C3E50"/>
          <w:sz w:val="27"/>
          <w:szCs w:val="27"/>
          <w:shd w:val="clear" w:color="auto" w:fill="FEF1C4"/>
        </w:rPr>
        <w:t>What</w:t>
      </w:r>
      <w:proofErr w:type="gramEnd"/>
      <w:r>
        <w:rPr>
          <w:rFonts w:ascii="Calibri" w:hAnsi="Calibri" w:cs="Calibri"/>
          <w:i/>
          <w:iCs/>
          <w:color w:val="2C3E50"/>
          <w:sz w:val="27"/>
          <w:szCs w:val="27"/>
          <w:shd w:val="clear" w:color="auto" w:fill="FEF1C4"/>
        </w:rPr>
        <w:t xml:space="preserve"> is Considered and Will I Get Clearance?</w:t>
      </w:r>
      <w:r>
        <w:rPr>
          <w:rFonts w:ascii="Calibri" w:hAnsi="Calibri" w:cs="Calibri"/>
          <w:color w:val="2C3E50"/>
          <w:sz w:val="27"/>
          <w:szCs w:val="27"/>
          <w:shd w:val="clear" w:color="auto" w:fill="FEF1C4"/>
        </w:rPr>
        <w:t> [online] Available at: https://www.servicecare.org.uk/blog/2020/04/police-vetting-what-is-it-what-is-considered-and-will-i-get-clearance?source=bing.com [Accessed 15 Jan. 2024].</w:t>
      </w:r>
    </w:p>
    <w:p w14:paraId="65426259" w14:textId="77777777" w:rsidR="003C0C24" w:rsidRDefault="003C0C24"/>
    <w:sectPr w:rsidR="003C0C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0C24"/>
    <w:rsid w:val="00055230"/>
    <w:rsid w:val="003C0C24"/>
    <w:rsid w:val="00B052F7"/>
    <w:rsid w:val="00D630A7"/>
    <w:rsid w:val="00F55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E1DE9"/>
  <w15:chartTrackingRefBased/>
  <w15:docId w15:val="{3F5C280A-281B-42C5-8E19-652532CDA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0C24"/>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C0C24"/>
    <w:rPr>
      <w:i/>
      <w:iCs/>
    </w:rPr>
  </w:style>
  <w:style w:type="character" w:styleId="Hyperlink">
    <w:name w:val="Hyperlink"/>
    <w:basedOn w:val="DefaultParagraphFont"/>
    <w:uiPriority w:val="99"/>
    <w:unhideWhenUsed/>
    <w:rsid w:val="003C0C24"/>
    <w:rPr>
      <w:color w:val="0563C1" w:themeColor="hyperlink"/>
      <w:u w:val="single"/>
    </w:rPr>
  </w:style>
  <w:style w:type="character" w:customStyle="1" w:styleId="ref-journal">
    <w:name w:val="ref-journal"/>
    <w:basedOn w:val="DefaultParagraphFont"/>
    <w:rsid w:val="003C0C24"/>
  </w:style>
  <w:style w:type="character" w:customStyle="1" w:styleId="ref-vol">
    <w:name w:val="ref-vol"/>
    <w:basedOn w:val="DefaultParagraphFont"/>
    <w:rsid w:val="003C0C24"/>
  </w:style>
  <w:style w:type="character" w:customStyle="1" w:styleId="citationsource-book">
    <w:name w:val="citation_source-book"/>
    <w:basedOn w:val="DefaultParagraphFont"/>
    <w:rsid w:val="003C0C24"/>
  </w:style>
  <w:style w:type="character" w:customStyle="1" w:styleId="citationsource-journal">
    <w:name w:val="citation_source-journal"/>
    <w:basedOn w:val="DefaultParagraphFont"/>
    <w:rsid w:val="003C0C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9385481561354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rimeandinvestigation.co.uk/articles/murder-sarah-everard" TargetMode="External"/><Relationship Id="rId12" Type="http://schemas.openxmlformats.org/officeDocument/2006/relationships/hyperlink" Target="https://www.theguardian.com/uk-news/2020/nov/01/stop-and-search-makes-it-harder-to-hire-black-officer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justiceinspectorates.gov.uk/hmic/media/developing-diversity-in-the-police-service-19950101.pdf" TargetMode="External"/><Relationship Id="rId11" Type="http://schemas.openxmlformats.org/officeDocument/2006/relationships/hyperlink" Target="https://doi.org/info:doi/" TargetMode="External"/><Relationship Id="rId5" Type="http://schemas.openxmlformats.org/officeDocument/2006/relationships/hyperlink" Target="https://federalnewsnetwork.com/federal-insights/2023/03/community-policing-is-fueled-by-diversity-equity-and-inclusion/" TargetMode="External"/><Relationship Id="rId10" Type="http://schemas.openxmlformats.org/officeDocument/2006/relationships/hyperlink" Target="https://www.instituteforgovernment.org.uk/article/explainer/police-accountability" TargetMode="External"/><Relationship Id="rId4" Type="http://schemas.openxmlformats.org/officeDocument/2006/relationships/webSettings" Target="webSettings.xml"/><Relationship Id="rId9" Type="http://schemas.openxmlformats.org/officeDocument/2006/relationships/hyperlink" Target="https://www.ethnicity-facts-figures.service.gov.uk/workforce-and-business/workforce-diversity/police-workforce/lates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San23</b:Tag>
    <b:SourceType>InternetSite</b:SourceType>
    <b:Guid>{AC599D5C-EA7B-4501-A799-9B45BFCBC92A}</b:Guid>
    <b:Title>Federal News Network</b:Title>
    <b:Year>2023</b:Year>
    <b:Author>
      <b:Author>
        <b:NameList>
          <b:Person>
            <b:Last>Mcarthur</b:Last>
            <b:First>Sandy</b:First>
            <b:Middle>Jo</b:Middle>
          </b:Person>
        </b:NameList>
      </b:Author>
    </b:Author>
    <b:Month>March</b:Month>
    <b:URL>https://federalnewsnetwork.com/federal-insights/2023/03/community-policing-is-fueled-by-diversity-equity-and-inclusion/</b:URL>
    <b:RefOrder>1</b:RefOrder>
  </b:Source>
  <b:Source>
    <b:Tag>Gov23</b:Tag>
    <b:SourceType>InternetSite</b:SourceType>
    <b:Guid>{EB4E05F6-B231-43E6-BEE1-AE9DB5DCB3D1}</b:Guid>
    <b:Author>
      <b:Author>
        <b:NameList>
          <b:Person>
            <b:Last>Gov.uk</b:Last>
          </b:Person>
        </b:NameList>
      </b:Author>
    </b:Author>
    <b:InternetSiteTitle>Gov.uk</b:InternetSiteTitle>
    <b:Year>2023</b:Year>
    <b:Month>May</b:Month>
    <b:RefOrder>2</b:RefOrder>
  </b:Source>
</b:Sources>
</file>

<file path=customXml/itemProps1.xml><?xml version="1.0" encoding="utf-8"?>
<ds:datastoreItem xmlns:ds="http://schemas.openxmlformats.org/officeDocument/2006/customXml" ds:itemID="{4815261F-44AF-489A-B300-FC4813968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4640</Words>
  <Characters>26450</Characters>
  <Application>Microsoft Office Word</Application>
  <DocSecurity>0</DocSecurity>
  <Lines>220</Lines>
  <Paragraphs>62</Paragraphs>
  <ScaleCrop>false</ScaleCrop>
  <Company>Gwent Police</Company>
  <LinksUpToDate>false</LinksUpToDate>
  <CharactersWithSpaces>31028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Christopher</dc:creator>
  <cp:keywords/>
  <dc:description/>
  <cp:lastModifiedBy>George, Christopher</cp:lastModifiedBy>
  <cp:revision>3</cp:revision>
  <dcterms:created xsi:type="dcterms:W3CDTF">2024-01-28T17:43:00Z</dcterms:created>
  <dcterms:modified xsi:type="dcterms:W3CDTF">2024-01-28T17:51:00Z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2024-01-28T17:45:18Z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4999d534-cea4-4533-b427-fb2903b69e3e</vt:lpwstr>
  </property>
  <property fmtid="{D5CDD505-2E9C-101B-9397-08002B2CF9AE}" pid="8" name="MSIP_Label_f2acd28b-79a3-4a0f-b0ff-4b75658b1549_ContentBits">
    <vt:lpwstr>0</vt:lpwstr>
  </property>
</Properties>
</file>