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CCD6A"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18C8F440" w14:textId="348C3C49" w:rsidR="00313CFB" w:rsidRPr="00E940F0" w:rsidRDefault="00E940F0" w:rsidP="003C1399">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9E6700">
        <w:rPr>
          <w:rFonts w:ascii="Times New Roman" w:hAnsi="Times New Roman"/>
          <w:color w:val="000000"/>
          <w:sz w:val="36"/>
          <w:szCs w:val="36"/>
        </w:rPr>
        <w:t>3</w:t>
      </w:r>
      <w:r w:rsidRPr="00E940F0">
        <w:rPr>
          <w:rFonts w:ascii="Times New Roman" w:hAnsi="Times New Roman"/>
          <w:color w:val="000000"/>
          <w:sz w:val="36"/>
          <w:szCs w:val="36"/>
        </w:rPr>
        <w:t>-1-SS)</w:t>
      </w:r>
    </w:p>
    <w:p w14:paraId="1E48F155" w14:textId="25999459" w:rsidR="00313CFB" w:rsidRPr="00E940F0" w:rsidRDefault="00CD7E3B" w:rsidP="003C1399">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3C1399">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3C1399">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3C1399">
      <w:pPr>
        <w:adjustRightInd w:val="0"/>
        <w:snapToGrid w:val="0"/>
        <w:spacing w:line="0" w:lineRule="atLeast"/>
        <w:jc w:val="center"/>
        <w:rPr>
          <w:rFonts w:ascii="Times New Roman" w:hAnsi="Times New Roman"/>
          <w:b/>
          <w:sz w:val="32"/>
          <w:szCs w:val="32"/>
          <w:lang w:val="en-HK"/>
        </w:rPr>
      </w:pPr>
    </w:p>
    <w:p w14:paraId="21432FA5" w14:textId="20DCC255" w:rsidR="00684616" w:rsidRPr="00293F31" w:rsidRDefault="004857C6" w:rsidP="00305C85">
      <w:pPr>
        <w:adjustRightInd w:val="0"/>
        <w:snapToGrid w:val="0"/>
        <w:spacing w:line="0" w:lineRule="atLeast"/>
        <w:ind w:left="397"/>
        <w:jc w:val="center"/>
        <w:rPr>
          <w:rFonts w:ascii="Times New Roman" w:hAnsi="Times New Roman"/>
          <w:b/>
          <w:sz w:val="36"/>
          <w:szCs w:val="36"/>
          <w:lang w:val="en-HK"/>
        </w:rPr>
      </w:pPr>
      <w:r w:rsidRPr="00293F31">
        <w:rPr>
          <w:rFonts w:ascii="Times New Roman" w:hAnsi="Times New Roman"/>
          <w:b/>
          <w:kern w:val="0"/>
          <w:sz w:val="36"/>
          <w:szCs w:val="36"/>
          <w:lang w:val="en-GB"/>
        </w:rPr>
        <w:t xml:space="preserve">An Analytical Report on the </w:t>
      </w:r>
      <w:r w:rsidR="005D3924">
        <w:rPr>
          <w:rFonts w:ascii="Times New Roman" w:hAnsi="Times New Roman"/>
          <w:b/>
          <w:kern w:val="0"/>
          <w:sz w:val="36"/>
          <w:szCs w:val="36"/>
          <w:lang w:val="en-GB"/>
        </w:rPr>
        <w:t>T</w:t>
      </w:r>
      <w:r w:rsidRPr="00293F31">
        <w:rPr>
          <w:rFonts w:ascii="Times New Roman" w:hAnsi="Times New Roman"/>
          <w:b/>
          <w:kern w:val="0"/>
          <w:sz w:val="36"/>
          <w:szCs w:val="36"/>
          <w:lang w:val="en-GB"/>
        </w:rPr>
        <w:t>rend Movement of a Key Indicator of the Global Economy</w:t>
      </w:r>
    </w:p>
    <w:p w14:paraId="36DDE773" w14:textId="77777777" w:rsidR="004857C6" w:rsidRDefault="004857C6" w:rsidP="00C17926">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3C1399">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3C1399">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3C1399">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3C1399">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3C1399">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3C1399">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3C1399">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3C1399">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3C1399">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69D0FD3C" w:rsidR="003C1399" w:rsidRPr="00344541" w:rsidRDefault="00344541" w:rsidP="0096079B">
            <w:pPr>
              <w:tabs>
                <w:tab w:val="left" w:pos="4606"/>
              </w:tabs>
              <w:adjustRightInd w:val="0"/>
              <w:snapToGrid w:val="0"/>
              <w:spacing w:line="360" w:lineRule="auto"/>
              <w:jc w:val="both"/>
              <w:rPr>
                <w:rFonts w:ascii="Times New Roman" w:hAnsi="Times New Roman"/>
                <w:sz w:val="26"/>
                <w:szCs w:val="26"/>
                <w:lang w:val="en-HK"/>
              </w:rPr>
            </w:pPr>
            <w:r>
              <w:rPr>
                <w:rFonts w:ascii="Times New Roman" w:hAnsi="Times New Roman" w:hint="eastAsia"/>
                <w:sz w:val="26"/>
                <w:szCs w:val="26"/>
                <w:lang w:val="en-HK"/>
              </w:rPr>
              <w:t>L</w:t>
            </w:r>
            <w:r w:rsidR="0096079B">
              <w:rPr>
                <w:rFonts w:ascii="Times New Roman" w:hAnsi="Times New Roman"/>
                <w:sz w:val="26"/>
                <w:szCs w:val="26"/>
                <w:lang w:val="en-HK"/>
              </w:rPr>
              <w:t xml:space="preserve">ai Chun </w:t>
            </w:r>
            <w:proofErr w:type="spellStart"/>
            <w:r w:rsidR="0096079B">
              <w:rPr>
                <w:rFonts w:ascii="Times New Roman" w:hAnsi="Times New Roman"/>
                <w:sz w:val="26"/>
                <w:szCs w:val="26"/>
                <w:lang w:val="en-HK"/>
              </w:rPr>
              <w:t>Wui</w:t>
            </w:r>
            <w:proofErr w:type="spellEnd"/>
          </w:p>
        </w:tc>
      </w:tr>
      <w:tr w:rsidR="003C1399" w:rsidRPr="003C1399" w14:paraId="32CBE455" w14:textId="77777777" w:rsidTr="00E940F0">
        <w:tc>
          <w:tcPr>
            <w:tcW w:w="2942" w:type="dxa"/>
            <w:hideMark/>
          </w:tcPr>
          <w:p w14:paraId="31DE2B61"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2FCA4936" w:rsidR="003C1399" w:rsidRPr="008F37F3" w:rsidRDefault="008F37F3" w:rsidP="001E2AE8">
            <w:pPr>
              <w:tabs>
                <w:tab w:val="left" w:pos="4606"/>
              </w:tabs>
              <w:adjustRightInd w:val="0"/>
              <w:snapToGrid w:val="0"/>
              <w:spacing w:line="360" w:lineRule="auto"/>
              <w:jc w:val="both"/>
              <w:rPr>
                <w:rFonts w:ascii="Times New Roman" w:hAnsi="Times New Roman"/>
                <w:sz w:val="26"/>
                <w:szCs w:val="26"/>
                <w:lang w:val="en-HK"/>
              </w:rPr>
            </w:pPr>
            <w:r w:rsidRPr="008F37F3">
              <w:rPr>
                <w:rFonts w:ascii="Times New Roman" w:hAnsi="Times New Roman"/>
                <w:sz w:val="26"/>
                <w:szCs w:val="26"/>
                <w:lang w:val="en-HK"/>
              </w:rPr>
              <w:t>2322642</w:t>
            </w:r>
          </w:p>
        </w:tc>
      </w:tr>
      <w:tr w:rsidR="003C1399" w:rsidRPr="003C1399" w14:paraId="0396F091" w14:textId="77777777" w:rsidTr="00E940F0">
        <w:tc>
          <w:tcPr>
            <w:tcW w:w="2942" w:type="dxa"/>
          </w:tcPr>
          <w:p w14:paraId="44642F0D" w14:textId="0D05ECAA" w:rsidR="003C1399" w:rsidRPr="001E2AE8" w:rsidRDefault="003C1399"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1E2AE8">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43E27C11" w:rsidR="003C1399" w:rsidRPr="003C1399" w:rsidRDefault="009E6700" w:rsidP="001E2AE8">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11</w:t>
            </w:r>
            <w:r w:rsidR="00E940F0" w:rsidRPr="00E940F0">
              <w:rPr>
                <w:rFonts w:ascii="Times New Roman" w:hAnsi="Times New Roman"/>
                <w:sz w:val="26"/>
                <w:szCs w:val="24"/>
                <w:lang w:val="en-HK"/>
              </w:rPr>
              <w:t xml:space="preserve"> </w:t>
            </w:r>
            <w:r>
              <w:rPr>
                <w:rFonts w:ascii="Times New Roman" w:hAnsi="Times New Roman"/>
                <w:sz w:val="26"/>
                <w:szCs w:val="24"/>
                <w:lang w:val="en-HK"/>
              </w:rPr>
              <w:t>March</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1E2AE8">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1E2AE8">
            <w:pPr>
              <w:tabs>
                <w:tab w:val="left" w:pos="4606"/>
              </w:tabs>
              <w:adjustRightInd w:val="0"/>
              <w:snapToGrid w:val="0"/>
              <w:spacing w:line="360" w:lineRule="auto"/>
              <w:jc w:val="both"/>
              <w:rPr>
                <w:rFonts w:ascii="Times New Roman" w:hAnsi="Times New Roman"/>
                <w:sz w:val="26"/>
                <w:szCs w:val="24"/>
                <w:lang w:val="en-HK"/>
              </w:rPr>
            </w:pPr>
            <w:proofErr w:type="spellStart"/>
            <w:r w:rsidRPr="00E940F0">
              <w:rPr>
                <w:rFonts w:ascii="Times New Roman" w:hAnsi="Times New Roman"/>
                <w:sz w:val="26"/>
                <w:szCs w:val="24"/>
                <w:lang w:val="en-HK"/>
              </w:rPr>
              <w:t>Dr.</w:t>
            </w:r>
            <w:proofErr w:type="spellEnd"/>
            <w:r w:rsidRPr="00E940F0">
              <w:rPr>
                <w:rFonts w:ascii="Times New Roman" w:hAnsi="Times New Roman"/>
                <w:sz w:val="26"/>
                <w:szCs w:val="24"/>
                <w:lang w:val="en-HK"/>
              </w:rPr>
              <w:t xml:space="preserve"> Che Cheong Poon</w:t>
            </w:r>
          </w:p>
        </w:tc>
      </w:tr>
    </w:tbl>
    <w:p w14:paraId="5097A186" w14:textId="77777777" w:rsidR="003C1399" w:rsidRPr="003C1399" w:rsidRDefault="003C1399" w:rsidP="003C1399">
      <w:pPr>
        <w:autoSpaceDE w:val="0"/>
        <w:autoSpaceDN w:val="0"/>
        <w:adjustRightInd w:val="0"/>
        <w:snapToGrid w:val="0"/>
        <w:spacing w:line="360" w:lineRule="auto"/>
        <w:rPr>
          <w:rFonts w:ascii="TimesNewRoman,Bold" w:hAnsi="TimesNewRoman,Bold" w:cs="TimesNewRoman,Bold"/>
          <w:b/>
          <w:bCs/>
          <w:kern w:val="0"/>
          <w:sz w:val="40"/>
          <w:szCs w:val="40"/>
          <w:lang w:val="en-HK"/>
        </w:rPr>
      </w:pPr>
    </w:p>
    <w:p w14:paraId="1C9A7BEE" w14:textId="6D911B18" w:rsidR="003C1399" w:rsidRDefault="003C1399" w:rsidP="00490413">
      <w:pPr>
        <w:adjustRightInd w:val="0"/>
        <w:snapToGrid w:val="0"/>
        <w:jc w:val="center"/>
        <w:rPr>
          <w:rFonts w:ascii="Times New Roman" w:hAnsi="Times New Roman"/>
          <w:sz w:val="20"/>
          <w:szCs w:val="20"/>
          <w:lang w:val="en-GB"/>
        </w:rPr>
      </w:pPr>
    </w:p>
    <w:p w14:paraId="72C96C6A" w14:textId="345112B9" w:rsidR="003C1399" w:rsidRDefault="003C1399" w:rsidP="00490413">
      <w:pPr>
        <w:adjustRightInd w:val="0"/>
        <w:snapToGrid w:val="0"/>
        <w:jc w:val="center"/>
        <w:rPr>
          <w:rFonts w:ascii="Times New Roman" w:hAnsi="Times New Roman"/>
          <w:sz w:val="20"/>
          <w:szCs w:val="20"/>
          <w:lang w:val="en-GB"/>
        </w:rPr>
      </w:pPr>
    </w:p>
    <w:p w14:paraId="2548128F" w14:textId="58FCB923" w:rsidR="003C1399" w:rsidRDefault="003C1399" w:rsidP="00490413">
      <w:pPr>
        <w:adjustRightInd w:val="0"/>
        <w:snapToGrid w:val="0"/>
        <w:jc w:val="center"/>
        <w:rPr>
          <w:rFonts w:ascii="Times New Roman" w:hAnsi="Times New Roman"/>
          <w:sz w:val="20"/>
          <w:szCs w:val="20"/>
          <w:lang w:val="en-GB"/>
        </w:rPr>
      </w:pPr>
    </w:p>
    <w:p w14:paraId="0FBA2A24" w14:textId="77777777" w:rsidR="004238D8" w:rsidRPr="0096250A" w:rsidRDefault="004238D8">
      <w:pPr>
        <w:jc w:val="both"/>
        <w:rPr>
          <w:rFonts w:ascii="Times New Roman" w:eastAsia="標楷體" w:hAnsi="Times New Roman"/>
          <w:b/>
          <w:smallCaps/>
          <w:sz w:val="22"/>
          <w:u w:val="single"/>
          <w:lang w:val="en-GB"/>
        </w:rPr>
        <w:sectPr w:rsidR="004238D8" w:rsidRPr="0096250A" w:rsidSect="002970F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3E4438E" w14:textId="41CC56BC" w:rsidR="00B638D9" w:rsidRPr="00E4085C" w:rsidRDefault="00311ADA" w:rsidP="00311ADA">
      <w:pPr>
        <w:adjustRightInd w:val="0"/>
        <w:jc w:val="center"/>
        <w:rPr>
          <w:rFonts w:ascii="Times New Roman" w:hAnsi="Times New Roman"/>
          <w:b/>
          <w:szCs w:val="24"/>
          <w:u w:val="single"/>
        </w:rPr>
      </w:pPr>
      <w:r w:rsidRPr="00E4085C">
        <w:rPr>
          <w:rFonts w:ascii="Times New Roman" w:hAnsi="Times New Roman"/>
          <w:color w:val="000000"/>
          <w:szCs w:val="24"/>
        </w:rPr>
        <w:t>UWTSD MBA (</w:t>
      </w:r>
      <w:r w:rsidR="002904D7" w:rsidRPr="00E4085C">
        <w:rPr>
          <w:rFonts w:ascii="Times New Roman" w:hAnsi="Times New Roman"/>
          <w:color w:val="000000"/>
          <w:szCs w:val="24"/>
        </w:rPr>
        <w:t>May/</w:t>
      </w:r>
      <w:r w:rsidRPr="00E4085C">
        <w:rPr>
          <w:rFonts w:ascii="Times New Roman" w:hAnsi="Times New Roman"/>
          <w:color w:val="000000"/>
          <w:szCs w:val="24"/>
        </w:rPr>
        <w:t xml:space="preserve">Nov </w:t>
      </w:r>
      <w:r w:rsidR="002904D7" w:rsidRPr="00E4085C">
        <w:rPr>
          <w:rFonts w:ascii="Times New Roman" w:hAnsi="Times New Roman"/>
          <w:color w:val="000000"/>
          <w:szCs w:val="24"/>
        </w:rPr>
        <w:t>20</w:t>
      </w:r>
      <w:r w:rsidR="00DF39E6" w:rsidRPr="00E4085C">
        <w:rPr>
          <w:rFonts w:ascii="Times New Roman" w:hAnsi="Times New Roman"/>
          <w:color w:val="000000"/>
          <w:szCs w:val="24"/>
        </w:rPr>
        <w:t>2</w:t>
      </w:r>
      <w:r w:rsidR="008349B4" w:rsidRPr="00E4085C">
        <w:rPr>
          <w:rFonts w:ascii="Times New Roman" w:hAnsi="Times New Roman"/>
          <w:color w:val="000000"/>
          <w:szCs w:val="24"/>
        </w:rPr>
        <w:t>3</w:t>
      </w:r>
      <w:r w:rsidRPr="00E4085C">
        <w:rPr>
          <w:rFonts w:ascii="Times New Roman" w:hAnsi="Times New Roman"/>
          <w:color w:val="000000"/>
          <w:szCs w:val="24"/>
        </w:rPr>
        <w:t xml:space="preserve"> intake</w:t>
      </w:r>
      <w:r w:rsidR="002904D7" w:rsidRPr="00E4085C">
        <w:rPr>
          <w:rFonts w:ascii="Times New Roman" w:hAnsi="Times New Roman"/>
          <w:color w:val="000000"/>
          <w:szCs w:val="24"/>
        </w:rPr>
        <w:t>s</w:t>
      </w:r>
      <w:r w:rsidRPr="00E4085C">
        <w:rPr>
          <w:rFonts w:ascii="Times New Roman" w:hAnsi="Times New Roman"/>
          <w:color w:val="000000"/>
          <w:szCs w:val="24"/>
        </w:rPr>
        <w:t xml:space="preserve">) </w:t>
      </w:r>
      <w:r w:rsidR="002904D7" w:rsidRPr="00E4085C">
        <w:rPr>
          <w:rFonts w:ascii="Times New Roman" w:hAnsi="Times New Roman"/>
          <w:color w:val="000000"/>
          <w:szCs w:val="24"/>
        </w:rPr>
        <w:br/>
        <w:t>BMMB700</w:t>
      </w:r>
      <w:r w:rsidR="00DF39E6" w:rsidRPr="00E4085C">
        <w:rPr>
          <w:rFonts w:ascii="Times New Roman" w:hAnsi="Times New Roman"/>
          <w:color w:val="000000"/>
          <w:szCs w:val="24"/>
        </w:rPr>
        <w:t>9</w:t>
      </w:r>
      <w:r w:rsidR="002904D7" w:rsidRPr="00E4085C">
        <w:rPr>
          <w:rFonts w:ascii="Times New Roman" w:hAnsi="Times New Roman"/>
          <w:color w:val="000000"/>
          <w:szCs w:val="24"/>
        </w:rPr>
        <w:t xml:space="preserve"> Global Business Challenges</w:t>
      </w:r>
    </w:p>
    <w:p w14:paraId="270078E0" w14:textId="77777777" w:rsidR="00B638D9" w:rsidRPr="00E4085C" w:rsidRDefault="00B638D9" w:rsidP="00311ADA">
      <w:pPr>
        <w:adjustRightInd w:val="0"/>
        <w:jc w:val="center"/>
        <w:rPr>
          <w:rFonts w:ascii="Times New Roman" w:hAnsi="Times New Roman"/>
          <w:b/>
          <w:szCs w:val="24"/>
          <w:u w:val="single"/>
        </w:rPr>
      </w:pPr>
    </w:p>
    <w:p w14:paraId="42880AAC" w14:textId="77777777" w:rsidR="00850120" w:rsidRPr="00E4085C" w:rsidRDefault="00311ADA" w:rsidP="00311ADA">
      <w:pPr>
        <w:rPr>
          <w:rFonts w:ascii="Times New Roman" w:hAnsi="Times New Roman"/>
          <w:szCs w:val="24"/>
        </w:rPr>
      </w:pPr>
      <w:r w:rsidRPr="00E4085C">
        <w:rPr>
          <w:rFonts w:ascii="Times New Roman" w:hAnsi="Times New Roman"/>
          <w:szCs w:val="24"/>
        </w:rPr>
        <w:t>Assignment Title:</w:t>
      </w:r>
      <w:r w:rsidR="00850120" w:rsidRPr="00E4085C">
        <w:rPr>
          <w:rFonts w:ascii="Times New Roman" w:hAnsi="Times New Roman"/>
          <w:szCs w:val="24"/>
        </w:rPr>
        <w:t xml:space="preserve"> </w:t>
      </w:r>
    </w:p>
    <w:p w14:paraId="5829FE7E" w14:textId="69A38DE9" w:rsidR="00311ADA" w:rsidRPr="00E4085C" w:rsidRDefault="00850120" w:rsidP="00311ADA">
      <w:pPr>
        <w:rPr>
          <w:rFonts w:ascii="Times New Roman" w:hAnsi="Times New Roman"/>
          <w:szCs w:val="24"/>
        </w:rPr>
      </w:pPr>
      <w:r w:rsidRPr="00E4085C">
        <w:rPr>
          <w:rFonts w:ascii="Times New Roman" w:hAnsi="Times New Roman"/>
          <w:szCs w:val="24"/>
        </w:rPr>
        <w:t>An Analytical Report on the Trend Movement of a Key Indicator of the Global Economy</w:t>
      </w:r>
    </w:p>
    <w:p w14:paraId="7C296744" w14:textId="77777777" w:rsidR="00BB4C1B" w:rsidRPr="00E4085C" w:rsidRDefault="00BB4C1B">
      <w:pPr>
        <w:jc w:val="both"/>
        <w:rPr>
          <w:rFonts w:ascii="Times New Roman" w:hAnsi="Times New Roman"/>
          <w:szCs w:val="24"/>
        </w:rPr>
      </w:pPr>
    </w:p>
    <w:p w14:paraId="0AB70F5B" w14:textId="5698F78B" w:rsidR="004238D8" w:rsidRPr="00E4085C" w:rsidRDefault="00B25B3D">
      <w:pPr>
        <w:jc w:val="both"/>
        <w:rPr>
          <w:rFonts w:ascii="Times New Roman" w:hAnsi="Times New Roman"/>
          <w:szCs w:val="24"/>
        </w:rPr>
      </w:pPr>
      <w:r w:rsidRPr="00E4085C">
        <w:rPr>
          <w:rFonts w:ascii="Times New Roman" w:hAnsi="Times New Roman"/>
          <w:szCs w:val="24"/>
        </w:rPr>
        <w:t xml:space="preserve">“I, </w:t>
      </w:r>
      <w:r w:rsidR="00950792" w:rsidRPr="00E4085C">
        <w:rPr>
          <w:rFonts w:ascii="Times New Roman" w:hAnsi="Times New Roman"/>
          <w:szCs w:val="24"/>
        </w:rPr>
        <w:t>LAI CHUN WUI</w:t>
      </w:r>
      <w:r w:rsidR="009A7025" w:rsidRPr="00E4085C">
        <w:rPr>
          <w:rFonts w:ascii="Times New Roman" w:hAnsi="Times New Roman"/>
          <w:szCs w:val="24"/>
        </w:rPr>
        <w:t xml:space="preserve"> (</w:t>
      </w:r>
      <w:r w:rsidR="00E65A87" w:rsidRPr="00E4085C">
        <w:rPr>
          <w:rFonts w:ascii="Times New Roman" w:hAnsi="Times New Roman"/>
          <w:szCs w:val="24"/>
        </w:rPr>
        <w:t>Student ID:</w:t>
      </w:r>
      <w:r w:rsidR="00894AD7" w:rsidRPr="00E4085C">
        <w:rPr>
          <w:rFonts w:ascii="Times New Roman" w:hAnsi="Times New Roman"/>
          <w:szCs w:val="24"/>
        </w:rPr>
        <w:t xml:space="preserve"> </w:t>
      </w:r>
      <w:r w:rsidR="00E65A87" w:rsidRPr="00E4085C">
        <w:rPr>
          <w:rFonts w:ascii="Times New Roman" w:hAnsi="Times New Roman"/>
          <w:color w:val="000000" w:themeColor="text1"/>
          <w:szCs w:val="24"/>
        </w:rPr>
        <w:t>2322642</w:t>
      </w:r>
      <w:r w:rsidR="009A7025" w:rsidRPr="00E4085C">
        <w:rPr>
          <w:rFonts w:ascii="Times New Roman" w:hAnsi="Times New Roman"/>
          <w:color w:val="0000CC"/>
          <w:szCs w:val="24"/>
        </w:rPr>
        <w:t>)</w:t>
      </w:r>
      <w:r w:rsidRPr="00E4085C">
        <w:rPr>
          <w:rFonts w:ascii="Times New Roman" w:hAnsi="Times New Roman"/>
          <w:szCs w:val="24"/>
        </w:rPr>
        <w:t xml:space="preserve">, </w:t>
      </w:r>
      <w:r w:rsidR="004238D8" w:rsidRPr="00E4085C">
        <w:rPr>
          <w:rFonts w:ascii="Times New Roman" w:hAnsi="Times New Roman"/>
          <w:szCs w:val="24"/>
        </w:rPr>
        <w:t>certify this work is the result of my own investigations, except where otherwise stated.  All references have been duly cited”</w:t>
      </w:r>
    </w:p>
    <w:p w14:paraId="2001BEE3" w14:textId="77777777" w:rsidR="004238D8" w:rsidRPr="00E4085C" w:rsidRDefault="004238D8">
      <w:pPr>
        <w:jc w:val="both"/>
        <w:rPr>
          <w:rFonts w:ascii="Times New Roman" w:hAnsi="Times New Roman"/>
          <w:szCs w:val="24"/>
        </w:rPr>
      </w:pPr>
    </w:p>
    <w:p w14:paraId="1B6FA4C1" w14:textId="77777777" w:rsidR="00B638D9" w:rsidRPr="00E4085C" w:rsidRDefault="00B638D9">
      <w:pPr>
        <w:jc w:val="both"/>
        <w:rPr>
          <w:rFonts w:ascii="Times New Roman" w:hAnsi="Times New Roman"/>
          <w:szCs w:val="24"/>
        </w:rPr>
      </w:pPr>
    </w:p>
    <w:p w14:paraId="25103C95" w14:textId="7384E076" w:rsidR="00B638D9" w:rsidRPr="00E4085C" w:rsidRDefault="00C02CA2">
      <w:pPr>
        <w:jc w:val="both"/>
        <w:rPr>
          <w:rFonts w:ascii="Times New Roman" w:hAnsi="Times New Roman"/>
          <w:szCs w:val="24"/>
        </w:rPr>
      </w:pPr>
      <w:r>
        <w:rPr>
          <w:rFonts w:ascii="Times New Roman" w:hAnsi="Times New Roman"/>
          <w:noProof/>
          <w:szCs w:val="24"/>
        </w:rPr>
        <w:drawing>
          <wp:anchor distT="0" distB="0" distL="114300" distR="114300" simplePos="0" relativeHeight="251658240" behindDoc="1" locked="0" layoutInCell="1" allowOverlap="1" wp14:anchorId="29EE8714" wp14:editId="5364B99B">
            <wp:simplePos x="0" y="0"/>
            <wp:positionH relativeFrom="column">
              <wp:posOffset>97790</wp:posOffset>
            </wp:positionH>
            <wp:positionV relativeFrom="paragraph">
              <wp:posOffset>179070</wp:posOffset>
            </wp:positionV>
            <wp:extent cx="2636090" cy="793115"/>
            <wp:effectExtent l="0" t="0" r="0" b="6985"/>
            <wp:wrapNone/>
            <wp:docPr id="1360403012" name="圖片 1" descr="一張含有 筆跡, 字型, 書法, 印刷術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403012" name="圖片 1" descr="一張含有 筆跡, 字型, 書法, 印刷術 的圖片&#10;&#10;自動產生的描述"/>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36090" cy="793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F0EA01" w14:textId="5EEADF49" w:rsidR="004238D8" w:rsidRPr="00E4085C" w:rsidRDefault="004238D8">
      <w:pPr>
        <w:jc w:val="both"/>
        <w:rPr>
          <w:rFonts w:ascii="Times New Roman" w:hAnsi="Times New Roman"/>
          <w:b/>
          <w:szCs w:val="24"/>
        </w:rPr>
      </w:pPr>
    </w:p>
    <w:p w14:paraId="074E2C51" w14:textId="32A3EC30" w:rsidR="004238D8" w:rsidRPr="00E4085C" w:rsidRDefault="004238D8">
      <w:pPr>
        <w:jc w:val="both"/>
        <w:rPr>
          <w:rFonts w:ascii="Times New Roman" w:hAnsi="Times New Roman"/>
          <w:szCs w:val="24"/>
        </w:rPr>
      </w:pPr>
      <w:r w:rsidRPr="00E4085C">
        <w:rPr>
          <w:rFonts w:ascii="Times New Roman" w:hAnsi="Times New Roman"/>
          <w:szCs w:val="24"/>
        </w:rPr>
        <w:t>Signed</w:t>
      </w:r>
      <w:r w:rsidR="000C61E4" w:rsidRPr="00E4085C">
        <w:rPr>
          <w:rFonts w:ascii="Times New Roman" w:hAnsi="Times New Roman"/>
          <w:szCs w:val="24"/>
        </w:rPr>
        <w:t>:</w:t>
      </w:r>
      <w:r w:rsidR="00B25B3D" w:rsidRPr="00E4085C">
        <w:rPr>
          <w:rFonts w:ascii="Times New Roman" w:hAnsi="Times New Roman"/>
          <w:szCs w:val="24"/>
        </w:rPr>
        <w:t xml:space="preserve"> </w:t>
      </w:r>
    </w:p>
    <w:p w14:paraId="5D06CDF4" w14:textId="77777777" w:rsidR="00FE6608" w:rsidRPr="00E4085C" w:rsidRDefault="00FE6608" w:rsidP="00B25B3D">
      <w:pPr>
        <w:rPr>
          <w:rFonts w:ascii="Times New Roman" w:hAnsi="Times New Roman"/>
          <w:szCs w:val="24"/>
        </w:rPr>
      </w:pPr>
    </w:p>
    <w:p w14:paraId="69180220" w14:textId="3F83197F" w:rsidR="00603E07" w:rsidRPr="00E4085C" w:rsidRDefault="000C61E4" w:rsidP="00B25B3D">
      <w:pPr>
        <w:rPr>
          <w:rFonts w:ascii="Times New Roman" w:hAnsi="Times New Roman"/>
          <w:szCs w:val="24"/>
        </w:rPr>
      </w:pPr>
      <w:r w:rsidRPr="00E4085C">
        <w:rPr>
          <w:rFonts w:ascii="Times New Roman" w:hAnsi="Times New Roman"/>
          <w:szCs w:val="24"/>
        </w:rPr>
        <w:t>D</w:t>
      </w:r>
      <w:r w:rsidR="00B25B3D" w:rsidRPr="00E4085C">
        <w:rPr>
          <w:rFonts w:ascii="Times New Roman" w:hAnsi="Times New Roman"/>
          <w:szCs w:val="24"/>
        </w:rPr>
        <w:t>ate</w:t>
      </w:r>
      <w:r w:rsidRPr="00E4085C">
        <w:rPr>
          <w:rFonts w:ascii="Times New Roman" w:hAnsi="Times New Roman"/>
          <w:szCs w:val="24"/>
        </w:rPr>
        <w:t>:</w:t>
      </w:r>
      <w:r w:rsidR="00FE6608" w:rsidRPr="00E4085C">
        <w:rPr>
          <w:rFonts w:ascii="Times New Roman" w:hAnsi="Times New Roman"/>
          <w:szCs w:val="24"/>
        </w:rPr>
        <w:t xml:space="preserve">  </w:t>
      </w:r>
      <w:r w:rsidR="007508ED">
        <w:rPr>
          <w:rFonts w:ascii="Times New Roman" w:hAnsi="Times New Roman"/>
          <w:szCs w:val="24"/>
        </w:rPr>
        <w:t>9</w:t>
      </w:r>
      <w:r w:rsidR="007508ED" w:rsidRPr="007508ED">
        <w:rPr>
          <w:rFonts w:ascii="Times New Roman" w:hAnsi="Times New Roman" w:hint="eastAsia"/>
          <w:szCs w:val="24"/>
          <w:vertAlign w:val="superscript"/>
        </w:rPr>
        <w:t>t</w:t>
      </w:r>
      <w:r w:rsidR="007508ED" w:rsidRPr="007508ED">
        <w:rPr>
          <w:rFonts w:ascii="Times New Roman" w:hAnsi="Times New Roman"/>
          <w:szCs w:val="24"/>
          <w:vertAlign w:val="superscript"/>
        </w:rPr>
        <w:t>h</w:t>
      </w:r>
      <w:r w:rsidR="007508ED">
        <w:rPr>
          <w:rFonts w:ascii="Times New Roman" w:hAnsi="Times New Roman"/>
          <w:szCs w:val="24"/>
        </w:rPr>
        <w:t xml:space="preserve"> March 2024</w:t>
      </w:r>
    </w:p>
    <w:p w14:paraId="59166276" w14:textId="77777777" w:rsidR="00603E07" w:rsidRPr="00E4085C" w:rsidRDefault="00603E07" w:rsidP="00603E07">
      <w:pPr>
        <w:jc w:val="center"/>
        <w:rPr>
          <w:rFonts w:ascii="Times New Roman" w:hAnsi="Times New Roman"/>
          <w:szCs w:val="24"/>
        </w:rPr>
      </w:pPr>
    </w:p>
    <w:p w14:paraId="791BBD2D" w14:textId="77777777" w:rsidR="005F5BA8" w:rsidRPr="00E4085C" w:rsidRDefault="005F5BA8" w:rsidP="00C65A3F">
      <w:pPr>
        <w:widowControl/>
        <w:adjustRightInd w:val="0"/>
        <w:snapToGrid w:val="0"/>
        <w:jc w:val="center"/>
        <w:rPr>
          <w:rFonts w:ascii="Times New Roman" w:hAnsi="Times New Roman"/>
          <w:szCs w:val="24"/>
        </w:rPr>
      </w:pPr>
    </w:p>
    <w:p w14:paraId="711D9D36" w14:textId="77777777" w:rsidR="005F5BA8" w:rsidRPr="00E4085C" w:rsidRDefault="005F5BA8" w:rsidP="00C65A3F">
      <w:pPr>
        <w:widowControl/>
        <w:adjustRightInd w:val="0"/>
        <w:snapToGrid w:val="0"/>
        <w:jc w:val="center"/>
        <w:rPr>
          <w:rFonts w:ascii="Times New Roman" w:hAnsi="Times New Roman"/>
          <w:szCs w:val="24"/>
        </w:rPr>
      </w:pPr>
    </w:p>
    <w:p w14:paraId="5F0ABC6B" w14:textId="77777777" w:rsidR="005F5BA8" w:rsidRPr="00E4085C" w:rsidRDefault="005F5BA8" w:rsidP="00C65A3F">
      <w:pPr>
        <w:widowControl/>
        <w:adjustRightInd w:val="0"/>
        <w:snapToGrid w:val="0"/>
        <w:jc w:val="center"/>
        <w:rPr>
          <w:rFonts w:ascii="Times New Roman" w:hAnsi="Times New Roman"/>
          <w:szCs w:val="24"/>
        </w:rPr>
      </w:pPr>
    </w:p>
    <w:p w14:paraId="4ACC24BB" w14:textId="285A5381" w:rsidR="00074B88" w:rsidRPr="00E4085C" w:rsidRDefault="00074B88" w:rsidP="00C65A3F">
      <w:pPr>
        <w:widowControl/>
        <w:adjustRightInd w:val="0"/>
        <w:snapToGrid w:val="0"/>
        <w:jc w:val="center"/>
        <w:rPr>
          <w:rFonts w:ascii="Times New Roman" w:hAnsi="Times New Roman"/>
          <w:color w:val="0000CC"/>
          <w:szCs w:val="24"/>
        </w:rPr>
      </w:pPr>
      <w:r w:rsidRPr="00E4085C">
        <w:rPr>
          <w:rFonts w:ascii="Times New Roman" w:hAnsi="Times New Roman"/>
          <w:color w:val="0000CC"/>
          <w:szCs w:val="24"/>
        </w:rPr>
        <w:br w:type="page"/>
      </w:r>
    </w:p>
    <w:p w14:paraId="55339909" w14:textId="12150621" w:rsidR="00074B88" w:rsidRPr="00E4085C" w:rsidRDefault="00074B88" w:rsidP="00C65A3F">
      <w:pPr>
        <w:widowControl/>
        <w:adjustRightInd w:val="0"/>
        <w:snapToGrid w:val="0"/>
        <w:jc w:val="center"/>
        <w:rPr>
          <w:rFonts w:ascii="Times New Roman" w:hAnsi="Times New Roman"/>
          <w:b/>
          <w:szCs w:val="24"/>
        </w:rPr>
      </w:pPr>
      <w:r w:rsidRPr="00E4085C">
        <w:rPr>
          <w:rFonts w:ascii="Times New Roman" w:hAnsi="Times New Roman"/>
          <w:b/>
          <w:szCs w:val="24"/>
        </w:rPr>
        <w:lastRenderedPageBreak/>
        <w:t>Synopsis</w:t>
      </w:r>
      <w:r w:rsidR="00CA1589" w:rsidRPr="00E4085C">
        <w:rPr>
          <w:rFonts w:ascii="Times New Roman" w:hAnsi="Times New Roman"/>
          <w:b/>
          <w:szCs w:val="24"/>
        </w:rPr>
        <w:t xml:space="preserve"> </w:t>
      </w:r>
    </w:p>
    <w:p w14:paraId="22FCB631" w14:textId="77777777" w:rsidR="00DD79F6" w:rsidRPr="00E4085C" w:rsidRDefault="00DD79F6" w:rsidP="00DD79F6">
      <w:pPr>
        <w:widowControl/>
        <w:adjustRightInd w:val="0"/>
        <w:snapToGrid w:val="0"/>
        <w:spacing w:line="360" w:lineRule="auto"/>
        <w:jc w:val="both"/>
        <w:rPr>
          <w:rFonts w:ascii="Times New Roman" w:hAnsi="Times New Roman"/>
          <w:color w:val="0000CC"/>
          <w:szCs w:val="24"/>
        </w:rPr>
      </w:pPr>
    </w:p>
    <w:p w14:paraId="4F7B5401" w14:textId="0DC4E479" w:rsidR="00DD3736" w:rsidRDefault="00146992" w:rsidP="002F361F">
      <w:pPr>
        <w:widowControl/>
        <w:adjustRightInd w:val="0"/>
        <w:snapToGrid w:val="0"/>
        <w:spacing w:line="360" w:lineRule="auto"/>
        <w:jc w:val="both"/>
        <w:rPr>
          <w:rFonts w:ascii="Times New Roman" w:hAnsi="Times New Roman"/>
          <w:color w:val="000000" w:themeColor="text1"/>
          <w:szCs w:val="24"/>
        </w:rPr>
      </w:pPr>
      <w:r w:rsidRPr="00E4085C">
        <w:rPr>
          <w:rFonts w:ascii="Times New Roman" w:hAnsi="Times New Roman"/>
          <w:color w:val="000000" w:themeColor="text1"/>
          <w:szCs w:val="24"/>
        </w:rPr>
        <w:t xml:space="preserve">This report conducts an empirical investigation </w:t>
      </w:r>
      <w:r w:rsidR="00206EEF">
        <w:rPr>
          <w:rFonts w:ascii="Times New Roman" w:hAnsi="Times New Roman"/>
          <w:color w:val="000000" w:themeColor="text1"/>
          <w:szCs w:val="24"/>
        </w:rPr>
        <w:t xml:space="preserve">of </w:t>
      </w:r>
      <w:r w:rsidRPr="00E4085C">
        <w:rPr>
          <w:rFonts w:ascii="Times New Roman" w:hAnsi="Times New Roman"/>
          <w:color w:val="000000" w:themeColor="text1"/>
          <w:szCs w:val="24"/>
        </w:rPr>
        <w:t xml:space="preserve">the </w:t>
      </w:r>
      <w:r w:rsidR="00DD3736">
        <w:rPr>
          <w:rFonts w:ascii="Times New Roman" w:hAnsi="Times New Roman"/>
          <w:color w:val="000000" w:themeColor="text1"/>
          <w:szCs w:val="24"/>
        </w:rPr>
        <w:t xml:space="preserve">trend movement of consumer </w:t>
      </w:r>
      <w:r w:rsidRPr="00E4085C">
        <w:rPr>
          <w:rFonts w:ascii="Times New Roman" w:hAnsi="Times New Roman"/>
          <w:color w:val="000000" w:themeColor="text1"/>
          <w:szCs w:val="24"/>
        </w:rPr>
        <w:t>inflation rate in Hong Kong, the United States, the United Kingdom China</w:t>
      </w:r>
      <w:r w:rsidR="00DD3736">
        <w:rPr>
          <w:rFonts w:ascii="Times New Roman" w:hAnsi="Times New Roman"/>
          <w:color w:val="000000" w:themeColor="text1"/>
          <w:szCs w:val="24"/>
        </w:rPr>
        <w:t>,</w:t>
      </w:r>
      <w:r w:rsidRPr="00E4085C">
        <w:rPr>
          <w:rFonts w:ascii="Times New Roman" w:hAnsi="Times New Roman"/>
          <w:color w:val="000000" w:themeColor="text1"/>
          <w:szCs w:val="24"/>
        </w:rPr>
        <w:t xml:space="preserve"> and Malaysia</w:t>
      </w:r>
      <w:r w:rsidR="00DD3736">
        <w:rPr>
          <w:rFonts w:ascii="Times New Roman" w:hAnsi="Times New Roman"/>
          <w:color w:val="000000" w:themeColor="text1"/>
          <w:szCs w:val="24"/>
        </w:rPr>
        <w:t xml:space="preserve"> with a hope to </w:t>
      </w:r>
      <w:r w:rsidR="00DD3736" w:rsidRPr="00DD3736">
        <w:rPr>
          <w:rFonts w:ascii="Times New Roman" w:hAnsi="Times New Roman"/>
          <w:color w:val="000000" w:themeColor="text1"/>
          <w:szCs w:val="24"/>
        </w:rPr>
        <w:t>explore investment opportunities for the company to expand its global business</w:t>
      </w:r>
      <w:r w:rsidRPr="00E4085C">
        <w:rPr>
          <w:rFonts w:ascii="Times New Roman" w:hAnsi="Times New Roman"/>
          <w:color w:val="000000" w:themeColor="text1"/>
          <w:szCs w:val="24"/>
        </w:rPr>
        <w:t xml:space="preserve">. By employing </w:t>
      </w:r>
      <w:r w:rsidR="00C72074">
        <w:rPr>
          <w:rFonts w:ascii="Times New Roman" w:hAnsi="Times New Roman"/>
          <w:color w:val="000000" w:themeColor="text1"/>
          <w:szCs w:val="24"/>
        </w:rPr>
        <w:t xml:space="preserve">simple </w:t>
      </w:r>
      <w:r w:rsidR="00245CCC">
        <w:rPr>
          <w:rFonts w:ascii="Times New Roman" w:hAnsi="Times New Roman"/>
          <w:color w:val="000000" w:themeColor="text1"/>
          <w:szCs w:val="24"/>
        </w:rPr>
        <w:t>statistical</w:t>
      </w:r>
      <w:r w:rsidRPr="00E4085C">
        <w:rPr>
          <w:rFonts w:ascii="Times New Roman" w:hAnsi="Times New Roman"/>
          <w:color w:val="000000" w:themeColor="text1"/>
          <w:szCs w:val="24"/>
        </w:rPr>
        <w:t xml:space="preserve"> analysis </w:t>
      </w:r>
      <w:r w:rsidR="00DD3736">
        <w:rPr>
          <w:rFonts w:ascii="Times New Roman" w:hAnsi="Times New Roman"/>
          <w:color w:val="000000" w:themeColor="text1"/>
          <w:szCs w:val="24"/>
        </w:rPr>
        <w:t xml:space="preserve">of the </w:t>
      </w:r>
      <w:r w:rsidRPr="00E4085C">
        <w:rPr>
          <w:rFonts w:ascii="Times New Roman" w:hAnsi="Times New Roman"/>
          <w:color w:val="000000" w:themeColor="text1"/>
          <w:szCs w:val="24"/>
        </w:rPr>
        <w:t>time</w:t>
      </w:r>
      <w:r w:rsidR="00DD3736">
        <w:rPr>
          <w:rFonts w:ascii="Times New Roman" w:hAnsi="Times New Roman"/>
          <w:color w:val="000000" w:themeColor="text1"/>
          <w:szCs w:val="24"/>
        </w:rPr>
        <w:t xml:space="preserve"> </w:t>
      </w:r>
      <w:r w:rsidRPr="00E4085C">
        <w:rPr>
          <w:rFonts w:ascii="Times New Roman" w:hAnsi="Times New Roman"/>
          <w:color w:val="000000" w:themeColor="text1"/>
          <w:szCs w:val="24"/>
        </w:rPr>
        <w:t>series</w:t>
      </w:r>
      <w:r w:rsidR="00DD3736">
        <w:rPr>
          <w:rFonts w:ascii="Times New Roman" w:hAnsi="Times New Roman"/>
          <w:color w:val="000000" w:themeColor="text1"/>
          <w:szCs w:val="24"/>
        </w:rPr>
        <w:t xml:space="preserve"> extracted from the IMF databank</w:t>
      </w:r>
      <w:r w:rsidRPr="00E4085C">
        <w:rPr>
          <w:rFonts w:ascii="Times New Roman" w:hAnsi="Times New Roman"/>
          <w:color w:val="000000" w:themeColor="text1"/>
          <w:szCs w:val="24"/>
        </w:rPr>
        <w:t xml:space="preserve">, </w:t>
      </w:r>
      <w:r w:rsidR="00DD3736">
        <w:rPr>
          <w:rFonts w:ascii="Times New Roman" w:hAnsi="Times New Roman"/>
          <w:color w:val="000000" w:themeColor="text1"/>
          <w:szCs w:val="24"/>
        </w:rPr>
        <w:t xml:space="preserve">the research findings suggest that </w:t>
      </w:r>
      <w:r w:rsidR="002F6C0F">
        <w:rPr>
          <w:rFonts w:ascii="Times New Roman" w:hAnsi="Times New Roman"/>
          <w:color w:val="000000" w:themeColor="text1"/>
          <w:szCs w:val="24"/>
        </w:rPr>
        <w:t>which century will be the one I recommend for investment.</w:t>
      </w:r>
    </w:p>
    <w:p w14:paraId="34A4110C" w14:textId="77777777" w:rsidR="00074B88" w:rsidRPr="00E4085C" w:rsidRDefault="00074B88" w:rsidP="00C65A3F">
      <w:pPr>
        <w:widowControl/>
        <w:adjustRightInd w:val="0"/>
        <w:snapToGrid w:val="0"/>
        <w:jc w:val="both"/>
        <w:rPr>
          <w:rFonts w:ascii="Times New Roman" w:hAnsi="Times New Roman"/>
          <w:b/>
          <w:szCs w:val="24"/>
        </w:rPr>
      </w:pPr>
    </w:p>
    <w:p w14:paraId="7031B93D" w14:textId="77777777" w:rsidR="00074B88" w:rsidRPr="00E4085C" w:rsidRDefault="00074B88" w:rsidP="00C65A3F">
      <w:pPr>
        <w:widowControl/>
        <w:adjustRightInd w:val="0"/>
        <w:snapToGrid w:val="0"/>
        <w:rPr>
          <w:rFonts w:ascii="Times New Roman" w:hAnsi="Times New Roman"/>
          <w:b/>
          <w:szCs w:val="24"/>
        </w:rPr>
      </w:pPr>
    </w:p>
    <w:p w14:paraId="3E9C4A14" w14:textId="77777777" w:rsidR="00074B88" w:rsidRPr="00E4085C" w:rsidRDefault="00074B88" w:rsidP="00C65A3F">
      <w:pPr>
        <w:widowControl/>
        <w:adjustRightInd w:val="0"/>
        <w:snapToGrid w:val="0"/>
        <w:rPr>
          <w:rFonts w:ascii="Times New Roman" w:hAnsi="Times New Roman"/>
          <w:b/>
          <w:szCs w:val="24"/>
        </w:rPr>
      </w:pPr>
    </w:p>
    <w:p w14:paraId="0CD2C7D9" w14:textId="77777777" w:rsidR="00074B88" w:rsidRPr="00E4085C" w:rsidRDefault="00074B88" w:rsidP="00C65A3F">
      <w:pPr>
        <w:widowControl/>
        <w:adjustRightInd w:val="0"/>
        <w:snapToGrid w:val="0"/>
        <w:rPr>
          <w:rFonts w:ascii="Times New Roman" w:hAnsi="Times New Roman"/>
          <w:b/>
          <w:szCs w:val="24"/>
        </w:rPr>
      </w:pPr>
    </w:p>
    <w:p w14:paraId="0D497680" w14:textId="77777777" w:rsidR="00074B88" w:rsidRPr="00E4085C" w:rsidRDefault="00074B88" w:rsidP="00C65A3F">
      <w:pPr>
        <w:widowControl/>
        <w:adjustRightInd w:val="0"/>
        <w:snapToGrid w:val="0"/>
        <w:rPr>
          <w:rFonts w:ascii="Times New Roman" w:hAnsi="Times New Roman"/>
          <w:b/>
          <w:szCs w:val="24"/>
        </w:rPr>
      </w:pPr>
    </w:p>
    <w:p w14:paraId="5653B57C" w14:textId="77777777" w:rsidR="00074B88" w:rsidRPr="00E4085C" w:rsidRDefault="00074B88" w:rsidP="00C65A3F">
      <w:pPr>
        <w:widowControl/>
        <w:adjustRightInd w:val="0"/>
        <w:snapToGrid w:val="0"/>
        <w:rPr>
          <w:rFonts w:ascii="Times New Roman" w:hAnsi="Times New Roman"/>
          <w:b/>
          <w:szCs w:val="24"/>
        </w:rPr>
      </w:pPr>
    </w:p>
    <w:p w14:paraId="64663D99" w14:textId="77777777" w:rsidR="00074B88" w:rsidRPr="00E4085C" w:rsidRDefault="00074B88" w:rsidP="00C65A3F">
      <w:pPr>
        <w:widowControl/>
        <w:adjustRightInd w:val="0"/>
        <w:snapToGrid w:val="0"/>
        <w:rPr>
          <w:rFonts w:ascii="Times New Roman" w:hAnsi="Times New Roman"/>
          <w:b/>
          <w:szCs w:val="24"/>
        </w:rPr>
      </w:pPr>
    </w:p>
    <w:p w14:paraId="4155F178" w14:textId="77777777" w:rsidR="00074B88" w:rsidRPr="00E4085C" w:rsidRDefault="00074B88" w:rsidP="00C65A3F">
      <w:pPr>
        <w:widowControl/>
        <w:adjustRightInd w:val="0"/>
        <w:snapToGrid w:val="0"/>
        <w:rPr>
          <w:rFonts w:ascii="Times New Roman" w:hAnsi="Times New Roman"/>
          <w:b/>
          <w:szCs w:val="24"/>
        </w:rPr>
      </w:pPr>
    </w:p>
    <w:p w14:paraId="191D6F19" w14:textId="77777777" w:rsidR="00074B88" w:rsidRPr="00E4085C" w:rsidRDefault="00074B88" w:rsidP="00C65A3F">
      <w:pPr>
        <w:widowControl/>
        <w:adjustRightInd w:val="0"/>
        <w:snapToGrid w:val="0"/>
        <w:rPr>
          <w:rFonts w:ascii="Times New Roman" w:hAnsi="Times New Roman"/>
          <w:b/>
          <w:szCs w:val="24"/>
        </w:rPr>
      </w:pPr>
    </w:p>
    <w:p w14:paraId="193BD825" w14:textId="77777777" w:rsidR="00074B88" w:rsidRPr="00E4085C" w:rsidRDefault="00074B88" w:rsidP="00C65A3F">
      <w:pPr>
        <w:widowControl/>
        <w:adjustRightInd w:val="0"/>
        <w:snapToGrid w:val="0"/>
        <w:rPr>
          <w:rFonts w:ascii="Times New Roman" w:hAnsi="Times New Roman"/>
          <w:b/>
          <w:szCs w:val="24"/>
        </w:rPr>
      </w:pPr>
    </w:p>
    <w:p w14:paraId="27DFB08D" w14:textId="77777777" w:rsidR="00074B88" w:rsidRPr="00E4085C" w:rsidRDefault="00074B88" w:rsidP="00C65A3F">
      <w:pPr>
        <w:widowControl/>
        <w:adjustRightInd w:val="0"/>
        <w:snapToGrid w:val="0"/>
        <w:rPr>
          <w:rFonts w:ascii="Times New Roman" w:hAnsi="Times New Roman"/>
          <w:b/>
          <w:szCs w:val="24"/>
        </w:rPr>
      </w:pPr>
    </w:p>
    <w:p w14:paraId="4B84D209" w14:textId="77777777" w:rsidR="00074B88" w:rsidRPr="00E4085C" w:rsidRDefault="00074B88" w:rsidP="00C65A3F">
      <w:pPr>
        <w:widowControl/>
        <w:adjustRightInd w:val="0"/>
        <w:snapToGrid w:val="0"/>
        <w:rPr>
          <w:rFonts w:ascii="Times New Roman" w:hAnsi="Times New Roman"/>
          <w:b/>
          <w:szCs w:val="24"/>
        </w:rPr>
      </w:pPr>
    </w:p>
    <w:p w14:paraId="417A81AE" w14:textId="77777777" w:rsidR="00074B88" w:rsidRPr="00E4085C" w:rsidRDefault="00074B88" w:rsidP="00C65A3F">
      <w:pPr>
        <w:widowControl/>
        <w:adjustRightInd w:val="0"/>
        <w:snapToGrid w:val="0"/>
        <w:rPr>
          <w:rFonts w:ascii="Times New Roman" w:hAnsi="Times New Roman"/>
          <w:b/>
          <w:szCs w:val="24"/>
        </w:rPr>
      </w:pPr>
    </w:p>
    <w:p w14:paraId="13CDC4F5" w14:textId="77777777" w:rsidR="00074B88" w:rsidRPr="00E4085C" w:rsidRDefault="00074B88" w:rsidP="00C65A3F">
      <w:pPr>
        <w:widowControl/>
        <w:adjustRightInd w:val="0"/>
        <w:snapToGrid w:val="0"/>
        <w:rPr>
          <w:rFonts w:ascii="Times New Roman" w:hAnsi="Times New Roman"/>
          <w:b/>
          <w:szCs w:val="24"/>
        </w:rPr>
      </w:pPr>
    </w:p>
    <w:p w14:paraId="5809AF30" w14:textId="77777777" w:rsidR="00074B88" w:rsidRPr="00E4085C" w:rsidRDefault="00074B88" w:rsidP="00C65A3F">
      <w:pPr>
        <w:widowControl/>
        <w:adjustRightInd w:val="0"/>
        <w:snapToGrid w:val="0"/>
        <w:rPr>
          <w:rFonts w:ascii="Times New Roman" w:hAnsi="Times New Roman"/>
          <w:b/>
          <w:szCs w:val="24"/>
        </w:rPr>
      </w:pPr>
    </w:p>
    <w:p w14:paraId="0692A985" w14:textId="77777777" w:rsidR="00074B88" w:rsidRPr="00E4085C" w:rsidRDefault="00074B88" w:rsidP="00C65A3F">
      <w:pPr>
        <w:widowControl/>
        <w:adjustRightInd w:val="0"/>
        <w:snapToGrid w:val="0"/>
        <w:rPr>
          <w:rFonts w:ascii="Times New Roman" w:hAnsi="Times New Roman"/>
          <w:b/>
          <w:szCs w:val="24"/>
        </w:rPr>
      </w:pPr>
    </w:p>
    <w:p w14:paraId="437E0811" w14:textId="77777777" w:rsidR="00074B88" w:rsidRPr="00E4085C" w:rsidRDefault="00074B88" w:rsidP="00C65A3F">
      <w:pPr>
        <w:widowControl/>
        <w:adjustRightInd w:val="0"/>
        <w:snapToGrid w:val="0"/>
        <w:rPr>
          <w:rFonts w:ascii="Times New Roman" w:hAnsi="Times New Roman"/>
          <w:b/>
          <w:szCs w:val="24"/>
        </w:rPr>
      </w:pPr>
    </w:p>
    <w:p w14:paraId="55084938" w14:textId="77777777" w:rsidR="00074B88" w:rsidRPr="00E4085C" w:rsidRDefault="00074B88" w:rsidP="00C65A3F">
      <w:pPr>
        <w:widowControl/>
        <w:adjustRightInd w:val="0"/>
        <w:snapToGrid w:val="0"/>
        <w:rPr>
          <w:rFonts w:ascii="Times New Roman" w:hAnsi="Times New Roman"/>
          <w:b/>
          <w:szCs w:val="24"/>
        </w:rPr>
      </w:pPr>
    </w:p>
    <w:p w14:paraId="3DAD0FA0" w14:textId="77777777" w:rsidR="00225FC1" w:rsidRPr="00E4085C" w:rsidRDefault="00225FC1">
      <w:pPr>
        <w:widowControl/>
        <w:rPr>
          <w:rFonts w:ascii="Times New Roman" w:hAnsi="Times New Roman"/>
          <w:b/>
          <w:szCs w:val="24"/>
        </w:rPr>
      </w:pPr>
      <w:r w:rsidRPr="00E4085C">
        <w:rPr>
          <w:rFonts w:ascii="Times New Roman" w:hAnsi="Times New Roman"/>
          <w:b/>
          <w:szCs w:val="24"/>
        </w:rPr>
        <w:br w:type="page"/>
      </w:r>
    </w:p>
    <w:p w14:paraId="207E64B3" w14:textId="764E8764" w:rsidR="004238D8" w:rsidRPr="00E4085C" w:rsidRDefault="004238D8" w:rsidP="00C65A3F">
      <w:pPr>
        <w:adjustRightInd w:val="0"/>
        <w:snapToGrid w:val="0"/>
        <w:jc w:val="center"/>
        <w:rPr>
          <w:rFonts w:ascii="Times New Roman" w:hAnsi="Times New Roman"/>
          <w:b/>
          <w:szCs w:val="24"/>
        </w:rPr>
      </w:pPr>
      <w:r w:rsidRPr="00E4085C">
        <w:rPr>
          <w:rFonts w:ascii="Times New Roman" w:hAnsi="Times New Roman"/>
          <w:b/>
          <w:szCs w:val="24"/>
        </w:rPr>
        <w:lastRenderedPageBreak/>
        <w:t>Table of Contents</w:t>
      </w:r>
    </w:p>
    <w:p w14:paraId="2BE9DCC1" w14:textId="77777777" w:rsidR="00C04DD8" w:rsidRPr="00E4085C" w:rsidRDefault="00C04DD8" w:rsidP="00C65A3F">
      <w:pPr>
        <w:adjustRightInd w:val="0"/>
        <w:snapToGrid w:val="0"/>
        <w:jc w:val="center"/>
        <w:rPr>
          <w:rFonts w:ascii="Times New Roman" w:hAnsi="Times New Roman"/>
          <w:b/>
          <w:szCs w:val="24"/>
        </w:rPr>
      </w:pPr>
    </w:p>
    <w:p w14:paraId="45C694A8" w14:textId="77777777" w:rsidR="00C04DD8" w:rsidRPr="00E4085C" w:rsidRDefault="00C04DD8" w:rsidP="00C65A3F">
      <w:pPr>
        <w:adjustRightInd w:val="0"/>
        <w:snapToGrid w:val="0"/>
        <w:jc w:val="center"/>
        <w:rPr>
          <w:rFonts w:ascii="Times New Roman" w:hAnsi="Times New Roman"/>
          <w:b/>
          <w:szCs w:val="24"/>
        </w:rPr>
      </w:pPr>
    </w:p>
    <w:tbl>
      <w:tblPr>
        <w:tblW w:w="0" w:type="auto"/>
        <w:tblCellMar>
          <w:left w:w="28" w:type="dxa"/>
          <w:right w:w="28" w:type="dxa"/>
        </w:tblCellMar>
        <w:tblLook w:val="0000" w:firstRow="0" w:lastRow="0" w:firstColumn="0" w:lastColumn="0" w:noHBand="0" w:noVBand="0"/>
      </w:tblPr>
      <w:tblGrid>
        <w:gridCol w:w="543"/>
        <w:gridCol w:w="519"/>
        <w:gridCol w:w="35"/>
        <w:gridCol w:w="10"/>
        <w:gridCol w:w="7273"/>
        <w:gridCol w:w="690"/>
      </w:tblGrid>
      <w:tr w:rsidR="004238D8" w:rsidRPr="00E4085C" w14:paraId="48C2427A" w14:textId="77777777" w:rsidTr="00950792">
        <w:tc>
          <w:tcPr>
            <w:tcW w:w="543" w:type="dxa"/>
          </w:tcPr>
          <w:p w14:paraId="6BB7AE33" w14:textId="77777777" w:rsidR="004238D8" w:rsidRPr="00E4085C" w:rsidRDefault="004238D8" w:rsidP="00C65A3F">
            <w:pPr>
              <w:pStyle w:val="a0"/>
              <w:adjustRightInd w:val="0"/>
              <w:snapToGrid w:val="0"/>
              <w:spacing w:after="0"/>
              <w:rPr>
                <w:sz w:val="24"/>
                <w:szCs w:val="24"/>
                <w:lang w:eastAsia="zh-TW"/>
              </w:rPr>
            </w:pPr>
          </w:p>
        </w:tc>
        <w:tc>
          <w:tcPr>
            <w:tcW w:w="7837" w:type="dxa"/>
            <w:gridSpan w:val="4"/>
          </w:tcPr>
          <w:p w14:paraId="00A2D63D" w14:textId="77777777" w:rsidR="004238D8" w:rsidRPr="00E4085C" w:rsidRDefault="004238D8" w:rsidP="00C65A3F">
            <w:pPr>
              <w:pStyle w:val="a0"/>
              <w:adjustRightInd w:val="0"/>
              <w:snapToGrid w:val="0"/>
              <w:spacing w:after="0"/>
              <w:rPr>
                <w:sz w:val="24"/>
                <w:szCs w:val="24"/>
                <w:lang w:eastAsia="zh-TW"/>
              </w:rPr>
            </w:pPr>
          </w:p>
        </w:tc>
        <w:tc>
          <w:tcPr>
            <w:tcW w:w="690" w:type="dxa"/>
          </w:tcPr>
          <w:p w14:paraId="02019172" w14:textId="77777777" w:rsidR="004238D8" w:rsidRPr="00E4085C" w:rsidRDefault="004238D8" w:rsidP="00C65A3F">
            <w:pPr>
              <w:pStyle w:val="a0"/>
              <w:adjustRightInd w:val="0"/>
              <w:snapToGrid w:val="0"/>
              <w:spacing w:after="0"/>
              <w:jc w:val="center"/>
              <w:rPr>
                <w:sz w:val="24"/>
                <w:szCs w:val="24"/>
                <w:u w:val="single"/>
                <w:lang w:eastAsia="zh-TW"/>
              </w:rPr>
            </w:pPr>
            <w:r w:rsidRPr="00E4085C">
              <w:rPr>
                <w:sz w:val="24"/>
                <w:szCs w:val="24"/>
                <w:u w:val="single"/>
                <w:lang w:eastAsia="zh-TW"/>
              </w:rPr>
              <w:t>Page</w:t>
            </w:r>
          </w:p>
          <w:p w14:paraId="11356722" w14:textId="77777777" w:rsidR="00271DC6" w:rsidRPr="00E4085C" w:rsidRDefault="00271DC6" w:rsidP="00C65A3F">
            <w:pPr>
              <w:pStyle w:val="a0"/>
              <w:adjustRightInd w:val="0"/>
              <w:snapToGrid w:val="0"/>
              <w:spacing w:after="0"/>
              <w:jc w:val="center"/>
              <w:rPr>
                <w:sz w:val="24"/>
                <w:szCs w:val="24"/>
                <w:u w:val="single"/>
                <w:lang w:eastAsia="zh-TW"/>
              </w:rPr>
            </w:pPr>
          </w:p>
        </w:tc>
      </w:tr>
      <w:tr w:rsidR="004238D8" w:rsidRPr="00E4085C" w14:paraId="18C4365B" w14:textId="77777777" w:rsidTr="00950792">
        <w:tc>
          <w:tcPr>
            <w:tcW w:w="543" w:type="dxa"/>
          </w:tcPr>
          <w:p w14:paraId="5F7D1993"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1</w:t>
            </w:r>
          </w:p>
        </w:tc>
        <w:tc>
          <w:tcPr>
            <w:tcW w:w="7837" w:type="dxa"/>
            <w:gridSpan w:val="4"/>
          </w:tcPr>
          <w:p w14:paraId="5D4AF710" w14:textId="45A1E8D9" w:rsidR="002433E4" w:rsidRPr="00E4085C" w:rsidRDefault="00074B88" w:rsidP="00C65A3F">
            <w:pPr>
              <w:pStyle w:val="a0"/>
              <w:adjustRightInd w:val="0"/>
              <w:snapToGrid w:val="0"/>
              <w:spacing w:after="0"/>
              <w:rPr>
                <w:rFonts w:eastAsia="標楷體"/>
                <w:color w:val="0000FF"/>
                <w:sz w:val="24"/>
                <w:szCs w:val="24"/>
              </w:rPr>
            </w:pPr>
            <w:r w:rsidRPr="00E4085C">
              <w:rPr>
                <w:sz w:val="24"/>
                <w:szCs w:val="24"/>
                <w:lang w:eastAsia="zh-TW"/>
              </w:rPr>
              <w:t>Introduction</w:t>
            </w:r>
            <w:r w:rsidR="00CA1589" w:rsidRPr="00E4085C">
              <w:rPr>
                <w:color w:val="0000CC"/>
                <w:sz w:val="24"/>
                <w:szCs w:val="24"/>
                <w:lang w:eastAsia="zh-TW"/>
              </w:rPr>
              <w:t xml:space="preserve"> </w:t>
            </w:r>
          </w:p>
        </w:tc>
        <w:tc>
          <w:tcPr>
            <w:tcW w:w="690" w:type="dxa"/>
          </w:tcPr>
          <w:p w14:paraId="1FF518C6" w14:textId="38027F78" w:rsidR="004238D8" w:rsidRPr="00E4085C" w:rsidRDefault="00271DC6" w:rsidP="00C65A3F">
            <w:pPr>
              <w:pStyle w:val="a0"/>
              <w:adjustRightInd w:val="0"/>
              <w:snapToGrid w:val="0"/>
              <w:spacing w:after="0"/>
              <w:jc w:val="center"/>
              <w:rPr>
                <w:sz w:val="24"/>
                <w:szCs w:val="24"/>
                <w:lang w:eastAsia="zh-TW"/>
              </w:rPr>
            </w:pPr>
            <w:r w:rsidRPr="00E4085C">
              <w:rPr>
                <w:sz w:val="24"/>
                <w:szCs w:val="24"/>
                <w:lang w:eastAsia="zh-TW"/>
              </w:rPr>
              <w:t>1</w:t>
            </w:r>
            <w:r w:rsidR="00C31347">
              <w:rPr>
                <w:sz w:val="24"/>
                <w:szCs w:val="24"/>
                <w:lang w:eastAsia="zh-TW"/>
              </w:rPr>
              <w:t>-2</w:t>
            </w:r>
          </w:p>
        </w:tc>
      </w:tr>
      <w:tr w:rsidR="00A83E23" w:rsidRPr="00E4085C" w14:paraId="0293EA49" w14:textId="77777777" w:rsidTr="00950792">
        <w:tc>
          <w:tcPr>
            <w:tcW w:w="543" w:type="dxa"/>
          </w:tcPr>
          <w:p w14:paraId="7B5B96F7" w14:textId="77777777" w:rsidR="00A83E23" w:rsidRPr="00E4085C" w:rsidRDefault="00A83E23" w:rsidP="00C65A3F">
            <w:pPr>
              <w:pStyle w:val="a0"/>
              <w:adjustRightInd w:val="0"/>
              <w:snapToGrid w:val="0"/>
              <w:spacing w:after="0"/>
              <w:rPr>
                <w:sz w:val="24"/>
                <w:szCs w:val="24"/>
                <w:lang w:eastAsia="zh-TW"/>
              </w:rPr>
            </w:pPr>
          </w:p>
        </w:tc>
        <w:tc>
          <w:tcPr>
            <w:tcW w:w="7837" w:type="dxa"/>
            <w:gridSpan w:val="4"/>
          </w:tcPr>
          <w:p w14:paraId="03BB6B03" w14:textId="77777777" w:rsidR="00A83E23" w:rsidRPr="00E4085C" w:rsidRDefault="00A83E23" w:rsidP="00C65A3F">
            <w:pPr>
              <w:pStyle w:val="a0"/>
              <w:adjustRightInd w:val="0"/>
              <w:snapToGrid w:val="0"/>
              <w:spacing w:after="0"/>
              <w:rPr>
                <w:sz w:val="24"/>
                <w:szCs w:val="24"/>
                <w:lang w:eastAsia="zh-TW"/>
              </w:rPr>
            </w:pPr>
          </w:p>
        </w:tc>
        <w:tc>
          <w:tcPr>
            <w:tcW w:w="690" w:type="dxa"/>
          </w:tcPr>
          <w:p w14:paraId="4804FE13" w14:textId="77777777" w:rsidR="00A83E23" w:rsidRPr="00E4085C" w:rsidRDefault="00A83E23" w:rsidP="00C65A3F">
            <w:pPr>
              <w:pStyle w:val="a0"/>
              <w:adjustRightInd w:val="0"/>
              <w:snapToGrid w:val="0"/>
              <w:spacing w:after="0"/>
              <w:jc w:val="center"/>
              <w:rPr>
                <w:sz w:val="24"/>
                <w:szCs w:val="24"/>
                <w:lang w:eastAsia="zh-TW"/>
              </w:rPr>
            </w:pPr>
          </w:p>
        </w:tc>
      </w:tr>
      <w:tr w:rsidR="004238D8" w:rsidRPr="00E4085C" w14:paraId="0F29CDC5" w14:textId="77777777" w:rsidTr="00950792">
        <w:tc>
          <w:tcPr>
            <w:tcW w:w="543" w:type="dxa"/>
          </w:tcPr>
          <w:p w14:paraId="7F8F9BA7"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w:t>
            </w:r>
          </w:p>
        </w:tc>
        <w:tc>
          <w:tcPr>
            <w:tcW w:w="7837" w:type="dxa"/>
            <w:gridSpan w:val="4"/>
          </w:tcPr>
          <w:p w14:paraId="43534B28" w14:textId="768A2DC5" w:rsidR="002433E4" w:rsidRPr="00E4085C" w:rsidRDefault="00225FC1" w:rsidP="00C65A3F">
            <w:pPr>
              <w:pStyle w:val="a0"/>
              <w:adjustRightInd w:val="0"/>
              <w:snapToGrid w:val="0"/>
              <w:spacing w:after="0"/>
              <w:rPr>
                <w:rFonts w:eastAsia="標楷體"/>
                <w:sz w:val="24"/>
                <w:szCs w:val="24"/>
              </w:rPr>
            </w:pPr>
            <w:r w:rsidRPr="00E4085C">
              <w:rPr>
                <w:rFonts w:eastAsia="標楷體"/>
                <w:sz w:val="24"/>
                <w:szCs w:val="24"/>
              </w:rPr>
              <w:t xml:space="preserve">Research </w:t>
            </w:r>
            <w:r w:rsidR="00CA1589" w:rsidRPr="00E4085C">
              <w:rPr>
                <w:rFonts w:eastAsia="標楷體"/>
                <w:sz w:val="24"/>
                <w:szCs w:val="24"/>
              </w:rPr>
              <w:t xml:space="preserve">Background </w:t>
            </w:r>
          </w:p>
        </w:tc>
        <w:tc>
          <w:tcPr>
            <w:tcW w:w="690" w:type="dxa"/>
          </w:tcPr>
          <w:p w14:paraId="6D772741" w14:textId="69468A13" w:rsidR="004238D8" w:rsidRPr="00E4085C" w:rsidRDefault="00847315" w:rsidP="00A23170">
            <w:pPr>
              <w:pStyle w:val="a0"/>
              <w:adjustRightInd w:val="0"/>
              <w:snapToGrid w:val="0"/>
              <w:spacing w:after="0"/>
              <w:jc w:val="center"/>
              <w:rPr>
                <w:sz w:val="24"/>
                <w:szCs w:val="24"/>
                <w:lang w:eastAsia="zh-TW"/>
              </w:rPr>
            </w:pPr>
            <w:r>
              <w:rPr>
                <w:sz w:val="24"/>
                <w:szCs w:val="24"/>
                <w:lang w:eastAsia="zh-TW"/>
              </w:rPr>
              <w:t>3</w:t>
            </w:r>
            <w:r w:rsidR="00C31347">
              <w:rPr>
                <w:sz w:val="24"/>
                <w:szCs w:val="24"/>
                <w:lang w:eastAsia="zh-TW"/>
              </w:rPr>
              <w:t>-</w:t>
            </w:r>
            <w:r>
              <w:rPr>
                <w:sz w:val="24"/>
                <w:szCs w:val="24"/>
                <w:lang w:eastAsia="zh-TW"/>
              </w:rPr>
              <w:t>7</w:t>
            </w:r>
          </w:p>
        </w:tc>
      </w:tr>
      <w:tr w:rsidR="004238D8" w:rsidRPr="00E4085C" w14:paraId="72402FE0" w14:textId="77777777" w:rsidTr="00950792">
        <w:tc>
          <w:tcPr>
            <w:tcW w:w="543" w:type="dxa"/>
          </w:tcPr>
          <w:p w14:paraId="51C7BA6F" w14:textId="77777777" w:rsidR="004238D8" w:rsidRPr="00E4085C" w:rsidRDefault="004238D8" w:rsidP="00C65A3F">
            <w:pPr>
              <w:pStyle w:val="a0"/>
              <w:adjustRightInd w:val="0"/>
              <w:snapToGrid w:val="0"/>
              <w:spacing w:after="0"/>
              <w:rPr>
                <w:sz w:val="24"/>
                <w:szCs w:val="24"/>
                <w:lang w:eastAsia="zh-TW"/>
              </w:rPr>
            </w:pPr>
            <w:bookmarkStart w:id="0" w:name="_Hlk90988571"/>
          </w:p>
        </w:tc>
        <w:tc>
          <w:tcPr>
            <w:tcW w:w="519" w:type="dxa"/>
          </w:tcPr>
          <w:p w14:paraId="7648132E"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2.1</w:t>
            </w:r>
          </w:p>
        </w:tc>
        <w:tc>
          <w:tcPr>
            <w:tcW w:w="7318" w:type="dxa"/>
            <w:gridSpan w:val="3"/>
          </w:tcPr>
          <w:p w14:paraId="4614CA44" w14:textId="4C0F670A" w:rsidR="004238D8" w:rsidRPr="00E4085C" w:rsidRDefault="00E6133C" w:rsidP="00C65A3F">
            <w:pPr>
              <w:pStyle w:val="a0"/>
              <w:adjustRightInd w:val="0"/>
              <w:snapToGrid w:val="0"/>
              <w:spacing w:after="0"/>
              <w:rPr>
                <w:sz w:val="24"/>
                <w:szCs w:val="24"/>
                <w:lang w:eastAsia="zh-TW"/>
              </w:rPr>
            </w:pPr>
            <w:r w:rsidRPr="00E4085C">
              <w:rPr>
                <w:sz w:val="24"/>
                <w:szCs w:val="24"/>
                <w:lang w:eastAsia="zh-TW"/>
              </w:rPr>
              <w:t>Data definition and sources</w:t>
            </w:r>
          </w:p>
        </w:tc>
        <w:tc>
          <w:tcPr>
            <w:tcW w:w="690" w:type="dxa"/>
          </w:tcPr>
          <w:p w14:paraId="26A0649A" w14:textId="77777777" w:rsidR="004238D8" w:rsidRPr="00E4085C" w:rsidRDefault="004238D8" w:rsidP="00C65A3F">
            <w:pPr>
              <w:pStyle w:val="a0"/>
              <w:adjustRightInd w:val="0"/>
              <w:snapToGrid w:val="0"/>
              <w:spacing w:after="0"/>
              <w:jc w:val="center"/>
              <w:rPr>
                <w:sz w:val="24"/>
                <w:szCs w:val="24"/>
                <w:lang w:eastAsia="zh-TW"/>
              </w:rPr>
            </w:pPr>
          </w:p>
        </w:tc>
      </w:tr>
      <w:tr w:rsidR="004238D8" w:rsidRPr="00E4085C" w14:paraId="7E9A51A6" w14:textId="77777777" w:rsidTr="00950792">
        <w:tc>
          <w:tcPr>
            <w:tcW w:w="543" w:type="dxa"/>
          </w:tcPr>
          <w:p w14:paraId="23798C9A" w14:textId="77777777" w:rsidR="004238D8" w:rsidRPr="00E4085C" w:rsidRDefault="004238D8" w:rsidP="00C65A3F">
            <w:pPr>
              <w:pStyle w:val="a0"/>
              <w:adjustRightInd w:val="0"/>
              <w:snapToGrid w:val="0"/>
              <w:spacing w:after="0"/>
              <w:rPr>
                <w:sz w:val="24"/>
                <w:szCs w:val="24"/>
                <w:lang w:eastAsia="zh-TW"/>
              </w:rPr>
            </w:pPr>
          </w:p>
        </w:tc>
        <w:tc>
          <w:tcPr>
            <w:tcW w:w="519" w:type="dxa"/>
          </w:tcPr>
          <w:p w14:paraId="0913BCE6" w14:textId="77777777" w:rsidR="004238D8" w:rsidRPr="00E4085C" w:rsidRDefault="004238D8" w:rsidP="00C65A3F">
            <w:pPr>
              <w:pStyle w:val="a0"/>
              <w:adjustRightInd w:val="0"/>
              <w:snapToGrid w:val="0"/>
              <w:spacing w:after="0"/>
              <w:rPr>
                <w:sz w:val="24"/>
                <w:szCs w:val="24"/>
                <w:lang w:eastAsia="zh-TW"/>
              </w:rPr>
            </w:pPr>
            <w:r w:rsidRPr="00E4085C">
              <w:rPr>
                <w:sz w:val="24"/>
                <w:szCs w:val="24"/>
                <w:lang w:eastAsia="zh-TW"/>
              </w:rPr>
              <w:t>2.2</w:t>
            </w:r>
          </w:p>
        </w:tc>
        <w:tc>
          <w:tcPr>
            <w:tcW w:w="7318" w:type="dxa"/>
            <w:gridSpan w:val="3"/>
          </w:tcPr>
          <w:p w14:paraId="55428BEF" w14:textId="11CECC9F" w:rsidR="004238D8" w:rsidRPr="004E09D0" w:rsidRDefault="004E09D0" w:rsidP="001E74AF">
            <w:pPr>
              <w:pStyle w:val="a0"/>
              <w:adjustRightInd w:val="0"/>
              <w:snapToGrid w:val="0"/>
              <w:spacing w:after="0"/>
              <w:rPr>
                <w:sz w:val="24"/>
                <w:szCs w:val="24"/>
                <w:lang w:eastAsia="zh-TW"/>
              </w:rPr>
            </w:pPr>
            <w:r w:rsidRPr="004E09D0">
              <w:rPr>
                <w:sz w:val="24"/>
                <w:szCs w:val="24"/>
              </w:rPr>
              <w:t>Current performance of Inflation rate, end of period consumer prices in the selected countries</w:t>
            </w:r>
          </w:p>
        </w:tc>
        <w:tc>
          <w:tcPr>
            <w:tcW w:w="690" w:type="dxa"/>
          </w:tcPr>
          <w:p w14:paraId="74FF3B7E" w14:textId="77777777" w:rsidR="004238D8" w:rsidRPr="00E4085C" w:rsidRDefault="004238D8" w:rsidP="00C65A3F">
            <w:pPr>
              <w:pStyle w:val="a0"/>
              <w:adjustRightInd w:val="0"/>
              <w:snapToGrid w:val="0"/>
              <w:spacing w:after="0"/>
              <w:jc w:val="center"/>
              <w:rPr>
                <w:sz w:val="24"/>
                <w:szCs w:val="24"/>
                <w:lang w:eastAsia="zh-TW"/>
              </w:rPr>
            </w:pPr>
          </w:p>
        </w:tc>
      </w:tr>
      <w:tr w:rsidR="006508F5" w:rsidRPr="00E4085C" w14:paraId="7A38FB2C" w14:textId="77777777" w:rsidTr="00950792">
        <w:tc>
          <w:tcPr>
            <w:tcW w:w="543" w:type="dxa"/>
          </w:tcPr>
          <w:p w14:paraId="013B3755" w14:textId="77777777" w:rsidR="006508F5" w:rsidRPr="00E4085C" w:rsidRDefault="006508F5" w:rsidP="00C65A3F">
            <w:pPr>
              <w:pStyle w:val="a0"/>
              <w:adjustRightInd w:val="0"/>
              <w:snapToGrid w:val="0"/>
              <w:spacing w:after="0"/>
              <w:rPr>
                <w:sz w:val="24"/>
                <w:szCs w:val="24"/>
                <w:lang w:eastAsia="zh-TW"/>
              </w:rPr>
            </w:pPr>
          </w:p>
        </w:tc>
        <w:tc>
          <w:tcPr>
            <w:tcW w:w="519" w:type="dxa"/>
          </w:tcPr>
          <w:p w14:paraId="57C66C41" w14:textId="77777777" w:rsidR="006508F5" w:rsidRPr="00E4085C" w:rsidRDefault="006508F5" w:rsidP="00C65A3F">
            <w:pPr>
              <w:pStyle w:val="a0"/>
              <w:adjustRightInd w:val="0"/>
              <w:snapToGrid w:val="0"/>
              <w:spacing w:after="0"/>
              <w:rPr>
                <w:sz w:val="24"/>
                <w:szCs w:val="24"/>
                <w:lang w:eastAsia="zh-TW"/>
              </w:rPr>
            </w:pPr>
            <w:r w:rsidRPr="00E4085C">
              <w:rPr>
                <w:sz w:val="24"/>
                <w:szCs w:val="24"/>
                <w:lang w:eastAsia="zh-TW"/>
              </w:rPr>
              <w:t>2.3</w:t>
            </w:r>
          </w:p>
        </w:tc>
        <w:tc>
          <w:tcPr>
            <w:tcW w:w="7318" w:type="dxa"/>
            <w:gridSpan w:val="3"/>
          </w:tcPr>
          <w:p w14:paraId="7233D22D" w14:textId="16772760" w:rsidR="006508F5" w:rsidRPr="00E4085C" w:rsidRDefault="00A664EE" w:rsidP="001E74AF">
            <w:pPr>
              <w:pStyle w:val="a0"/>
              <w:adjustRightInd w:val="0"/>
              <w:snapToGrid w:val="0"/>
              <w:spacing w:after="0"/>
              <w:rPr>
                <w:sz w:val="24"/>
                <w:szCs w:val="24"/>
                <w:lang w:eastAsia="zh-TW"/>
              </w:rPr>
            </w:pPr>
            <w:r w:rsidRPr="00E4085C">
              <w:rPr>
                <w:sz w:val="24"/>
                <w:szCs w:val="24"/>
                <w:lang w:eastAsia="zh-TW"/>
              </w:rPr>
              <w:t>The dataset</w:t>
            </w:r>
          </w:p>
        </w:tc>
        <w:tc>
          <w:tcPr>
            <w:tcW w:w="690" w:type="dxa"/>
          </w:tcPr>
          <w:p w14:paraId="4913087A" w14:textId="77777777" w:rsidR="006508F5" w:rsidRPr="00E4085C" w:rsidRDefault="006508F5" w:rsidP="00C65A3F">
            <w:pPr>
              <w:pStyle w:val="a0"/>
              <w:adjustRightInd w:val="0"/>
              <w:snapToGrid w:val="0"/>
              <w:spacing w:after="0"/>
              <w:jc w:val="center"/>
              <w:rPr>
                <w:sz w:val="24"/>
                <w:szCs w:val="24"/>
                <w:lang w:eastAsia="zh-TW"/>
              </w:rPr>
            </w:pPr>
          </w:p>
        </w:tc>
      </w:tr>
      <w:bookmarkEnd w:id="0"/>
      <w:tr w:rsidR="00CA1589" w:rsidRPr="00E4085C" w14:paraId="5E5DA4C8" w14:textId="77777777" w:rsidTr="00950792">
        <w:tc>
          <w:tcPr>
            <w:tcW w:w="543" w:type="dxa"/>
          </w:tcPr>
          <w:p w14:paraId="70239ECA" w14:textId="77777777" w:rsidR="00CA1589" w:rsidRPr="00E4085C" w:rsidRDefault="00CA1589" w:rsidP="00C65A3F">
            <w:pPr>
              <w:pStyle w:val="a0"/>
              <w:adjustRightInd w:val="0"/>
              <w:snapToGrid w:val="0"/>
              <w:spacing w:after="0"/>
              <w:rPr>
                <w:sz w:val="24"/>
                <w:szCs w:val="24"/>
                <w:lang w:eastAsia="zh-TW"/>
              </w:rPr>
            </w:pPr>
          </w:p>
        </w:tc>
        <w:tc>
          <w:tcPr>
            <w:tcW w:w="7837" w:type="dxa"/>
            <w:gridSpan w:val="4"/>
          </w:tcPr>
          <w:p w14:paraId="218F8C91" w14:textId="6AE7720E" w:rsidR="00CA1589" w:rsidRPr="00E4085C" w:rsidRDefault="00CA1589" w:rsidP="00C65A3F">
            <w:pPr>
              <w:pStyle w:val="a0"/>
              <w:adjustRightInd w:val="0"/>
              <w:snapToGrid w:val="0"/>
              <w:spacing w:after="0"/>
              <w:rPr>
                <w:sz w:val="24"/>
                <w:szCs w:val="24"/>
                <w:lang w:eastAsia="zh-TW"/>
              </w:rPr>
            </w:pPr>
          </w:p>
        </w:tc>
        <w:tc>
          <w:tcPr>
            <w:tcW w:w="690" w:type="dxa"/>
          </w:tcPr>
          <w:p w14:paraId="1B1060C8" w14:textId="77777777" w:rsidR="00CA1589" w:rsidRPr="00E4085C" w:rsidRDefault="00CA1589" w:rsidP="00C65A3F">
            <w:pPr>
              <w:pStyle w:val="a0"/>
              <w:adjustRightInd w:val="0"/>
              <w:snapToGrid w:val="0"/>
              <w:spacing w:after="0"/>
              <w:jc w:val="center"/>
              <w:rPr>
                <w:sz w:val="24"/>
                <w:szCs w:val="24"/>
                <w:lang w:eastAsia="zh-TW"/>
              </w:rPr>
            </w:pPr>
          </w:p>
        </w:tc>
      </w:tr>
      <w:tr w:rsidR="00CA1589" w:rsidRPr="00E4085C" w14:paraId="180A2CEF" w14:textId="77777777" w:rsidTr="00950792">
        <w:tc>
          <w:tcPr>
            <w:tcW w:w="543" w:type="dxa"/>
          </w:tcPr>
          <w:p w14:paraId="49877B7A" w14:textId="6FA4193F" w:rsidR="00CA1589" w:rsidRPr="00E4085C" w:rsidRDefault="00225FC1" w:rsidP="00C65A3F">
            <w:pPr>
              <w:pStyle w:val="a0"/>
              <w:adjustRightInd w:val="0"/>
              <w:snapToGrid w:val="0"/>
              <w:spacing w:after="0"/>
              <w:rPr>
                <w:sz w:val="24"/>
                <w:szCs w:val="24"/>
                <w:lang w:eastAsia="zh-TW"/>
              </w:rPr>
            </w:pPr>
            <w:bookmarkStart w:id="1" w:name="_Hlk90989745"/>
            <w:r w:rsidRPr="00E4085C">
              <w:rPr>
                <w:sz w:val="24"/>
                <w:szCs w:val="24"/>
                <w:lang w:eastAsia="zh-TW"/>
              </w:rPr>
              <w:t>3</w:t>
            </w:r>
          </w:p>
        </w:tc>
        <w:tc>
          <w:tcPr>
            <w:tcW w:w="7837" w:type="dxa"/>
            <w:gridSpan w:val="4"/>
          </w:tcPr>
          <w:p w14:paraId="6D98C398" w14:textId="76DF3580" w:rsidR="00CA1589" w:rsidRPr="00E4085C" w:rsidRDefault="00CA1589" w:rsidP="00C65A3F">
            <w:pPr>
              <w:pStyle w:val="a0"/>
              <w:adjustRightInd w:val="0"/>
              <w:snapToGrid w:val="0"/>
              <w:spacing w:after="0"/>
              <w:rPr>
                <w:sz w:val="24"/>
                <w:szCs w:val="24"/>
                <w:lang w:eastAsia="zh-TW"/>
              </w:rPr>
            </w:pPr>
            <w:r w:rsidRPr="00E4085C">
              <w:rPr>
                <w:sz w:val="24"/>
                <w:szCs w:val="24"/>
                <w:lang w:eastAsia="zh-TW"/>
              </w:rPr>
              <w:t xml:space="preserve">Analysis and </w:t>
            </w:r>
            <w:r w:rsidR="00A664EE" w:rsidRPr="00E4085C">
              <w:rPr>
                <w:sz w:val="24"/>
                <w:szCs w:val="24"/>
                <w:lang w:eastAsia="zh-TW"/>
              </w:rPr>
              <w:t>D</w:t>
            </w:r>
            <w:r w:rsidRPr="00E4085C">
              <w:rPr>
                <w:sz w:val="24"/>
                <w:szCs w:val="24"/>
                <w:lang w:eastAsia="zh-TW"/>
              </w:rPr>
              <w:t xml:space="preserve">iscussion </w:t>
            </w:r>
          </w:p>
        </w:tc>
        <w:tc>
          <w:tcPr>
            <w:tcW w:w="690" w:type="dxa"/>
          </w:tcPr>
          <w:p w14:paraId="18949AFA" w14:textId="75BD12A1" w:rsidR="00CA1589" w:rsidRPr="00E4085C" w:rsidRDefault="00847315" w:rsidP="00544335">
            <w:pPr>
              <w:pStyle w:val="a0"/>
              <w:adjustRightInd w:val="0"/>
              <w:snapToGrid w:val="0"/>
              <w:spacing w:after="0"/>
              <w:jc w:val="center"/>
              <w:rPr>
                <w:sz w:val="24"/>
                <w:szCs w:val="24"/>
                <w:lang w:eastAsia="zh-TW"/>
              </w:rPr>
            </w:pPr>
            <w:r>
              <w:rPr>
                <w:sz w:val="24"/>
                <w:szCs w:val="24"/>
                <w:lang w:eastAsia="zh-TW"/>
              </w:rPr>
              <w:t>8</w:t>
            </w:r>
            <w:r w:rsidR="004E09D0">
              <w:rPr>
                <w:sz w:val="24"/>
                <w:szCs w:val="24"/>
                <w:lang w:eastAsia="zh-TW"/>
              </w:rPr>
              <w:t>-</w:t>
            </w:r>
            <w:r>
              <w:rPr>
                <w:sz w:val="24"/>
                <w:szCs w:val="24"/>
                <w:lang w:eastAsia="zh-TW"/>
              </w:rPr>
              <w:t>19</w:t>
            </w:r>
          </w:p>
        </w:tc>
      </w:tr>
      <w:tr w:rsidR="00CA1589" w:rsidRPr="00E4085C" w14:paraId="5BD5FCAB" w14:textId="77777777" w:rsidTr="00950792">
        <w:tc>
          <w:tcPr>
            <w:tcW w:w="543" w:type="dxa"/>
          </w:tcPr>
          <w:p w14:paraId="596A8492" w14:textId="77777777" w:rsidR="00CA1589" w:rsidRPr="00E4085C" w:rsidRDefault="00CA1589" w:rsidP="00C65A3F">
            <w:pPr>
              <w:pStyle w:val="a0"/>
              <w:adjustRightInd w:val="0"/>
              <w:snapToGrid w:val="0"/>
              <w:spacing w:after="0"/>
              <w:rPr>
                <w:sz w:val="24"/>
                <w:szCs w:val="24"/>
                <w:lang w:eastAsia="zh-TW"/>
              </w:rPr>
            </w:pPr>
          </w:p>
        </w:tc>
        <w:tc>
          <w:tcPr>
            <w:tcW w:w="564" w:type="dxa"/>
            <w:gridSpan w:val="3"/>
          </w:tcPr>
          <w:p w14:paraId="666CB445" w14:textId="34D014BE" w:rsidR="00CA1589" w:rsidRPr="00E4085C" w:rsidRDefault="00225FC1" w:rsidP="00C65A3F">
            <w:pPr>
              <w:pStyle w:val="a0"/>
              <w:adjustRightInd w:val="0"/>
              <w:snapToGrid w:val="0"/>
              <w:spacing w:after="0"/>
              <w:rPr>
                <w:sz w:val="24"/>
                <w:szCs w:val="24"/>
                <w:lang w:eastAsia="zh-TW"/>
              </w:rPr>
            </w:pPr>
            <w:r w:rsidRPr="00E4085C">
              <w:rPr>
                <w:sz w:val="24"/>
                <w:szCs w:val="24"/>
                <w:lang w:eastAsia="zh-TW"/>
              </w:rPr>
              <w:t>3</w:t>
            </w:r>
            <w:r w:rsidR="00CA1589" w:rsidRPr="00E4085C">
              <w:rPr>
                <w:sz w:val="24"/>
                <w:szCs w:val="24"/>
                <w:lang w:eastAsia="zh-TW"/>
              </w:rPr>
              <w:t>.1</w:t>
            </w:r>
          </w:p>
        </w:tc>
        <w:tc>
          <w:tcPr>
            <w:tcW w:w="7273" w:type="dxa"/>
          </w:tcPr>
          <w:p w14:paraId="734CB619" w14:textId="787FCFCE" w:rsidR="00CA1589" w:rsidRPr="009D05DE" w:rsidRDefault="00EF300E" w:rsidP="00C65A3F">
            <w:pPr>
              <w:adjustRightInd w:val="0"/>
              <w:snapToGrid w:val="0"/>
              <w:jc w:val="both"/>
              <w:rPr>
                <w:rFonts w:ascii="Times New Roman" w:hAnsi="Times New Roman"/>
                <w:bCs/>
                <w:szCs w:val="24"/>
              </w:rPr>
            </w:pPr>
            <w:r w:rsidRPr="009D05DE">
              <w:rPr>
                <w:rFonts w:ascii="Times New Roman" w:hAnsi="Times New Roman"/>
                <w:bCs/>
                <w:szCs w:val="24"/>
              </w:rPr>
              <w:t>Pattern of the global trend movement</w:t>
            </w:r>
            <w:r w:rsidRPr="009D05DE">
              <w:rPr>
                <w:rFonts w:ascii="Times New Roman" w:hAnsi="Times New Roman"/>
                <w:szCs w:val="24"/>
              </w:rPr>
              <w:t xml:space="preserve"> </w:t>
            </w:r>
          </w:p>
        </w:tc>
        <w:tc>
          <w:tcPr>
            <w:tcW w:w="690" w:type="dxa"/>
          </w:tcPr>
          <w:p w14:paraId="60F2C0A9" w14:textId="77777777" w:rsidR="00CA1589" w:rsidRPr="00E4085C" w:rsidRDefault="00CA1589" w:rsidP="00C65A3F">
            <w:pPr>
              <w:pStyle w:val="a0"/>
              <w:adjustRightInd w:val="0"/>
              <w:snapToGrid w:val="0"/>
              <w:spacing w:after="0"/>
              <w:jc w:val="center"/>
              <w:rPr>
                <w:sz w:val="24"/>
                <w:szCs w:val="24"/>
                <w:lang w:eastAsia="zh-TW"/>
              </w:rPr>
            </w:pPr>
          </w:p>
        </w:tc>
      </w:tr>
      <w:tr w:rsidR="00372343" w:rsidRPr="00E4085C" w14:paraId="62D66AFF" w14:textId="77777777" w:rsidTr="00950792">
        <w:tc>
          <w:tcPr>
            <w:tcW w:w="543" w:type="dxa"/>
          </w:tcPr>
          <w:p w14:paraId="6F1A3828" w14:textId="77777777" w:rsidR="00372343" w:rsidRPr="00E4085C" w:rsidRDefault="00372343" w:rsidP="00372343">
            <w:pPr>
              <w:pStyle w:val="a0"/>
              <w:adjustRightInd w:val="0"/>
              <w:snapToGrid w:val="0"/>
              <w:spacing w:after="0"/>
              <w:rPr>
                <w:sz w:val="24"/>
                <w:szCs w:val="24"/>
                <w:lang w:eastAsia="zh-TW"/>
              </w:rPr>
            </w:pPr>
          </w:p>
        </w:tc>
        <w:tc>
          <w:tcPr>
            <w:tcW w:w="564" w:type="dxa"/>
            <w:gridSpan w:val="3"/>
          </w:tcPr>
          <w:p w14:paraId="5BE9523D" w14:textId="46DEF4D8"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3</w:t>
            </w:r>
            <w:r w:rsidR="00372343" w:rsidRPr="00E4085C">
              <w:rPr>
                <w:sz w:val="24"/>
                <w:szCs w:val="24"/>
                <w:lang w:eastAsia="zh-TW"/>
              </w:rPr>
              <w:t>.2</w:t>
            </w:r>
          </w:p>
        </w:tc>
        <w:tc>
          <w:tcPr>
            <w:tcW w:w="7273" w:type="dxa"/>
          </w:tcPr>
          <w:p w14:paraId="2104C3CE" w14:textId="5A540500" w:rsidR="00372343" w:rsidRPr="009D05DE" w:rsidRDefault="00EF300E" w:rsidP="00372343">
            <w:pPr>
              <w:pStyle w:val="a0"/>
              <w:adjustRightInd w:val="0"/>
              <w:snapToGrid w:val="0"/>
              <w:spacing w:after="0"/>
              <w:rPr>
                <w:bCs/>
                <w:sz w:val="24"/>
                <w:szCs w:val="24"/>
                <w:lang w:eastAsia="zh-TW"/>
              </w:rPr>
            </w:pPr>
            <w:r w:rsidRPr="009D05DE">
              <w:rPr>
                <w:bCs/>
                <w:sz w:val="24"/>
                <w:szCs w:val="24"/>
              </w:rPr>
              <w:t>Pattern of the local trend movement</w:t>
            </w:r>
            <w:r w:rsidRPr="009D05DE">
              <w:rPr>
                <w:sz w:val="24"/>
                <w:szCs w:val="24"/>
              </w:rPr>
              <w:t xml:space="preserve"> </w:t>
            </w:r>
          </w:p>
        </w:tc>
        <w:tc>
          <w:tcPr>
            <w:tcW w:w="690" w:type="dxa"/>
          </w:tcPr>
          <w:p w14:paraId="4ED880EA" w14:textId="77777777" w:rsidR="00372343" w:rsidRPr="00E4085C" w:rsidRDefault="00372343" w:rsidP="00372343">
            <w:pPr>
              <w:pStyle w:val="a0"/>
              <w:adjustRightInd w:val="0"/>
              <w:snapToGrid w:val="0"/>
              <w:spacing w:after="0"/>
              <w:jc w:val="center"/>
              <w:rPr>
                <w:sz w:val="24"/>
                <w:szCs w:val="24"/>
                <w:lang w:eastAsia="zh-TW"/>
              </w:rPr>
            </w:pPr>
          </w:p>
        </w:tc>
      </w:tr>
      <w:tr w:rsidR="00A664EE" w:rsidRPr="00E4085C" w14:paraId="3593DFDA" w14:textId="77777777" w:rsidTr="00950792">
        <w:tc>
          <w:tcPr>
            <w:tcW w:w="543" w:type="dxa"/>
          </w:tcPr>
          <w:p w14:paraId="33B09391" w14:textId="77777777" w:rsidR="00A664EE" w:rsidRPr="00E4085C" w:rsidRDefault="00A664EE" w:rsidP="00372343">
            <w:pPr>
              <w:pStyle w:val="a0"/>
              <w:adjustRightInd w:val="0"/>
              <w:snapToGrid w:val="0"/>
              <w:spacing w:after="0"/>
              <w:rPr>
                <w:sz w:val="24"/>
                <w:szCs w:val="24"/>
                <w:lang w:eastAsia="zh-TW"/>
              </w:rPr>
            </w:pPr>
          </w:p>
        </w:tc>
        <w:tc>
          <w:tcPr>
            <w:tcW w:w="564" w:type="dxa"/>
            <w:gridSpan w:val="3"/>
          </w:tcPr>
          <w:p w14:paraId="1819E7D0" w14:textId="0BFA6F84" w:rsidR="00A664EE" w:rsidRPr="00E4085C" w:rsidRDefault="00A664EE" w:rsidP="00372343">
            <w:pPr>
              <w:pStyle w:val="a0"/>
              <w:adjustRightInd w:val="0"/>
              <w:snapToGrid w:val="0"/>
              <w:spacing w:after="0"/>
              <w:rPr>
                <w:sz w:val="24"/>
                <w:szCs w:val="24"/>
                <w:lang w:eastAsia="zh-TW"/>
              </w:rPr>
            </w:pPr>
            <w:r w:rsidRPr="00E4085C">
              <w:rPr>
                <w:sz w:val="24"/>
                <w:szCs w:val="24"/>
                <w:lang w:eastAsia="zh-TW"/>
              </w:rPr>
              <w:t>3.3</w:t>
            </w:r>
          </w:p>
        </w:tc>
        <w:tc>
          <w:tcPr>
            <w:tcW w:w="7273" w:type="dxa"/>
          </w:tcPr>
          <w:p w14:paraId="34DECAA4" w14:textId="505B7B16" w:rsidR="00A664EE" w:rsidRPr="00E4085C" w:rsidRDefault="00617F7E" w:rsidP="00372343">
            <w:pPr>
              <w:pStyle w:val="a0"/>
              <w:adjustRightInd w:val="0"/>
              <w:snapToGrid w:val="0"/>
              <w:spacing w:after="0"/>
              <w:rPr>
                <w:sz w:val="24"/>
                <w:szCs w:val="24"/>
                <w:lang w:eastAsia="zh-TW"/>
              </w:rPr>
            </w:pPr>
            <w:r w:rsidRPr="00E4085C">
              <w:rPr>
                <w:sz w:val="24"/>
                <w:szCs w:val="24"/>
                <w:lang w:eastAsia="zh-TW"/>
              </w:rPr>
              <w:t>Summary</w:t>
            </w:r>
          </w:p>
        </w:tc>
        <w:tc>
          <w:tcPr>
            <w:tcW w:w="690" w:type="dxa"/>
          </w:tcPr>
          <w:p w14:paraId="6210B245" w14:textId="77777777" w:rsidR="00A664EE" w:rsidRPr="00E4085C" w:rsidRDefault="00A664EE" w:rsidP="00372343">
            <w:pPr>
              <w:pStyle w:val="a0"/>
              <w:adjustRightInd w:val="0"/>
              <w:snapToGrid w:val="0"/>
              <w:spacing w:after="0"/>
              <w:jc w:val="center"/>
              <w:rPr>
                <w:sz w:val="24"/>
                <w:szCs w:val="24"/>
                <w:lang w:eastAsia="zh-TW"/>
              </w:rPr>
            </w:pPr>
          </w:p>
        </w:tc>
      </w:tr>
      <w:bookmarkEnd w:id="1"/>
      <w:tr w:rsidR="00372343" w:rsidRPr="00E4085C" w14:paraId="001B4A2A" w14:textId="77777777" w:rsidTr="00950792">
        <w:tc>
          <w:tcPr>
            <w:tcW w:w="543" w:type="dxa"/>
          </w:tcPr>
          <w:p w14:paraId="38AF4849" w14:textId="77777777" w:rsidR="00372343" w:rsidRPr="00E4085C" w:rsidRDefault="00372343" w:rsidP="00372343">
            <w:pPr>
              <w:pStyle w:val="a0"/>
              <w:adjustRightInd w:val="0"/>
              <w:snapToGrid w:val="0"/>
              <w:spacing w:after="0"/>
              <w:rPr>
                <w:sz w:val="24"/>
                <w:szCs w:val="24"/>
                <w:lang w:eastAsia="zh-TW"/>
              </w:rPr>
            </w:pPr>
          </w:p>
        </w:tc>
        <w:tc>
          <w:tcPr>
            <w:tcW w:w="7837" w:type="dxa"/>
            <w:gridSpan w:val="4"/>
          </w:tcPr>
          <w:p w14:paraId="3774DD14" w14:textId="77777777" w:rsidR="00372343" w:rsidRPr="00E4085C" w:rsidRDefault="00372343" w:rsidP="00372343">
            <w:pPr>
              <w:pStyle w:val="a0"/>
              <w:adjustRightInd w:val="0"/>
              <w:snapToGrid w:val="0"/>
              <w:spacing w:after="0"/>
              <w:rPr>
                <w:rFonts w:eastAsia="標楷體"/>
                <w:sz w:val="24"/>
                <w:szCs w:val="24"/>
              </w:rPr>
            </w:pPr>
          </w:p>
        </w:tc>
        <w:tc>
          <w:tcPr>
            <w:tcW w:w="690" w:type="dxa"/>
          </w:tcPr>
          <w:p w14:paraId="195229D3"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C182E88" w14:textId="77777777" w:rsidTr="00950792">
        <w:tc>
          <w:tcPr>
            <w:tcW w:w="543" w:type="dxa"/>
          </w:tcPr>
          <w:p w14:paraId="31F8DDD0" w14:textId="38AF3BB1"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p>
        </w:tc>
        <w:tc>
          <w:tcPr>
            <w:tcW w:w="7837" w:type="dxa"/>
            <w:gridSpan w:val="4"/>
          </w:tcPr>
          <w:p w14:paraId="33624304" w14:textId="67AC3719" w:rsidR="00372343" w:rsidRPr="00E4085C" w:rsidRDefault="00372343" w:rsidP="00372343">
            <w:pPr>
              <w:pStyle w:val="a0"/>
              <w:adjustRightInd w:val="0"/>
              <w:snapToGrid w:val="0"/>
              <w:spacing w:after="0"/>
              <w:rPr>
                <w:rFonts w:eastAsia="標楷體"/>
                <w:sz w:val="24"/>
                <w:szCs w:val="24"/>
              </w:rPr>
            </w:pPr>
            <w:r w:rsidRPr="00E4085C">
              <w:rPr>
                <w:rFonts w:eastAsia="標楷體"/>
                <w:sz w:val="24"/>
                <w:szCs w:val="24"/>
              </w:rPr>
              <w:t xml:space="preserve">Conclusion and </w:t>
            </w:r>
            <w:r w:rsidR="00A664EE" w:rsidRPr="00E4085C">
              <w:rPr>
                <w:rFonts w:eastAsia="標楷體"/>
                <w:sz w:val="24"/>
                <w:szCs w:val="24"/>
              </w:rPr>
              <w:t>R</w:t>
            </w:r>
            <w:r w:rsidRPr="00E4085C">
              <w:rPr>
                <w:rFonts w:eastAsia="標楷體"/>
                <w:sz w:val="24"/>
                <w:szCs w:val="24"/>
              </w:rPr>
              <w:t>ecommendation</w:t>
            </w:r>
            <w:r w:rsidR="00BC74F5" w:rsidRPr="00E4085C">
              <w:rPr>
                <w:rFonts w:eastAsia="標楷體"/>
                <w:sz w:val="24"/>
                <w:szCs w:val="24"/>
              </w:rPr>
              <w:t>s</w:t>
            </w:r>
          </w:p>
        </w:tc>
        <w:tc>
          <w:tcPr>
            <w:tcW w:w="690" w:type="dxa"/>
          </w:tcPr>
          <w:p w14:paraId="5BB1B922" w14:textId="3E461927" w:rsidR="00372343" w:rsidRPr="00E4085C" w:rsidRDefault="006E7676" w:rsidP="00544335">
            <w:pPr>
              <w:pStyle w:val="a0"/>
              <w:adjustRightInd w:val="0"/>
              <w:snapToGrid w:val="0"/>
              <w:spacing w:after="0"/>
              <w:jc w:val="center"/>
              <w:rPr>
                <w:sz w:val="24"/>
                <w:szCs w:val="24"/>
                <w:lang w:eastAsia="zh-TW"/>
              </w:rPr>
            </w:pPr>
            <w:r>
              <w:rPr>
                <w:sz w:val="24"/>
                <w:szCs w:val="24"/>
                <w:lang w:eastAsia="zh-TW"/>
              </w:rPr>
              <w:t>19</w:t>
            </w:r>
            <w:r w:rsidR="003D6E3B">
              <w:rPr>
                <w:sz w:val="24"/>
                <w:szCs w:val="24"/>
                <w:lang w:eastAsia="zh-TW"/>
              </w:rPr>
              <w:t>-</w:t>
            </w:r>
            <w:r>
              <w:rPr>
                <w:sz w:val="24"/>
                <w:szCs w:val="24"/>
                <w:lang w:eastAsia="zh-TW"/>
              </w:rPr>
              <w:t>20</w:t>
            </w:r>
          </w:p>
        </w:tc>
      </w:tr>
      <w:tr w:rsidR="00372343" w:rsidRPr="00E4085C" w14:paraId="57F3D633" w14:textId="77777777" w:rsidTr="00950792">
        <w:tc>
          <w:tcPr>
            <w:tcW w:w="543" w:type="dxa"/>
          </w:tcPr>
          <w:p w14:paraId="56BE07CC" w14:textId="77777777" w:rsidR="00372343" w:rsidRPr="00E4085C" w:rsidRDefault="00372343" w:rsidP="00372343">
            <w:pPr>
              <w:pStyle w:val="a0"/>
              <w:adjustRightInd w:val="0"/>
              <w:snapToGrid w:val="0"/>
              <w:spacing w:after="0"/>
              <w:rPr>
                <w:sz w:val="24"/>
                <w:szCs w:val="24"/>
                <w:lang w:eastAsia="zh-TW"/>
              </w:rPr>
            </w:pPr>
          </w:p>
        </w:tc>
        <w:tc>
          <w:tcPr>
            <w:tcW w:w="554" w:type="dxa"/>
            <w:gridSpan w:val="2"/>
          </w:tcPr>
          <w:p w14:paraId="533E08A1" w14:textId="06922356"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r w:rsidR="00372343" w:rsidRPr="00E4085C">
              <w:rPr>
                <w:sz w:val="24"/>
                <w:szCs w:val="24"/>
                <w:lang w:eastAsia="zh-TW"/>
              </w:rPr>
              <w:t>.1</w:t>
            </w:r>
          </w:p>
        </w:tc>
        <w:tc>
          <w:tcPr>
            <w:tcW w:w="7283" w:type="dxa"/>
            <w:gridSpan w:val="2"/>
          </w:tcPr>
          <w:p w14:paraId="0DDDFB6F"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Conclusion</w:t>
            </w:r>
          </w:p>
        </w:tc>
        <w:tc>
          <w:tcPr>
            <w:tcW w:w="690" w:type="dxa"/>
          </w:tcPr>
          <w:p w14:paraId="180376DE"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D7EF389" w14:textId="77777777" w:rsidTr="00950792">
        <w:tc>
          <w:tcPr>
            <w:tcW w:w="543" w:type="dxa"/>
          </w:tcPr>
          <w:p w14:paraId="406D3B2B" w14:textId="77777777" w:rsidR="00372343" w:rsidRPr="00E4085C" w:rsidRDefault="00372343" w:rsidP="00372343">
            <w:pPr>
              <w:pStyle w:val="a0"/>
              <w:adjustRightInd w:val="0"/>
              <w:snapToGrid w:val="0"/>
              <w:spacing w:after="0"/>
              <w:rPr>
                <w:sz w:val="24"/>
                <w:szCs w:val="24"/>
                <w:lang w:eastAsia="zh-TW"/>
              </w:rPr>
            </w:pPr>
          </w:p>
        </w:tc>
        <w:tc>
          <w:tcPr>
            <w:tcW w:w="554" w:type="dxa"/>
            <w:gridSpan w:val="2"/>
          </w:tcPr>
          <w:p w14:paraId="3983B5E4" w14:textId="6B09E978" w:rsidR="00372343" w:rsidRPr="00E4085C" w:rsidRDefault="00225FC1" w:rsidP="00372343">
            <w:pPr>
              <w:pStyle w:val="a0"/>
              <w:adjustRightInd w:val="0"/>
              <w:snapToGrid w:val="0"/>
              <w:spacing w:after="0"/>
              <w:rPr>
                <w:sz w:val="24"/>
                <w:szCs w:val="24"/>
                <w:lang w:eastAsia="zh-TW"/>
              </w:rPr>
            </w:pPr>
            <w:r w:rsidRPr="00E4085C">
              <w:rPr>
                <w:sz w:val="24"/>
                <w:szCs w:val="24"/>
                <w:lang w:eastAsia="zh-TW"/>
              </w:rPr>
              <w:t>4</w:t>
            </w:r>
            <w:r w:rsidR="00372343" w:rsidRPr="00E4085C">
              <w:rPr>
                <w:sz w:val="24"/>
                <w:szCs w:val="24"/>
                <w:lang w:eastAsia="zh-TW"/>
              </w:rPr>
              <w:t>.2</w:t>
            </w:r>
          </w:p>
        </w:tc>
        <w:tc>
          <w:tcPr>
            <w:tcW w:w="7283" w:type="dxa"/>
            <w:gridSpan w:val="2"/>
          </w:tcPr>
          <w:p w14:paraId="0CE5BA6E"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 xml:space="preserve">Recommendations </w:t>
            </w:r>
          </w:p>
        </w:tc>
        <w:tc>
          <w:tcPr>
            <w:tcW w:w="690" w:type="dxa"/>
          </w:tcPr>
          <w:p w14:paraId="642DD631"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768CAEC6" w14:textId="77777777" w:rsidTr="00950792">
        <w:tc>
          <w:tcPr>
            <w:tcW w:w="543" w:type="dxa"/>
          </w:tcPr>
          <w:p w14:paraId="1A51B187" w14:textId="77777777" w:rsidR="00372343" w:rsidRPr="00E4085C" w:rsidRDefault="00372343" w:rsidP="00372343">
            <w:pPr>
              <w:pStyle w:val="a0"/>
              <w:adjustRightInd w:val="0"/>
              <w:snapToGrid w:val="0"/>
              <w:spacing w:after="0"/>
              <w:rPr>
                <w:sz w:val="24"/>
                <w:szCs w:val="24"/>
                <w:lang w:eastAsia="zh-TW"/>
              </w:rPr>
            </w:pPr>
          </w:p>
        </w:tc>
        <w:tc>
          <w:tcPr>
            <w:tcW w:w="7837" w:type="dxa"/>
            <w:gridSpan w:val="4"/>
          </w:tcPr>
          <w:p w14:paraId="4B144AF4" w14:textId="54045003" w:rsidR="00372343" w:rsidRPr="00E4085C" w:rsidRDefault="00372343" w:rsidP="00372343">
            <w:pPr>
              <w:pStyle w:val="a0"/>
              <w:adjustRightInd w:val="0"/>
              <w:snapToGrid w:val="0"/>
              <w:spacing w:after="0"/>
              <w:rPr>
                <w:sz w:val="24"/>
                <w:szCs w:val="24"/>
                <w:lang w:eastAsia="zh-TW"/>
              </w:rPr>
            </w:pPr>
          </w:p>
        </w:tc>
        <w:tc>
          <w:tcPr>
            <w:tcW w:w="690" w:type="dxa"/>
          </w:tcPr>
          <w:p w14:paraId="648C5458"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3682519A" w14:textId="77777777" w:rsidTr="00950792">
        <w:tc>
          <w:tcPr>
            <w:tcW w:w="8380" w:type="dxa"/>
            <w:gridSpan w:val="5"/>
          </w:tcPr>
          <w:p w14:paraId="0E19D6F9" w14:textId="77777777" w:rsidR="00372343" w:rsidRPr="00E4085C" w:rsidRDefault="00372343" w:rsidP="00372343">
            <w:pPr>
              <w:pStyle w:val="a0"/>
              <w:adjustRightInd w:val="0"/>
              <w:snapToGrid w:val="0"/>
              <w:spacing w:after="0"/>
              <w:rPr>
                <w:sz w:val="24"/>
                <w:szCs w:val="24"/>
                <w:lang w:eastAsia="zh-TW"/>
              </w:rPr>
            </w:pPr>
            <w:r w:rsidRPr="00E4085C">
              <w:rPr>
                <w:sz w:val="24"/>
                <w:szCs w:val="24"/>
                <w:lang w:eastAsia="zh-TW"/>
              </w:rPr>
              <w:t>References</w:t>
            </w:r>
          </w:p>
        </w:tc>
        <w:tc>
          <w:tcPr>
            <w:tcW w:w="690" w:type="dxa"/>
          </w:tcPr>
          <w:p w14:paraId="1058B772" w14:textId="40F52E34" w:rsidR="00372343" w:rsidRPr="00E4085C" w:rsidRDefault="00847315" w:rsidP="000E7A6B">
            <w:pPr>
              <w:pStyle w:val="a0"/>
              <w:adjustRightInd w:val="0"/>
              <w:snapToGrid w:val="0"/>
              <w:spacing w:after="0"/>
              <w:rPr>
                <w:sz w:val="24"/>
                <w:szCs w:val="24"/>
                <w:lang w:eastAsia="zh-TW"/>
              </w:rPr>
            </w:pPr>
            <w:r>
              <w:rPr>
                <w:sz w:val="24"/>
                <w:szCs w:val="24"/>
                <w:lang w:eastAsia="zh-TW"/>
              </w:rPr>
              <w:t>2</w:t>
            </w:r>
            <w:r w:rsidR="006E7676">
              <w:rPr>
                <w:sz w:val="24"/>
                <w:szCs w:val="24"/>
                <w:lang w:eastAsia="zh-TW"/>
              </w:rPr>
              <w:t>1</w:t>
            </w:r>
            <w:r w:rsidR="002635E5">
              <w:rPr>
                <w:sz w:val="24"/>
                <w:szCs w:val="24"/>
                <w:lang w:eastAsia="zh-TW"/>
              </w:rPr>
              <w:t>-</w:t>
            </w:r>
            <w:r>
              <w:rPr>
                <w:sz w:val="24"/>
                <w:szCs w:val="24"/>
                <w:lang w:eastAsia="zh-TW"/>
              </w:rPr>
              <w:t>2</w:t>
            </w:r>
            <w:r w:rsidR="006E7676">
              <w:rPr>
                <w:sz w:val="24"/>
                <w:szCs w:val="24"/>
                <w:lang w:eastAsia="zh-TW"/>
              </w:rPr>
              <w:t xml:space="preserve">3 </w:t>
            </w:r>
          </w:p>
        </w:tc>
      </w:tr>
      <w:tr w:rsidR="00372343" w:rsidRPr="00E4085C" w14:paraId="2C3C0429" w14:textId="77777777" w:rsidTr="00950792">
        <w:tc>
          <w:tcPr>
            <w:tcW w:w="8380" w:type="dxa"/>
            <w:gridSpan w:val="5"/>
          </w:tcPr>
          <w:p w14:paraId="40815BD5" w14:textId="77777777" w:rsidR="00372343" w:rsidRPr="00E4085C" w:rsidRDefault="00372343" w:rsidP="00372343">
            <w:pPr>
              <w:pStyle w:val="a0"/>
              <w:adjustRightInd w:val="0"/>
              <w:snapToGrid w:val="0"/>
              <w:spacing w:after="0"/>
              <w:rPr>
                <w:color w:val="0000FF"/>
                <w:sz w:val="24"/>
                <w:szCs w:val="24"/>
                <w:lang w:eastAsia="zh-TW"/>
              </w:rPr>
            </w:pPr>
          </w:p>
        </w:tc>
        <w:tc>
          <w:tcPr>
            <w:tcW w:w="690" w:type="dxa"/>
          </w:tcPr>
          <w:p w14:paraId="3DACE0E2" w14:textId="77777777" w:rsidR="00372343" w:rsidRPr="00E4085C" w:rsidRDefault="00372343" w:rsidP="00372343">
            <w:pPr>
              <w:pStyle w:val="a0"/>
              <w:adjustRightInd w:val="0"/>
              <w:snapToGrid w:val="0"/>
              <w:spacing w:after="0"/>
              <w:jc w:val="center"/>
              <w:rPr>
                <w:sz w:val="24"/>
                <w:szCs w:val="24"/>
                <w:lang w:eastAsia="zh-TW"/>
              </w:rPr>
            </w:pPr>
          </w:p>
        </w:tc>
      </w:tr>
      <w:tr w:rsidR="00372343" w:rsidRPr="00E4085C" w14:paraId="46FE45C7" w14:textId="77777777" w:rsidTr="00950792">
        <w:tc>
          <w:tcPr>
            <w:tcW w:w="8380" w:type="dxa"/>
            <w:gridSpan w:val="5"/>
          </w:tcPr>
          <w:p w14:paraId="15786C5E" w14:textId="34D52050" w:rsidR="00372343" w:rsidRPr="00E4085C" w:rsidRDefault="00372343" w:rsidP="00372343">
            <w:pPr>
              <w:pStyle w:val="a0"/>
              <w:adjustRightInd w:val="0"/>
              <w:snapToGrid w:val="0"/>
              <w:spacing w:after="0"/>
              <w:rPr>
                <w:sz w:val="24"/>
                <w:szCs w:val="24"/>
                <w:lang w:eastAsia="zh-TW"/>
              </w:rPr>
            </w:pPr>
          </w:p>
        </w:tc>
        <w:tc>
          <w:tcPr>
            <w:tcW w:w="690" w:type="dxa"/>
          </w:tcPr>
          <w:p w14:paraId="47E212F6" w14:textId="414951D5" w:rsidR="00372343" w:rsidRPr="00E4085C" w:rsidRDefault="00372343" w:rsidP="00372343">
            <w:pPr>
              <w:pStyle w:val="a0"/>
              <w:adjustRightInd w:val="0"/>
              <w:snapToGrid w:val="0"/>
              <w:spacing w:after="0"/>
              <w:jc w:val="center"/>
              <w:rPr>
                <w:sz w:val="24"/>
                <w:szCs w:val="24"/>
                <w:lang w:eastAsia="zh-TW"/>
              </w:rPr>
            </w:pPr>
          </w:p>
        </w:tc>
      </w:tr>
    </w:tbl>
    <w:p w14:paraId="5FF40601" w14:textId="77777777" w:rsidR="006841F6" w:rsidRPr="00E4085C" w:rsidRDefault="006841F6" w:rsidP="00C65A3F">
      <w:pPr>
        <w:widowControl/>
        <w:adjustRightInd w:val="0"/>
        <w:snapToGrid w:val="0"/>
        <w:jc w:val="both"/>
        <w:rPr>
          <w:rFonts w:ascii="Times New Roman" w:hAnsi="Times New Roman"/>
          <w:szCs w:val="24"/>
        </w:rPr>
      </w:pPr>
    </w:p>
    <w:p w14:paraId="2F972F7A" w14:textId="77777777" w:rsidR="00074B88" w:rsidRPr="00E4085C" w:rsidRDefault="00074B88" w:rsidP="00C65A3F">
      <w:pPr>
        <w:widowControl/>
        <w:adjustRightInd w:val="0"/>
        <w:snapToGrid w:val="0"/>
        <w:jc w:val="both"/>
        <w:rPr>
          <w:rFonts w:ascii="Times New Roman" w:hAnsi="Times New Roman"/>
          <w:szCs w:val="24"/>
        </w:rPr>
      </w:pPr>
    </w:p>
    <w:p w14:paraId="5605305D" w14:textId="77777777" w:rsidR="00074B88" w:rsidRPr="00E4085C" w:rsidRDefault="00074B88" w:rsidP="00C65A3F">
      <w:pPr>
        <w:widowControl/>
        <w:adjustRightInd w:val="0"/>
        <w:snapToGrid w:val="0"/>
        <w:jc w:val="both"/>
        <w:rPr>
          <w:rFonts w:ascii="Times New Roman" w:hAnsi="Times New Roman"/>
          <w:szCs w:val="24"/>
        </w:rPr>
      </w:pPr>
    </w:p>
    <w:p w14:paraId="201D3FD8" w14:textId="77777777" w:rsidR="00074B88" w:rsidRPr="00E4085C" w:rsidRDefault="00074B88" w:rsidP="00C65A3F">
      <w:pPr>
        <w:widowControl/>
        <w:adjustRightInd w:val="0"/>
        <w:snapToGrid w:val="0"/>
        <w:jc w:val="both"/>
        <w:rPr>
          <w:rFonts w:ascii="Times New Roman" w:hAnsi="Times New Roman"/>
          <w:szCs w:val="24"/>
        </w:rPr>
        <w:sectPr w:rsidR="00074B88" w:rsidRPr="00E4085C" w:rsidSect="002970FF">
          <w:pgSz w:w="11906" w:h="16838"/>
          <w:pgMar w:top="1134" w:right="1418" w:bottom="1134" w:left="1418" w:header="851" w:footer="992" w:gutter="0"/>
          <w:pgNumType w:fmt="lowerRoman" w:start="1"/>
          <w:cols w:space="425"/>
          <w:docGrid w:type="linesAndChars" w:linePitch="360"/>
        </w:sectPr>
      </w:pPr>
    </w:p>
    <w:p w14:paraId="4197DF12" w14:textId="75D2B15C" w:rsidR="00DD79F6" w:rsidRPr="004D3F2B" w:rsidRDefault="001B1DF5" w:rsidP="00225FC1">
      <w:pPr>
        <w:widowControl/>
        <w:adjustRightInd w:val="0"/>
        <w:snapToGrid w:val="0"/>
        <w:jc w:val="both"/>
        <w:rPr>
          <w:rFonts w:ascii="Times New Roman" w:hAnsi="Times New Roman"/>
          <w:b/>
          <w:bCs/>
          <w:color w:val="0000CC"/>
          <w:szCs w:val="24"/>
        </w:rPr>
      </w:pPr>
      <w:r w:rsidRPr="004D3F2B">
        <w:rPr>
          <w:rFonts w:ascii="Times New Roman" w:hAnsi="Times New Roman"/>
          <w:b/>
          <w:bCs/>
          <w:szCs w:val="24"/>
        </w:rPr>
        <w:lastRenderedPageBreak/>
        <w:t>1   Introduction</w:t>
      </w:r>
    </w:p>
    <w:p w14:paraId="51C4C8C7" w14:textId="137599CF"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The global economic landscape is continually evolving, influenced by a myriad of factors that present both challenges and opportunities for investment firms aiming to broaden their international presence. A pivotal aspect of this landscape is the behavior of key economic indicators, such as inflation rates, which serve as critical barometers for economic health and consumer purchasing </w:t>
      </w:r>
      <w:r w:rsidR="001F017C">
        <w:rPr>
          <w:rFonts w:ascii="Times New Roman" w:hAnsi="Times New Roman"/>
          <w:bCs/>
          <w:color w:val="000000" w:themeColor="text1"/>
          <w:szCs w:val="24"/>
        </w:rPr>
        <w:t>(</w:t>
      </w:r>
      <w:proofErr w:type="spellStart"/>
      <w:r w:rsidR="001F017C" w:rsidRPr="001F017C">
        <w:rPr>
          <w:rFonts w:ascii="Times New Roman" w:hAnsi="Times New Roman"/>
        </w:rPr>
        <w:t>Ogrokhina</w:t>
      </w:r>
      <w:proofErr w:type="spellEnd"/>
      <w:r w:rsidR="001F017C" w:rsidRPr="001F017C">
        <w:rPr>
          <w:rFonts w:ascii="Times New Roman" w:hAnsi="Times New Roman"/>
        </w:rPr>
        <w:t>, O., &amp; Rodriguez, C. M.</w:t>
      </w:r>
      <w:r w:rsidR="001F017C">
        <w:rPr>
          <w:rFonts w:ascii="Times New Roman" w:hAnsi="Times New Roman"/>
        </w:rPr>
        <w:t xml:space="preserve">, </w:t>
      </w:r>
      <w:r w:rsidR="001F017C" w:rsidRPr="001F017C">
        <w:rPr>
          <w:rFonts w:ascii="Times New Roman" w:hAnsi="Times New Roman"/>
        </w:rPr>
        <w:t>2018</w:t>
      </w:r>
      <w:r w:rsidR="001F017C">
        <w:rPr>
          <w:rFonts w:ascii="Times New Roman" w:hAnsi="Times New Roman"/>
          <w:bCs/>
          <w:color w:val="000000" w:themeColor="text1"/>
          <w:szCs w:val="24"/>
        </w:rPr>
        <w:t>)</w:t>
      </w:r>
      <w:r w:rsidRPr="004D3F2B">
        <w:rPr>
          <w:rFonts w:ascii="Times New Roman" w:hAnsi="Times New Roman"/>
          <w:bCs/>
          <w:color w:val="000000" w:themeColor="text1"/>
          <w:szCs w:val="24"/>
        </w:rPr>
        <w:t>. This empirical study is dedicated to examining the inflation trends within a diverse set of regions: Hong Kong, an advanced financial center in Asia; the United States and the United Kingdom, which are epitomes of mature economies with deep-rooted financial systems; and China and Malaysia, representing emerging markets characterized by rapid economic development and transformation. The primary objective is to uncover viable investment avenues that could significantly contribute to the global expansion goals of our firm.</w:t>
      </w:r>
    </w:p>
    <w:p w14:paraId="05576033"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04123935" w14:textId="295D721B"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Over the past few years, our company has faced a multitude of challenges stemming from economic instabilities, geopolitical tensions, and fluctuating market conditions. These challenges have impeded our growth trajectory and complicated our strategic investment planning. The unpredictable nature of inflation, a crucial determinant of investment viability and returns, has further compounded these difficulties. </w:t>
      </w:r>
      <w:r w:rsidR="003963B3" w:rsidRPr="003963B3">
        <w:rPr>
          <w:rFonts w:ascii="Times New Roman" w:hAnsi="Times New Roman"/>
          <w:bCs/>
          <w:color w:val="000000" w:themeColor="text1"/>
          <w:szCs w:val="24"/>
        </w:rPr>
        <w:t xml:space="preserve">The Positive and Negative Impacts of Inflation: </w:t>
      </w:r>
      <w:proofErr w:type="spellStart"/>
      <w:r w:rsidR="003963B3" w:rsidRPr="003963B3">
        <w:rPr>
          <w:rFonts w:ascii="Times New Roman" w:hAnsi="Times New Roman"/>
          <w:bCs/>
          <w:color w:val="000000" w:themeColor="text1"/>
          <w:szCs w:val="24"/>
        </w:rPr>
        <w:t>Cieślak</w:t>
      </w:r>
      <w:proofErr w:type="spellEnd"/>
      <w:r w:rsidR="003963B3" w:rsidRPr="003963B3">
        <w:rPr>
          <w:rFonts w:ascii="Times New Roman" w:hAnsi="Times New Roman"/>
          <w:bCs/>
          <w:color w:val="000000" w:themeColor="text1"/>
          <w:szCs w:val="24"/>
        </w:rPr>
        <w:t xml:space="preserve"> and Pflueger (2023) suggest that in certain instances, inflation (viewed as "good" inflation) may be associated with demand shocks, reflecting economic growth and expansion, which could lead to an increase in investment returns. However, in other cases (perceived as "bad" inflation), inflation may be related to cost-push shocks, which can result in economic slowdown, thus reducing the rate of return on investments (</w:t>
      </w:r>
      <w:proofErr w:type="spellStart"/>
      <w:r w:rsidR="003963B3" w:rsidRPr="003963B3">
        <w:rPr>
          <w:rFonts w:ascii="Times New Roman" w:hAnsi="Times New Roman"/>
          <w:bCs/>
          <w:color w:val="000000" w:themeColor="text1"/>
          <w:szCs w:val="24"/>
        </w:rPr>
        <w:t>Cieślak</w:t>
      </w:r>
      <w:proofErr w:type="spellEnd"/>
      <w:r w:rsidR="003963B3" w:rsidRPr="003963B3">
        <w:rPr>
          <w:rFonts w:ascii="Times New Roman" w:hAnsi="Times New Roman"/>
          <w:bCs/>
          <w:color w:val="000000" w:themeColor="text1"/>
          <w:szCs w:val="24"/>
        </w:rPr>
        <w:t xml:space="preserve"> &amp; Pflueger, 2023).</w:t>
      </w:r>
      <w:r w:rsidRPr="004D3F2B">
        <w:rPr>
          <w:rFonts w:ascii="Times New Roman" w:hAnsi="Times New Roman"/>
          <w:bCs/>
          <w:color w:val="000000" w:themeColor="text1"/>
          <w:szCs w:val="24"/>
        </w:rPr>
        <w:t>It is against this backdrop that this research was conceived, with a motivation rooted in the need to develop a granular understanding of inflation trends across key markets. By identifying regions where inflationary pressures are managed effectively or present unique investment prospects, our firm aims to strategically position itself in markets that not only offer stability in turbulent economic times but also hold the promise of rewarding investment opportunities.</w:t>
      </w:r>
    </w:p>
    <w:p w14:paraId="4A294DF7"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2DA0E0E9" w14:textId="50F1E6D1"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To achieve this, the study adopts a rigorous framework </w:t>
      </w:r>
      <w:r w:rsidR="009B094E">
        <w:rPr>
          <w:rFonts w:ascii="Times New Roman" w:hAnsi="Times New Roman"/>
          <w:bCs/>
          <w:color w:val="000000" w:themeColor="text1"/>
          <w:szCs w:val="24"/>
        </w:rPr>
        <w:t>to analyze</w:t>
      </w:r>
      <w:r w:rsidRPr="004D3F2B">
        <w:rPr>
          <w:rFonts w:ascii="Times New Roman" w:hAnsi="Times New Roman"/>
          <w:bCs/>
          <w:color w:val="000000" w:themeColor="text1"/>
          <w:szCs w:val="24"/>
        </w:rPr>
        <w:t xml:space="preserve"> </w:t>
      </w:r>
      <w:r w:rsidR="00AE5ED3">
        <w:rPr>
          <w:rFonts w:ascii="Times New Roman" w:hAnsi="Times New Roman"/>
          <w:bCs/>
          <w:color w:val="000000" w:themeColor="text1"/>
          <w:szCs w:val="24"/>
        </w:rPr>
        <w:t xml:space="preserve">the </w:t>
      </w:r>
      <w:r w:rsidRPr="004D3F2B">
        <w:rPr>
          <w:rFonts w:ascii="Times New Roman" w:hAnsi="Times New Roman"/>
          <w:bCs/>
          <w:color w:val="000000" w:themeColor="text1"/>
          <w:szCs w:val="24"/>
        </w:rPr>
        <w:t xml:space="preserve">time-series </w:t>
      </w:r>
      <w:r w:rsidR="00AE5ED3">
        <w:rPr>
          <w:rFonts w:ascii="Times New Roman" w:hAnsi="Times New Roman"/>
          <w:bCs/>
          <w:color w:val="000000" w:themeColor="text1"/>
          <w:szCs w:val="24"/>
        </w:rPr>
        <w:t>of consumer inflation rates in these five selected countries</w:t>
      </w:r>
      <w:r w:rsidRPr="004D3F2B">
        <w:rPr>
          <w:rFonts w:ascii="Times New Roman" w:hAnsi="Times New Roman"/>
          <w:bCs/>
          <w:color w:val="000000" w:themeColor="text1"/>
          <w:szCs w:val="24"/>
        </w:rPr>
        <w:t xml:space="preserve">. Historical data on inflation rates are scrutinized to uncover trends, spikes, and patterns, providing insights into the temporal dynamics of inflation across the selected regions. </w:t>
      </w:r>
    </w:p>
    <w:p w14:paraId="0FE11EDE"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4A69E46B" w14:textId="496FCD90"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r w:rsidRPr="004D3F2B">
        <w:rPr>
          <w:rFonts w:ascii="Times New Roman" w:hAnsi="Times New Roman"/>
          <w:bCs/>
          <w:color w:val="000000" w:themeColor="text1"/>
          <w:szCs w:val="24"/>
        </w:rPr>
        <w:t xml:space="preserve">Here, an in-depth analysis of inflation trends in Hong Kong, the United States, the United Kingdom, China, and Malaysia is presented. By examining historical inflation data, the study aims to delineate clear patterns and identify anomalies in inflation rates, offering insights into the underlying economic </w:t>
      </w:r>
      <w:r w:rsidRPr="004D3F2B">
        <w:rPr>
          <w:rFonts w:ascii="Times New Roman" w:hAnsi="Times New Roman"/>
          <w:bCs/>
          <w:color w:val="000000" w:themeColor="text1"/>
          <w:szCs w:val="24"/>
        </w:rPr>
        <w:lastRenderedPageBreak/>
        <w:t>forces driving these trends. The third section endeavors to contextualize these empirical findings within the broader scope of global investment strategy. It distills the analysis into practical investment recommendations, focusing on how to navigate the challenges posed by inflationary environments and capitalize on the opportunities they may unveil. Specifically, this section will articulate strategies for mitigating inflationary risks, identifying growth potential in high-inflation contexts, and fine-tuning the global investment portfolio to bolster resilience against economic fluctuations and enhance growth prospects.</w:t>
      </w:r>
      <w:r w:rsidR="002E7DA0" w:rsidRPr="004D3F2B">
        <w:rPr>
          <w:rFonts w:ascii="Times New Roman" w:hAnsi="Times New Roman"/>
          <w:bCs/>
          <w:color w:val="000000" w:themeColor="text1"/>
          <w:szCs w:val="24"/>
        </w:rPr>
        <w:t xml:space="preserve"> </w:t>
      </w:r>
    </w:p>
    <w:p w14:paraId="5B6CB86F" w14:textId="77777777" w:rsidR="000A37B4" w:rsidRPr="004D3F2B" w:rsidRDefault="000A37B4" w:rsidP="000A37B4">
      <w:pPr>
        <w:adjustRightInd w:val="0"/>
        <w:snapToGrid w:val="0"/>
        <w:spacing w:line="360" w:lineRule="auto"/>
        <w:jc w:val="both"/>
        <w:rPr>
          <w:rFonts w:ascii="Times New Roman" w:hAnsi="Times New Roman"/>
          <w:bCs/>
          <w:color w:val="000000" w:themeColor="text1"/>
          <w:szCs w:val="24"/>
        </w:rPr>
      </w:pPr>
    </w:p>
    <w:p w14:paraId="08F6ADEE" w14:textId="77777777" w:rsidR="000A37B4" w:rsidRPr="004D3F2B" w:rsidRDefault="000A37B4" w:rsidP="000A37B4">
      <w:pPr>
        <w:adjustRightInd w:val="0"/>
        <w:snapToGrid w:val="0"/>
        <w:spacing w:line="360" w:lineRule="auto"/>
        <w:jc w:val="both"/>
        <w:rPr>
          <w:rFonts w:ascii="Times New Roman" w:hAnsi="Times New Roman"/>
          <w:bCs/>
          <w:color w:val="0000CC"/>
          <w:szCs w:val="24"/>
        </w:rPr>
      </w:pPr>
    </w:p>
    <w:p w14:paraId="6727D2BF" w14:textId="77777777" w:rsidR="009B094E" w:rsidRDefault="009B094E">
      <w:pPr>
        <w:widowControl/>
        <w:rPr>
          <w:rFonts w:ascii="Times New Roman" w:hAnsi="Times New Roman"/>
          <w:b/>
          <w:bCs/>
          <w:szCs w:val="24"/>
        </w:rPr>
      </w:pPr>
      <w:r>
        <w:rPr>
          <w:rFonts w:ascii="Times New Roman" w:hAnsi="Times New Roman"/>
          <w:b/>
          <w:bCs/>
          <w:szCs w:val="24"/>
        </w:rPr>
        <w:br w:type="page"/>
      </w:r>
    </w:p>
    <w:p w14:paraId="0EB42323" w14:textId="151277FC" w:rsidR="00B953FD" w:rsidRPr="004D3F2B" w:rsidRDefault="001B1DF5" w:rsidP="004E09D0">
      <w:pPr>
        <w:widowControl/>
        <w:adjustRightInd w:val="0"/>
        <w:snapToGrid w:val="0"/>
        <w:spacing w:line="360" w:lineRule="auto"/>
        <w:jc w:val="both"/>
        <w:rPr>
          <w:rFonts w:ascii="Times New Roman" w:hAnsi="Times New Roman"/>
          <w:b/>
          <w:bCs/>
          <w:color w:val="0000CC"/>
          <w:szCs w:val="24"/>
        </w:rPr>
      </w:pPr>
      <w:r w:rsidRPr="004D3F2B">
        <w:rPr>
          <w:rFonts w:ascii="Times New Roman" w:hAnsi="Times New Roman"/>
          <w:b/>
          <w:bCs/>
          <w:szCs w:val="24"/>
        </w:rPr>
        <w:lastRenderedPageBreak/>
        <w:t xml:space="preserve">2   </w:t>
      </w:r>
      <w:r w:rsidR="001E46DB" w:rsidRPr="004D3F2B">
        <w:rPr>
          <w:rFonts w:ascii="Times New Roman" w:hAnsi="Times New Roman"/>
          <w:b/>
          <w:szCs w:val="24"/>
        </w:rPr>
        <w:t xml:space="preserve">Research </w:t>
      </w:r>
      <w:r w:rsidR="00A664EE" w:rsidRPr="004D3F2B">
        <w:rPr>
          <w:rFonts w:ascii="Times New Roman" w:hAnsi="Times New Roman"/>
          <w:b/>
          <w:szCs w:val="24"/>
        </w:rPr>
        <w:t>B</w:t>
      </w:r>
      <w:r w:rsidR="001E46DB" w:rsidRPr="004D3F2B">
        <w:rPr>
          <w:rFonts w:ascii="Times New Roman" w:hAnsi="Times New Roman"/>
          <w:b/>
          <w:szCs w:val="24"/>
        </w:rPr>
        <w:t>ackground</w:t>
      </w:r>
      <w:r w:rsidR="00AE5ED3">
        <w:rPr>
          <w:rFonts w:ascii="Times New Roman" w:hAnsi="Times New Roman"/>
          <w:b/>
          <w:szCs w:val="24"/>
        </w:rPr>
        <w:t xml:space="preserve"> </w:t>
      </w:r>
    </w:p>
    <w:p w14:paraId="6FBD7C7F" w14:textId="0BCBC29C"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The selection of the inflation rate, particularly the end-of-period consumer prices, as the central theme of this analysis is underpinned by its significant impact on the global economic framework and its direct influence on investment strategies and decisions. Inflation fundamentally alters the purchasing power and the cost structure within economies, thereby playing a crucial role in molding the investment environment. This is exemplified in the work of Liebermann and Ungar (1983), who explored how inflation influences consumer choices among durable goods by affecting perceived investment returns. Similarly, Schwert (1981) demonstrated how stock prices react, albeit modestly, to unexpected inflation announcements, highlighting the sensitivity of financial markets to inflationary trends.</w:t>
      </w:r>
    </w:p>
    <w:p w14:paraId="535E03A1" w14:textId="77777777" w:rsidR="00C24C68" w:rsidRPr="00C24C68" w:rsidRDefault="00C24C68" w:rsidP="00C24C68">
      <w:pPr>
        <w:adjustRightInd w:val="0"/>
        <w:snapToGrid w:val="0"/>
        <w:spacing w:line="360" w:lineRule="auto"/>
        <w:jc w:val="both"/>
        <w:rPr>
          <w:rFonts w:ascii="Times New Roman" w:hAnsi="Times New Roman"/>
          <w:bCs/>
          <w:szCs w:val="24"/>
        </w:rPr>
      </w:pPr>
    </w:p>
    <w:p w14:paraId="58BE1C1E" w14:textId="77777777"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Further supporting this notion, Monacelli and Sala (2009) quantified the contribution of international factors to consumer price inflation, revealing that a significant portion of price variance could be attributed to global inflationary pressures, thereby affecting international investment decisions. Additionally, Cooley, Roenfeldt, and Chew (1975) discussed the necessity of modifying traditional capital budgeting processes in response to inflation to prevent suboptimal capital allocation, emphasizing the importance of inflation in strategic financial planning.</w:t>
      </w:r>
    </w:p>
    <w:p w14:paraId="10498291" w14:textId="77777777" w:rsidR="00C24C68" w:rsidRPr="00C24C68" w:rsidRDefault="00C24C68" w:rsidP="00C24C68">
      <w:pPr>
        <w:adjustRightInd w:val="0"/>
        <w:snapToGrid w:val="0"/>
        <w:spacing w:line="360" w:lineRule="auto"/>
        <w:jc w:val="both"/>
        <w:rPr>
          <w:rFonts w:ascii="Times New Roman" w:hAnsi="Times New Roman"/>
          <w:bCs/>
          <w:szCs w:val="24"/>
        </w:rPr>
      </w:pPr>
    </w:p>
    <w:p w14:paraId="6F22BC14" w14:textId="77777777" w:rsidR="00C24C68" w:rsidRPr="00C24C68" w:rsidRDefault="00C24C68" w:rsidP="00C24C68">
      <w:pPr>
        <w:adjustRightInd w:val="0"/>
        <w:snapToGrid w:val="0"/>
        <w:spacing w:line="360" w:lineRule="auto"/>
        <w:jc w:val="both"/>
        <w:rPr>
          <w:rFonts w:ascii="Times New Roman" w:hAnsi="Times New Roman"/>
          <w:bCs/>
          <w:szCs w:val="24"/>
        </w:rPr>
      </w:pPr>
      <w:r w:rsidRPr="00C24C68">
        <w:rPr>
          <w:rFonts w:ascii="Times New Roman" w:hAnsi="Times New Roman"/>
          <w:bCs/>
          <w:szCs w:val="24"/>
        </w:rPr>
        <w:t>These studies collectively underscore the importance of focusing on end-of-period consumer prices and inflation rates. They not only affect the micro-level decisions of consumers and investors but also have far-reaching implications on the macroeconomic landscape and global financial markets. Therefore, understanding inflation's nuances becomes indispensable for financial analysis and strategic planning, making it a vital indicator for gauging the health and direction of economies and their investment potentials.</w:t>
      </w:r>
    </w:p>
    <w:p w14:paraId="22964F71" w14:textId="77777777" w:rsidR="00C24C68" w:rsidRPr="00C24C68" w:rsidRDefault="00C24C68" w:rsidP="00C24C68">
      <w:pPr>
        <w:adjustRightInd w:val="0"/>
        <w:snapToGrid w:val="0"/>
        <w:spacing w:line="360" w:lineRule="auto"/>
        <w:jc w:val="both"/>
        <w:rPr>
          <w:rFonts w:ascii="Times New Roman" w:hAnsi="Times New Roman"/>
          <w:bCs/>
          <w:szCs w:val="24"/>
        </w:rPr>
      </w:pPr>
    </w:p>
    <w:p w14:paraId="76F1AF17" w14:textId="6F579951" w:rsidR="00AD5725" w:rsidRPr="004D3F2B" w:rsidRDefault="00AD5725" w:rsidP="00C24C68">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rationale behind choosing the United States and the United Kingdom as subjects of this study stems from their status as advanced economies with significant sway over global financial markets. Their economic policies, particularly in relation to monetary policy and inflation management, often set benchmarks for other nations and influence global economic trends. On the other hand, China and Malaysia represent the emerging market category, chosen for their dynamic economic growth, increasing contribution to global trade, and the unique investment opportunities they offer within their rapidly changing economic environments. This contrast between the mature stability of advanced economies and the vibrant growth potential of emerging markets provides a broad spectrum for analyzing inflation's impact on diverse economic contexts.</w:t>
      </w:r>
    </w:p>
    <w:p w14:paraId="6991FE5F" w14:textId="67FD7067" w:rsidR="00A664EE" w:rsidRPr="004D3F2B" w:rsidRDefault="00A664EE" w:rsidP="00E0488D">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2.</w:t>
      </w:r>
      <w:r w:rsidR="000A37B4" w:rsidRPr="004D3F2B">
        <w:rPr>
          <w:rFonts w:ascii="Times New Roman" w:hAnsi="Times New Roman"/>
          <w:b/>
          <w:bCs/>
          <w:szCs w:val="24"/>
        </w:rPr>
        <w:t>1</w:t>
      </w:r>
      <w:r w:rsidRPr="004D3F2B">
        <w:rPr>
          <w:rFonts w:ascii="Times New Roman" w:hAnsi="Times New Roman"/>
          <w:b/>
          <w:bCs/>
          <w:szCs w:val="24"/>
        </w:rPr>
        <w:t xml:space="preserve"> Date definition and sources</w:t>
      </w:r>
    </w:p>
    <w:p w14:paraId="54F2BE27" w14:textId="2421F9D6" w:rsidR="00E81C4C" w:rsidRDefault="009E190D" w:rsidP="00E0488D">
      <w:pPr>
        <w:adjustRightInd w:val="0"/>
        <w:snapToGrid w:val="0"/>
        <w:spacing w:line="360" w:lineRule="auto"/>
        <w:jc w:val="both"/>
        <w:rPr>
          <w:rFonts w:ascii="Times New Roman" w:hAnsi="Times New Roman"/>
          <w:color w:val="FF0000"/>
          <w:szCs w:val="24"/>
        </w:rPr>
      </w:pPr>
      <w:r w:rsidRPr="002A1F0F">
        <w:rPr>
          <w:rFonts w:ascii="Times New Roman" w:hAnsi="Times New Roman"/>
          <w:szCs w:val="24"/>
        </w:rPr>
        <w:t xml:space="preserve">The Consumer Price Index (CPI) as defined by the International Monetary Fund (IMF) is a measure that examines the weighted average of prices of a basket of consumer goods and services, such as transportation, food, and medical care. It is calculated by taking price changes for each item in the predetermined basket of goods and averaging them. Changes in the CPI are used to assess price changes associated with the cost of living. </w:t>
      </w:r>
      <w:r w:rsidRPr="002A1F0F">
        <w:rPr>
          <w:rFonts w:ascii="Times New Roman" w:hAnsi="Times New Roman"/>
          <w:color w:val="2C3E50"/>
          <w:sz w:val="23"/>
          <w:szCs w:val="23"/>
          <w:shd w:val="clear" w:color="auto" w:fill="FFFFFF"/>
        </w:rPr>
        <w:t>(IMF, 2014)</w:t>
      </w:r>
    </w:p>
    <w:p w14:paraId="31780736" w14:textId="77777777" w:rsidR="002A1F0F" w:rsidRDefault="002A1F0F" w:rsidP="00E0488D">
      <w:pPr>
        <w:adjustRightInd w:val="0"/>
        <w:snapToGrid w:val="0"/>
        <w:spacing w:line="360" w:lineRule="auto"/>
        <w:jc w:val="both"/>
        <w:rPr>
          <w:rFonts w:ascii="Times New Roman" w:hAnsi="Times New Roman"/>
          <w:bCs/>
          <w:szCs w:val="24"/>
        </w:rPr>
      </w:pPr>
    </w:p>
    <w:p w14:paraId="7FF5E559" w14:textId="43446233" w:rsidR="00AD5725" w:rsidRPr="004D3F2B" w:rsidRDefault="00AD5725" w:rsidP="00E0488D">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inflation rate, specifically focusing on end-of-period consumer prices, denotes the annual percentage change in the cost to the average consumer of acquiring a basket of goods and services at the year's end. This study covers a comprehensive timeline of 21 years, from 2002 to 2022, encapsulating various global economic conditions, including growth phases, recessions, and periods of economic recovery and adjustment. This extensive period allows for a nuanced analysis of inflation trends, offering insights into how different economies have navigated inflationary pressures over time.</w:t>
      </w:r>
    </w:p>
    <w:p w14:paraId="176C87FD" w14:textId="77777777" w:rsidR="00AD5725" w:rsidRPr="004D3F2B" w:rsidRDefault="00AD5725" w:rsidP="00E0488D">
      <w:pPr>
        <w:adjustRightInd w:val="0"/>
        <w:snapToGrid w:val="0"/>
        <w:spacing w:line="360" w:lineRule="auto"/>
        <w:jc w:val="both"/>
        <w:rPr>
          <w:rFonts w:ascii="Times New Roman" w:hAnsi="Times New Roman"/>
          <w:bCs/>
          <w:szCs w:val="24"/>
        </w:rPr>
      </w:pPr>
    </w:p>
    <w:p w14:paraId="39A9A3BE" w14:textId="77777777" w:rsidR="00AD5725" w:rsidRPr="004D3F2B" w:rsidRDefault="00AD5725" w:rsidP="00E0488D">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significance of the end-of-period consumer price inflation rate extends beyond its representation of yearly economic closing conditions; it serves as a critical barometer for the economic environment investors face at the culmination of each year. This measure is of paramount importance to investors as it directly influences key investment decisions, affecting the valuation of portfolios and the strategic direction of financial planning. Inflation rates are closely tied to interest rates, currency valuations, and market sentiments, which are central to identifying profitable investment avenues. High inflation rates can significantly diminish the real returns on investments, making the economic climate less favorable for investors. Conversely, environments characterized by low or stable inflation are generally perceived as conducive to sustained economic growth and attractive investment opportunities.</w:t>
      </w:r>
    </w:p>
    <w:p w14:paraId="3B766D1D" w14:textId="77777777" w:rsidR="004E09D0" w:rsidRPr="004D3F2B" w:rsidRDefault="004E09D0" w:rsidP="004E09D0">
      <w:pPr>
        <w:adjustRightInd w:val="0"/>
        <w:snapToGrid w:val="0"/>
        <w:spacing w:line="360" w:lineRule="auto"/>
        <w:jc w:val="both"/>
        <w:rPr>
          <w:rFonts w:ascii="Times New Roman" w:hAnsi="Times New Roman"/>
          <w:bCs/>
          <w:szCs w:val="24"/>
        </w:rPr>
      </w:pPr>
    </w:p>
    <w:p w14:paraId="37E17106" w14:textId="1F91BA5C" w:rsidR="00E6133C" w:rsidRPr="004D3F2B" w:rsidRDefault="00AD5725" w:rsidP="004E09D0">
      <w:pPr>
        <w:adjustRightInd w:val="0"/>
        <w:snapToGrid w:val="0"/>
        <w:spacing w:line="360" w:lineRule="auto"/>
        <w:jc w:val="both"/>
        <w:rPr>
          <w:rFonts w:ascii="Times New Roman" w:hAnsi="Times New Roman"/>
          <w:bCs/>
          <w:color w:val="0000CC"/>
          <w:szCs w:val="24"/>
        </w:rPr>
      </w:pPr>
      <w:r w:rsidRPr="004D3F2B">
        <w:rPr>
          <w:rFonts w:ascii="Times New Roman" w:hAnsi="Times New Roman"/>
          <w:bCs/>
          <w:szCs w:val="24"/>
        </w:rPr>
        <w:t xml:space="preserve">For the purposes of this study, the dataset was sourced from the International Monetary Fund (IMF) website, renowned for its comprehensive and authoritative economic data. The IMF offers standardized and comparable inflation metrics across a wide array of countries, ensuring the reliability and consistency necessary for an analysis of this scope. The choice of the IMF as the data source underscores the study's commitment to utilizing high-quality, verifiable information to underpin the examination of inflation trends across the selected economies. By drawing on data from such a reputable institution, the research ensures a solid foundation for the subsequent analysis and discussions, aiming to provide insightful conclusions that can inform and guide investment strategies in the context of global inflation dynamics. </w:t>
      </w:r>
    </w:p>
    <w:p w14:paraId="7C1C7122" w14:textId="26924FFA" w:rsidR="00E6133C" w:rsidRPr="004D3F2B" w:rsidRDefault="00E6133C" w:rsidP="00E6133C">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2.</w:t>
      </w:r>
      <w:r w:rsidR="000A37B4" w:rsidRPr="004D3F2B">
        <w:rPr>
          <w:rFonts w:ascii="Times New Roman" w:hAnsi="Times New Roman"/>
          <w:b/>
          <w:bCs/>
          <w:szCs w:val="24"/>
        </w:rPr>
        <w:t>2</w:t>
      </w:r>
      <w:r w:rsidRPr="004D3F2B">
        <w:rPr>
          <w:rFonts w:ascii="Times New Roman" w:hAnsi="Times New Roman"/>
          <w:b/>
          <w:bCs/>
          <w:szCs w:val="24"/>
        </w:rPr>
        <w:t xml:space="preserve"> </w:t>
      </w:r>
      <w:bookmarkStart w:id="2" w:name="_Hlk155988336"/>
      <w:r w:rsidRPr="004D3F2B">
        <w:rPr>
          <w:rFonts w:ascii="Times New Roman" w:hAnsi="Times New Roman"/>
          <w:b/>
          <w:bCs/>
          <w:szCs w:val="24"/>
        </w:rPr>
        <w:t xml:space="preserve">Current performance of </w:t>
      </w:r>
      <w:r w:rsidR="00271CEE">
        <w:rPr>
          <w:rFonts w:ascii="Times New Roman" w:hAnsi="Times New Roman"/>
          <w:b/>
          <w:bCs/>
          <w:szCs w:val="24"/>
        </w:rPr>
        <w:t xml:space="preserve">consumer </w:t>
      </w:r>
      <w:r w:rsidR="00271CEE">
        <w:rPr>
          <w:rFonts w:ascii="Times New Roman" w:hAnsi="Times New Roman"/>
          <w:b/>
          <w:szCs w:val="24"/>
        </w:rPr>
        <w:t>i</w:t>
      </w:r>
      <w:r w:rsidR="004E09D0" w:rsidRPr="004D3F2B">
        <w:rPr>
          <w:rFonts w:ascii="Times New Roman" w:hAnsi="Times New Roman"/>
          <w:b/>
          <w:szCs w:val="24"/>
        </w:rPr>
        <w:t xml:space="preserve">nflation </w:t>
      </w:r>
      <w:r w:rsidRPr="004D3F2B">
        <w:rPr>
          <w:rFonts w:ascii="Times New Roman" w:hAnsi="Times New Roman"/>
          <w:b/>
          <w:bCs/>
          <w:szCs w:val="24"/>
        </w:rPr>
        <w:t>in the selected countries</w:t>
      </w:r>
      <w:bookmarkEnd w:id="2"/>
    </w:p>
    <w:p w14:paraId="6FFE6AC0" w14:textId="77777777" w:rsidR="004E09D0" w:rsidRPr="004D3F2B" w:rsidRDefault="004E09D0" w:rsidP="00E6133C">
      <w:pPr>
        <w:adjustRightInd w:val="0"/>
        <w:snapToGrid w:val="0"/>
        <w:spacing w:line="360" w:lineRule="auto"/>
        <w:jc w:val="both"/>
        <w:rPr>
          <w:rFonts w:ascii="Times New Roman" w:hAnsi="Times New Roman"/>
          <w:color w:val="000000" w:themeColor="text1"/>
          <w:szCs w:val="24"/>
        </w:rPr>
      </w:pPr>
    </w:p>
    <w:p w14:paraId="682AA4AE" w14:textId="49F6A5C5" w:rsidR="00BF76BF" w:rsidRPr="006C4407" w:rsidRDefault="004E09D0" w:rsidP="00BF76BF">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2.2.1 </w:t>
      </w:r>
      <w:r w:rsidR="00BF76BF" w:rsidRPr="009B094E">
        <w:rPr>
          <w:rFonts w:ascii="Times New Roman" w:hAnsi="Times New Roman"/>
          <w:b/>
          <w:color w:val="000000" w:themeColor="text1"/>
          <w:szCs w:val="24"/>
        </w:rPr>
        <w:t>Hong Kong</w:t>
      </w:r>
    </w:p>
    <w:p w14:paraId="06AE0B94" w14:textId="6266DF4F" w:rsidR="00BF76BF" w:rsidRPr="004D3F2B" w:rsidRDefault="00AD5725"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 xml:space="preserve">In December 2023, inflation data for Hong Kong indicated that the overall consumer prices rose by 2.4% year-over-year, which was a slight decrease from the 2.6% increase reported in November 2023. This suggests that the rate of price increases in Hong Kong has slowed down, primarily due to falling prices of fresh vegetables and a larger reduction in electricity tariffs. Excluding the impact of one-off government relief measures, the core inflation rate stood at 1.4%, lower than the 1.6% recorded in the previous month. Overall, the price increase trend in Hong Kong has been relatively mild, reflecting that the price pressures in the market have been alleviated to some extent. </w:t>
      </w:r>
      <w:r w:rsidR="00BF76BF" w:rsidRPr="004D3F2B">
        <w:rPr>
          <w:rFonts w:ascii="Times New Roman" w:hAnsi="Times New Roman"/>
          <w:color w:val="000000" w:themeColor="text1"/>
          <w:szCs w:val="24"/>
        </w:rPr>
        <w:t>reflecting that the price pressures in the market have been alleviated to some extent.</w:t>
      </w:r>
      <w:r w:rsidRPr="004D3F2B">
        <w:rPr>
          <w:rFonts w:ascii="Times New Roman" w:hAnsi="Times New Roman"/>
          <w:color w:val="000000" w:themeColor="text1"/>
          <w:szCs w:val="24"/>
        </w:rPr>
        <w:t xml:space="preserve"> (</w:t>
      </w:r>
      <w:r w:rsidRPr="004D3F2B">
        <w:rPr>
          <w:rFonts w:ascii="Times New Roman" w:hAnsi="Times New Roman"/>
          <w:color w:val="000000" w:themeColor="text1"/>
          <w:szCs w:val="24"/>
          <w:shd w:val="clear" w:color="auto" w:fill="FFFFFF"/>
        </w:rPr>
        <w:t xml:space="preserve">www.info.gov.hk, n.d.) </w:t>
      </w:r>
    </w:p>
    <w:p w14:paraId="2C727FB4" w14:textId="77777777" w:rsidR="002E7DA0" w:rsidRPr="004D3F2B" w:rsidRDefault="002E7DA0" w:rsidP="00BF76BF">
      <w:pPr>
        <w:adjustRightInd w:val="0"/>
        <w:snapToGrid w:val="0"/>
        <w:spacing w:line="360" w:lineRule="auto"/>
        <w:jc w:val="both"/>
        <w:rPr>
          <w:rFonts w:ascii="Times New Roman" w:hAnsi="Times New Roman"/>
          <w:color w:val="000000" w:themeColor="text1"/>
          <w:szCs w:val="24"/>
          <w:shd w:val="clear" w:color="auto" w:fill="FFFFFF"/>
        </w:rPr>
      </w:pPr>
    </w:p>
    <w:p w14:paraId="4BEE4664" w14:textId="03CE2897" w:rsidR="00AD5725" w:rsidRPr="006C4407" w:rsidRDefault="004E09D0" w:rsidP="00BF76BF">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2.2.2 </w:t>
      </w:r>
      <w:r w:rsidR="00AD5725" w:rsidRPr="009B094E">
        <w:rPr>
          <w:rFonts w:ascii="Times New Roman" w:hAnsi="Times New Roman"/>
          <w:b/>
          <w:color w:val="000000" w:themeColor="text1"/>
          <w:szCs w:val="24"/>
        </w:rPr>
        <w:t>Unit</w:t>
      </w:r>
      <w:r w:rsidR="00481C22" w:rsidRPr="009B094E">
        <w:rPr>
          <w:rFonts w:ascii="Times New Roman" w:hAnsi="Times New Roman"/>
          <w:b/>
          <w:color w:val="000000" w:themeColor="text1"/>
          <w:szCs w:val="24"/>
        </w:rPr>
        <w:t>ed States</w:t>
      </w:r>
    </w:p>
    <w:p w14:paraId="34A0F454" w14:textId="2F1C0E8C" w:rsidR="00AD5725" w:rsidRPr="004D3F2B" w:rsidRDefault="00AD5725"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In December 2023, the United States reported an annual inflation rate of 3.1%, indicating a slight downward trend compared to previous months. This figure reflects a gradual easing of inflationary pressures amidst a series of monetary policies and economic activities. Nevertheless, the inflation rate remains above the long-term target set by the Federal Reserve, suggesting that further policy adjustments may be necessary in the future to stabilize price levels. Moreover, fluctuations in specific areas such as energy and food prices could still impact the overall inflation rate and warrant continuous monitoring.</w:t>
      </w:r>
      <w:r w:rsidR="00481C22" w:rsidRPr="004D3F2B">
        <w:rPr>
          <w:rFonts w:ascii="Times New Roman" w:hAnsi="Times New Roman"/>
          <w:color w:val="000000" w:themeColor="text1"/>
          <w:szCs w:val="24"/>
        </w:rPr>
        <w:t xml:space="preserve"> </w:t>
      </w:r>
      <w:r w:rsidR="00481C22" w:rsidRPr="004D3F2B">
        <w:rPr>
          <w:rFonts w:ascii="Times New Roman" w:hAnsi="Times New Roman"/>
          <w:color w:val="000000" w:themeColor="text1"/>
          <w:szCs w:val="24"/>
          <w:shd w:val="clear" w:color="auto" w:fill="FFFFFF"/>
        </w:rPr>
        <w:t xml:space="preserve">(U.S. Bureau of Labor Statistics, 2023) </w:t>
      </w:r>
    </w:p>
    <w:p w14:paraId="666C48A2" w14:textId="77777777" w:rsidR="00481C22" w:rsidRPr="004D3F2B" w:rsidRDefault="00481C22" w:rsidP="00BF76BF">
      <w:pPr>
        <w:adjustRightInd w:val="0"/>
        <w:snapToGrid w:val="0"/>
        <w:spacing w:line="360" w:lineRule="auto"/>
        <w:jc w:val="both"/>
        <w:rPr>
          <w:rFonts w:ascii="Times New Roman" w:hAnsi="Times New Roman"/>
          <w:color w:val="000000" w:themeColor="text1"/>
          <w:szCs w:val="24"/>
          <w:shd w:val="clear" w:color="auto" w:fill="FFFFFF"/>
        </w:rPr>
      </w:pPr>
    </w:p>
    <w:p w14:paraId="2E472ED8" w14:textId="2AE083CE" w:rsidR="00481C22" w:rsidRPr="006C4407" w:rsidRDefault="004E09D0" w:rsidP="00BF76BF">
      <w:pPr>
        <w:adjustRightInd w:val="0"/>
        <w:snapToGrid w:val="0"/>
        <w:spacing w:line="360" w:lineRule="auto"/>
        <w:jc w:val="both"/>
        <w:rPr>
          <w:rFonts w:ascii="Times New Roman" w:hAnsi="Times New Roman"/>
          <w:b/>
          <w:color w:val="000000" w:themeColor="text1"/>
          <w:szCs w:val="24"/>
          <w:shd w:val="clear" w:color="auto" w:fill="FFFFFF"/>
        </w:rPr>
      </w:pPr>
      <w:r w:rsidRPr="009B094E">
        <w:rPr>
          <w:rFonts w:ascii="Times New Roman" w:hAnsi="Times New Roman"/>
          <w:b/>
          <w:color w:val="000000" w:themeColor="text1"/>
          <w:szCs w:val="24"/>
          <w:shd w:val="clear" w:color="auto" w:fill="FFFFFF"/>
        </w:rPr>
        <w:t xml:space="preserve">2.2.3 </w:t>
      </w:r>
      <w:r w:rsidR="00481C22" w:rsidRPr="009B094E">
        <w:rPr>
          <w:rFonts w:ascii="Times New Roman" w:hAnsi="Times New Roman"/>
          <w:b/>
          <w:color w:val="000000" w:themeColor="text1"/>
          <w:szCs w:val="24"/>
          <w:shd w:val="clear" w:color="auto" w:fill="FFFFFF"/>
        </w:rPr>
        <w:t>United Kingdom</w:t>
      </w:r>
    </w:p>
    <w:p w14:paraId="57A0DBF3" w14:textId="41CFD22C" w:rsidR="00E52BA9" w:rsidRDefault="00481C22" w:rsidP="00BF76BF">
      <w:pPr>
        <w:adjustRightInd w:val="0"/>
        <w:snapToGrid w:val="0"/>
        <w:spacing w:line="360" w:lineRule="auto"/>
        <w:jc w:val="both"/>
        <w:rPr>
          <w:rFonts w:ascii="Times New Roman" w:hAnsi="Times New Roman"/>
          <w:color w:val="000000" w:themeColor="text1"/>
          <w:szCs w:val="24"/>
          <w:shd w:val="clear" w:color="auto" w:fill="FFFFFF"/>
        </w:rPr>
      </w:pPr>
      <w:r w:rsidRPr="004D3F2B">
        <w:rPr>
          <w:rFonts w:ascii="Times New Roman" w:hAnsi="Times New Roman"/>
          <w:color w:val="000000" w:themeColor="text1"/>
          <w:szCs w:val="24"/>
        </w:rPr>
        <w:t>The inflation rate in the United Kingdom remained at 4.2% in December 2023, unchanged from the previous month. This indicates that despite the challenges of high inflation rates in the preceding year, the growth in the UK's price levels has begun to stabilize. The UK government and the Bank of England are likely to continue implementing measures to control inflation and maintain economic stability. However, uncertainties in the global economic environment, as well as changes in domestic and international policies, may still impact future inflation trends.</w:t>
      </w:r>
      <w:r w:rsidR="00E52BA9" w:rsidRPr="004D3F2B">
        <w:rPr>
          <w:rFonts w:ascii="Times New Roman" w:hAnsi="Times New Roman"/>
          <w:color w:val="000000" w:themeColor="text1"/>
          <w:szCs w:val="24"/>
        </w:rPr>
        <w:t xml:space="preserve"> </w:t>
      </w:r>
      <w:r w:rsidR="00E52BA9" w:rsidRPr="004D3F2B">
        <w:rPr>
          <w:rFonts w:ascii="Times New Roman" w:hAnsi="Times New Roman"/>
          <w:color w:val="000000" w:themeColor="text1"/>
          <w:szCs w:val="24"/>
          <w:shd w:val="clear" w:color="auto" w:fill="FFFFFF"/>
        </w:rPr>
        <w:t xml:space="preserve">(Payne, 2022) </w:t>
      </w:r>
    </w:p>
    <w:p w14:paraId="36425BB8" w14:textId="77777777" w:rsidR="002A1F0F" w:rsidRPr="004D3F2B" w:rsidRDefault="002A1F0F" w:rsidP="00BF76BF">
      <w:pPr>
        <w:adjustRightInd w:val="0"/>
        <w:snapToGrid w:val="0"/>
        <w:spacing w:line="360" w:lineRule="auto"/>
        <w:jc w:val="both"/>
        <w:rPr>
          <w:rFonts w:ascii="Times New Roman" w:hAnsi="Times New Roman"/>
          <w:color w:val="000000" w:themeColor="text1"/>
          <w:szCs w:val="24"/>
          <w:shd w:val="clear" w:color="auto" w:fill="FFFFFF"/>
        </w:rPr>
      </w:pPr>
    </w:p>
    <w:p w14:paraId="09742705" w14:textId="6AF47B75" w:rsidR="00E52BA9" w:rsidRPr="009B094E" w:rsidRDefault="004E09D0" w:rsidP="00BF76BF">
      <w:pPr>
        <w:adjustRightInd w:val="0"/>
        <w:snapToGrid w:val="0"/>
        <w:spacing w:line="360" w:lineRule="auto"/>
        <w:jc w:val="both"/>
        <w:rPr>
          <w:rFonts w:ascii="Times New Roman" w:hAnsi="Times New Roman"/>
          <w:b/>
          <w:color w:val="000000" w:themeColor="text1"/>
          <w:szCs w:val="24"/>
          <w:shd w:val="clear" w:color="auto" w:fill="FFFFFF"/>
        </w:rPr>
      </w:pPr>
      <w:r w:rsidRPr="009B094E">
        <w:rPr>
          <w:rFonts w:ascii="Times New Roman" w:hAnsi="Times New Roman"/>
          <w:b/>
          <w:color w:val="000000" w:themeColor="text1"/>
          <w:szCs w:val="24"/>
          <w:shd w:val="clear" w:color="auto" w:fill="FFFFFF"/>
        </w:rPr>
        <w:t xml:space="preserve">2.2.4 </w:t>
      </w:r>
      <w:r w:rsidR="00E52BA9" w:rsidRPr="009B094E">
        <w:rPr>
          <w:rFonts w:ascii="Times New Roman" w:hAnsi="Times New Roman"/>
          <w:b/>
          <w:color w:val="000000" w:themeColor="text1"/>
          <w:szCs w:val="24"/>
          <w:shd w:val="clear" w:color="auto" w:fill="FFFFFF"/>
        </w:rPr>
        <w:t>China</w:t>
      </w:r>
    </w:p>
    <w:p w14:paraId="3ED94547" w14:textId="46F982AE" w:rsidR="00E52BA9" w:rsidRPr="004D3F2B" w:rsidRDefault="00E52BA9" w:rsidP="00BF76BF">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December 2023, China faced deflationary pressures, with the Consumer Price Index (CPI) falling by 0.8% year-over-year, marking the largest decline since 2009. This data reflects that there may be a weakening in demand within the Chinese economy, particularly in the area of food prices. The government may need to implement measures to stimulate economic growth and consumption to </w:t>
      </w:r>
      <w:r w:rsidRPr="004D3F2B">
        <w:rPr>
          <w:rFonts w:ascii="Times New Roman" w:hAnsi="Times New Roman"/>
          <w:color w:val="000000" w:themeColor="text1"/>
          <w:szCs w:val="24"/>
        </w:rPr>
        <w:lastRenderedPageBreak/>
        <w:t>prevent a further deepening of deflationary trends.</w:t>
      </w:r>
      <w:r w:rsidR="00DB6E0E" w:rsidRPr="004D3F2B">
        <w:rPr>
          <w:rFonts w:ascii="Times New Roman" w:hAnsi="Times New Roman"/>
          <w:color w:val="000000" w:themeColor="text1"/>
          <w:szCs w:val="24"/>
        </w:rPr>
        <w:t xml:space="preserve"> (Reuters Staff, 2024) </w:t>
      </w:r>
    </w:p>
    <w:p w14:paraId="022E5FA1"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1914DD6C" w14:textId="1BC1E55E" w:rsidR="00DB6E0E" w:rsidRPr="009B094E" w:rsidRDefault="004E09D0" w:rsidP="00DB6E0E">
      <w:pPr>
        <w:adjustRightInd w:val="0"/>
        <w:snapToGrid w:val="0"/>
        <w:spacing w:line="360" w:lineRule="auto"/>
        <w:jc w:val="both"/>
        <w:rPr>
          <w:rFonts w:ascii="Times New Roman" w:hAnsi="Times New Roman"/>
          <w:b/>
          <w:color w:val="000000" w:themeColor="text1"/>
          <w:szCs w:val="24"/>
        </w:rPr>
      </w:pPr>
      <w:r w:rsidRPr="009B094E">
        <w:rPr>
          <w:rFonts w:ascii="Times New Roman" w:hAnsi="Times New Roman"/>
          <w:b/>
          <w:color w:val="000000" w:themeColor="text1"/>
          <w:szCs w:val="24"/>
        </w:rPr>
        <w:t xml:space="preserve">2.2.5 </w:t>
      </w:r>
      <w:r w:rsidR="00DB6E0E" w:rsidRPr="009B094E">
        <w:rPr>
          <w:rFonts w:ascii="Times New Roman" w:hAnsi="Times New Roman"/>
          <w:b/>
          <w:color w:val="000000" w:themeColor="text1"/>
          <w:szCs w:val="24"/>
        </w:rPr>
        <w:t>Malaysia</w:t>
      </w:r>
    </w:p>
    <w:p w14:paraId="216F6726" w14:textId="202DA451" w:rsidR="00DB6E0E" w:rsidRPr="004D3F2B" w:rsidRDefault="00DB6E0E" w:rsidP="00DB6E0E">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December 2023, the inflation rate in Malaysia was reported at 1.5% </w:t>
      </w:r>
      <w:r w:rsidRPr="004D3F2B">
        <w:rPr>
          <w:rFonts w:ascii="Times New Roman" w:hAnsi="Times New Roman"/>
          <w:color w:val="000000" w:themeColor="text1"/>
          <w:szCs w:val="24"/>
          <w:shd w:val="clear" w:color="auto" w:fill="FFFFFF"/>
        </w:rPr>
        <w:t>(The Star, n.d.)</w:t>
      </w:r>
      <w:r w:rsidRPr="004D3F2B">
        <w:rPr>
          <w:rFonts w:ascii="Times New Roman" w:hAnsi="Times New Roman"/>
          <w:color w:val="000000" w:themeColor="text1"/>
          <w:szCs w:val="24"/>
        </w:rPr>
        <w:t>. To provide a more comprehensive analysis, we can compare this figure with the data from the previous months:</w:t>
      </w:r>
    </w:p>
    <w:p w14:paraId="49D4DAB2"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5FD51930" w14:textId="0465D7C4" w:rsidR="00DB6E0E" w:rsidRPr="004D3F2B" w:rsidRDefault="00DB6E0E" w:rsidP="00DB6E0E">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 xml:space="preserve">In November 2023, the inflation rate was 1.4% and in October 2023, the inflation rate was 1.3% </w:t>
      </w:r>
      <w:r w:rsidRPr="004D3F2B">
        <w:rPr>
          <w:rFonts w:ascii="Times New Roman" w:hAnsi="Times New Roman"/>
          <w:color w:val="000000" w:themeColor="text1"/>
          <w:szCs w:val="24"/>
          <w:shd w:val="clear" w:color="auto" w:fill="FFFFFF"/>
        </w:rPr>
        <w:t>(Focus</w:t>
      </w:r>
      <w:r w:rsidR="00C72074">
        <w:rPr>
          <w:rFonts w:ascii="Times New Roman" w:hAnsi="Times New Roman"/>
          <w:color w:val="000000" w:themeColor="text1"/>
          <w:szCs w:val="24"/>
          <w:shd w:val="clear" w:color="auto" w:fill="FFFFFF"/>
        </w:rPr>
        <w:t xml:space="preserve"> </w:t>
      </w:r>
      <w:r w:rsidRPr="004D3F2B">
        <w:rPr>
          <w:rFonts w:ascii="Times New Roman" w:hAnsi="Times New Roman"/>
          <w:color w:val="000000" w:themeColor="text1"/>
          <w:szCs w:val="24"/>
          <w:shd w:val="clear" w:color="auto" w:fill="FFFFFF"/>
        </w:rPr>
        <w:t>Economics, n.d.)</w:t>
      </w:r>
      <w:r w:rsidRPr="004D3F2B">
        <w:rPr>
          <w:rFonts w:ascii="Times New Roman" w:hAnsi="Times New Roman"/>
          <w:color w:val="000000" w:themeColor="text1"/>
          <w:szCs w:val="24"/>
        </w:rPr>
        <w:t>.</w:t>
      </w:r>
      <w:r w:rsidR="00E0488D" w:rsidRPr="004D3F2B">
        <w:rPr>
          <w:rFonts w:ascii="Times New Roman" w:hAnsi="Times New Roman"/>
          <w:color w:val="000000" w:themeColor="text1"/>
          <w:szCs w:val="24"/>
        </w:rPr>
        <w:t xml:space="preserve"> </w:t>
      </w:r>
      <w:r w:rsidRPr="004D3F2B">
        <w:rPr>
          <w:rFonts w:ascii="Times New Roman" w:hAnsi="Times New Roman"/>
          <w:color w:val="000000" w:themeColor="text1"/>
          <w:szCs w:val="24"/>
        </w:rPr>
        <w:t>From these data points, we can observe a slight month-over-month increase in the inflation rate for Malaysia from October to December 2023. This gradual rise may reflect the impact of increased economic activity, a resurgence in consumer demand, or the easing of supply chain pressures, among other factors.</w:t>
      </w:r>
    </w:p>
    <w:p w14:paraId="0D3441C6" w14:textId="77777777" w:rsidR="00DB6E0E" w:rsidRPr="004D3F2B" w:rsidRDefault="00DB6E0E" w:rsidP="00DB6E0E">
      <w:pPr>
        <w:adjustRightInd w:val="0"/>
        <w:snapToGrid w:val="0"/>
        <w:spacing w:line="360" w:lineRule="auto"/>
        <w:jc w:val="both"/>
        <w:rPr>
          <w:rFonts w:ascii="Times New Roman" w:hAnsi="Times New Roman"/>
          <w:color w:val="000000" w:themeColor="text1"/>
          <w:szCs w:val="24"/>
        </w:rPr>
      </w:pPr>
    </w:p>
    <w:p w14:paraId="34888B49" w14:textId="2099F8B3" w:rsidR="00E4085C" w:rsidRDefault="00DB6E0E" w:rsidP="00E6133C">
      <w:pPr>
        <w:adjustRightInd w:val="0"/>
        <w:snapToGrid w:val="0"/>
        <w:spacing w:line="360" w:lineRule="auto"/>
        <w:jc w:val="both"/>
        <w:rPr>
          <w:rFonts w:ascii="Times New Roman" w:hAnsi="Times New Roman"/>
          <w:color w:val="000000" w:themeColor="text1"/>
          <w:szCs w:val="24"/>
        </w:rPr>
      </w:pPr>
      <w:r w:rsidRPr="004D3F2B">
        <w:rPr>
          <w:rFonts w:ascii="Times New Roman" w:hAnsi="Times New Roman"/>
          <w:color w:val="000000" w:themeColor="text1"/>
          <w:szCs w:val="24"/>
        </w:rPr>
        <w:t>Moreover, this modest upward trend could also be influenced by a combination of factors such as the global economic condition, changes in raw material costs, international trade policies, and adjustments in local monetary policy.</w:t>
      </w:r>
    </w:p>
    <w:p w14:paraId="25FF0E25" w14:textId="77777777" w:rsidR="002F6C0F" w:rsidRDefault="002F6C0F" w:rsidP="00E6133C">
      <w:pPr>
        <w:adjustRightInd w:val="0"/>
        <w:snapToGrid w:val="0"/>
        <w:spacing w:line="360" w:lineRule="auto"/>
        <w:jc w:val="both"/>
        <w:rPr>
          <w:rFonts w:ascii="Times New Roman" w:hAnsi="Times New Roman"/>
          <w:color w:val="000000" w:themeColor="text1"/>
          <w:szCs w:val="24"/>
        </w:rPr>
      </w:pPr>
    </w:p>
    <w:p w14:paraId="2A4187F1" w14:textId="3D3D3F9C"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Based on the inflation data, we can identify the following similarity and differences:</w:t>
      </w:r>
    </w:p>
    <w:p w14:paraId="5DE648EA" w14:textId="473393A8"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Similarity:</w:t>
      </w:r>
    </w:p>
    <w:p w14:paraId="0B237EE5" w14:textId="1BCC65F9"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Downward Trend in Inflation: Data from Hong Kong and the United States show a decline in inflation rates, indicating easing inflationary pressures.</w:t>
      </w:r>
    </w:p>
    <w:p w14:paraId="1C9673B0" w14:textId="77777777" w:rsidR="002F6C0F" w:rsidRPr="00770538" w:rsidRDefault="002F6C0F" w:rsidP="00E6133C">
      <w:pPr>
        <w:adjustRightInd w:val="0"/>
        <w:snapToGrid w:val="0"/>
        <w:spacing w:line="360" w:lineRule="auto"/>
        <w:jc w:val="both"/>
        <w:rPr>
          <w:rFonts w:ascii="Times New Roman" w:eastAsia="DengXian" w:hAnsi="Times New Roman"/>
        </w:rPr>
      </w:pPr>
    </w:p>
    <w:p w14:paraId="1744A4E4" w14:textId="3F766F02" w:rsidR="002F6C0F" w:rsidRPr="00770538" w:rsidRDefault="002F6C0F" w:rsidP="00E6133C">
      <w:pPr>
        <w:adjustRightInd w:val="0"/>
        <w:snapToGrid w:val="0"/>
        <w:spacing w:line="360" w:lineRule="auto"/>
        <w:jc w:val="both"/>
        <w:rPr>
          <w:rFonts w:ascii="Times New Roman" w:eastAsia="DengXian" w:hAnsi="Times New Roman"/>
        </w:rPr>
      </w:pPr>
      <w:r w:rsidRPr="00770538">
        <w:rPr>
          <w:rFonts w:ascii="Times New Roman" w:eastAsia="DengXian" w:hAnsi="Times New Roman"/>
        </w:rPr>
        <w:t>Differences:</w:t>
      </w:r>
    </w:p>
    <w:p w14:paraId="1AC2E2CC" w14:textId="0D320C38" w:rsidR="00770538" w:rsidRPr="00770538" w:rsidRDefault="00770538" w:rsidP="00770538">
      <w:pPr>
        <w:rPr>
          <w:rFonts w:ascii="Times New Roman" w:eastAsia="DengXian" w:hAnsi="Times New Roman"/>
        </w:rPr>
      </w:pPr>
      <w:r w:rsidRPr="00770538">
        <w:rPr>
          <w:rFonts w:ascii="Times New Roman" w:eastAsia="DengXian" w:hAnsi="Times New Roman"/>
        </w:rPr>
        <w:t>1. Level of Inflation Rates: There's a wide variance in inflation rates among the countries, ranging from China's -0.8% deflation to the UK's relatively high inflation rate of 4.2%.</w:t>
      </w:r>
    </w:p>
    <w:p w14:paraId="545348E3" w14:textId="77777777" w:rsidR="00770538" w:rsidRPr="00770538" w:rsidRDefault="00770538" w:rsidP="00770538">
      <w:pPr>
        <w:rPr>
          <w:rFonts w:ascii="Times New Roman" w:eastAsia="DengXian" w:hAnsi="Times New Roman"/>
        </w:rPr>
      </w:pPr>
    </w:p>
    <w:p w14:paraId="68896891" w14:textId="7084EE9E" w:rsidR="00770538" w:rsidRPr="00770538" w:rsidRDefault="00770538" w:rsidP="00770538">
      <w:pPr>
        <w:rPr>
          <w:rFonts w:ascii="Times New Roman" w:eastAsia="DengXian" w:hAnsi="Times New Roman"/>
        </w:rPr>
      </w:pPr>
      <w:r w:rsidRPr="00770538">
        <w:rPr>
          <w:rFonts w:ascii="Times New Roman" w:eastAsia="DengXian" w:hAnsi="Times New Roman"/>
        </w:rPr>
        <w:t>2. Deflation vs. Inflation: China's deflation contrasts with inflation in other countries, highlighting differences in economic environments and demand levels across nations.</w:t>
      </w:r>
    </w:p>
    <w:p w14:paraId="7A7D7011" w14:textId="77777777" w:rsidR="00770538" w:rsidRPr="00770538" w:rsidRDefault="00770538" w:rsidP="00770538">
      <w:pPr>
        <w:rPr>
          <w:rFonts w:ascii="Times New Roman" w:eastAsia="DengXian" w:hAnsi="Times New Roman"/>
        </w:rPr>
      </w:pPr>
    </w:p>
    <w:p w14:paraId="539BCAE0" w14:textId="36C32566" w:rsidR="00770538" w:rsidRPr="00770538" w:rsidRDefault="00770538" w:rsidP="00770538">
      <w:pPr>
        <w:rPr>
          <w:rFonts w:ascii="Times New Roman" w:eastAsia="DengXian" w:hAnsi="Times New Roman"/>
        </w:rPr>
      </w:pPr>
      <w:r w:rsidRPr="00770538">
        <w:rPr>
          <w:rFonts w:ascii="Times New Roman" w:eastAsia="DengXian" w:hAnsi="Times New Roman"/>
        </w:rPr>
        <w:t>Comparing advanced economies (like the US and UK) with emerging markets (like Hong Kong, China, and Malaysia), it's evident that inflation dynamics are influenced by a myriad of factors, including economic policies, market demand, supply conditions, and changes in the global economic environment. Advanced economies may have more mature policy tools to manage inflation, while emerging markets might be more susceptible to external shocks and internal market changes.</w:t>
      </w:r>
    </w:p>
    <w:p w14:paraId="57AE4068" w14:textId="769E77A5" w:rsidR="00246080" w:rsidRPr="004D3F2B" w:rsidRDefault="00E4085C" w:rsidP="009B094E">
      <w:pPr>
        <w:widowControl/>
        <w:rPr>
          <w:rFonts w:ascii="Times New Roman" w:hAnsi="Times New Roman"/>
          <w:b/>
          <w:bCs/>
          <w:szCs w:val="24"/>
        </w:rPr>
      </w:pPr>
      <w:r w:rsidRPr="004D3F2B">
        <w:rPr>
          <w:rFonts w:ascii="Times New Roman" w:hAnsi="Times New Roman"/>
          <w:b/>
          <w:bCs/>
          <w:szCs w:val="24"/>
        </w:rPr>
        <w:br w:type="page"/>
      </w:r>
      <w:r w:rsidR="00B40D11" w:rsidRPr="004D3F2B">
        <w:rPr>
          <w:rFonts w:ascii="Times New Roman" w:hAnsi="Times New Roman"/>
          <w:b/>
          <w:bCs/>
          <w:szCs w:val="24"/>
        </w:rPr>
        <w:lastRenderedPageBreak/>
        <w:t>2.</w:t>
      </w:r>
      <w:r w:rsidR="000A37B4" w:rsidRPr="004D3F2B">
        <w:rPr>
          <w:rFonts w:ascii="Times New Roman" w:hAnsi="Times New Roman"/>
          <w:b/>
          <w:bCs/>
          <w:szCs w:val="24"/>
        </w:rPr>
        <w:t>3</w:t>
      </w:r>
      <w:r w:rsidR="00B40D11" w:rsidRPr="004D3F2B">
        <w:rPr>
          <w:rFonts w:ascii="Times New Roman" w:hAnsi="Times New Roman"/>
          <w:b/>
          <w:bCs/>
          <w:szCs w:val="24"/>
        </w:rPr>
        <w:t xml:space="preserve"> </w:t>
      </w:r>
      <w:r w:rsidR="00CA798C" w:rsidRPr="004D3F2B">
        <w:rPr>
          <w:rFonts w:ascii="Times New Roman" w:hAnsi="Times New Roman"/>
          <w:b/>
          <w:bCs/>
          <w:szCs w:val="24"/>
        </w:rPr>
        <w:t>Dataset</w:t>
      </w:r>
    </w:p>
    <w:p w14:paraId="61D4893B" w14:textId="77777777" w:rsidR="00A6671F" w:rsidRPr="004D3F2B" w:rsidRDefault="00A6671F" w:rsidP="00E6133C">
      <w:pPr>
        <w:adjustRightInd w:val="0"/>
        <w:snapToGrid w:val="0"/>
        <w:spacing w:line="360" w:lineRule="auto"/>
        <w:jc w:val="both"/>
        <w:rPr>
          <w:rFonts w:ascii="Times New Roman" w:hAnsi="Times New Roman"/>
          <w:b/>
          <w:bCs/>
          <w:szCs w:val="24"/>
        </w:rPr>
      </w:pPr>
    </w:p>
    <w:p w14:paraId="43E51CA4" w14:textId="455CB936" w:rsidR="00783714" w:rsidRDefault="00783714" w:rsidP="00C65A3F">
      <w:pPr>
        <w:adjustRightInd w:val="0"/>
        <w:snapToGrid w:val="0"/>
        <w:jc w:val="both"/>
        <w:rPr>
          <w:rFonts w:ascii="Times New Roman" w:hAnsi="Times New Roman"/>
          <w:bCs/>
          <w:szCs w:val="24"/>
        </w:rPr>
      </w:pPr>
      <w:bookmarkStart w:id="3" w:name="_Hlk156035012"/>
      <w:r w:rsidRPr="004D3F2B">
        <w:rPr>
          <w:rFonts w:ascii="Times New Roman" w:hAnsi="Times New Roman"/>
          <w:bCs/>
          <w:szCs w:val="24"/>
        </w:rPr>
        <w:t>Table 1</w:t>
      </w:r>
      <w:r w:rsidR="00CF7636">
        <w:rPr>
          <w:rFonts w:ascii="Times New Roman" w:hAnsi="Times New Roman"/>
          <w:bCs/>
          <w:szCs w:val="24"/>
        </w:rPr>
        <w:t>:</w:t>
      </w:r>
      <w:r w:rsidR="002E7DA0" w:rsidRPr="004D3F2B">
        <w:rPr>
          <w:rFonts w:ascii="Times New Roman" w:hAnsi="Times New Roman"/>
          <w:bCs/>
          <w:szCs w:val="24"/>
        </w:rPr>
        <w:t xml:space="preserve"> </w:t>
      </w:r>
      <w:r w:rsidR="0012643D" w:rsidRPr="004D3F2B">
        <w:rPr>
          <w:rFonts w:ascii="Times New Roman" w:hAnsi="Times New Roman"/>
          <w:bCs/>
          <w:szCs w:val="24"/>
        </w:rPr>
        <w:t xml:space="preserve">The annual </w:t>
      </w:r>
      <w:r w:rsidR="00C72074">
        <w:rPr>
          <w:rFonts w:ascii="Times New Roman" w:hAnsi="Times New Roman"/>
          <w:bCs/>
          <w:szCs w:val="24"/>
        </w:rPr>
        <w:t xml:space="preserve">consumer </w:t>
      </w:r>
      <w:r w:rsidR="002E7DA0" w:rsidRPr="004D3F2B">
        <w:rPr>
          <w:rFonts w:ascii="Times New Roman" w:hAnsi="Times New Roman"/>
          <w:bCs/>
          <w:szCs w:val="24"/>
        </w:rPr>
        <w:t>Inflation rate</w:t>
      </w:r>
      <w:r w:rsidR="00335225" w:rsidRPr="004D3F2B">
        <w:rPr>
          <w:rFonts w:ascii="Times New Roman" w:hAnsi="Times New Roman"/>
          <w:bCs/>
          <w:szCs w:val="24"/>
        </w:rPr>
        <w:t xml:space="preserve"> </w:t>
      </w:r>
      <w:r w:rsidR="0012643D" w:rsidRPr="004D3F2B">
        <w:rPr>
          <w:rFonts w:ascii="Times New Roman" w:hAnsi="Times New Roman"/>
          <w:bCs/>
          <w:szCs w:val="24"/>
        </w:rPr>
        <w:t xml:space="preserve">in </w:t>
      </w:r>
      <w:r w:rsidR="00C72074">
        <w:rPr>
          <w:rFonts w:ascii="Times New Roman" w:hAnsi="Times New Roman"/>
          <w:bCs/>
          <w:szCs w:val="24"/>
        </w:rPr>
        <w:t>the five selected countries:</w:t>
      </w:r>
      <w:r w:rsidR="0012643D" w:rsidRPr="004D3F2B">
        <w:rPr>
          <w:rFonts w:ascii="Times New Roman" w:hAnsi="Times New Roman"/>
          <w:bCs/>
          <w:szCs w:val="24"/>
        </w:rPr>
        <w:t xml:space="preserve"> 200</w:t>
      </w:r>
      <w:r w:rsidR="002E7DA0" w:rsidRPr="004D3F2B">
        <w:rPr>
          <w:rFonts w:ascii="Times New Roman" w:hAnsi="Times New Roman"/>
          <w:bCs/>
          <w:szCs w:val="24"/>
        </w:rPr>
        <w:t>2</w:t>
      </w:r>
      <w:r w:rsidR="0012643D" w:rsidRPr="004D3F2B">
        <w:rPr>
          <w:rFonts w:ascii="Times New Roman" w:hAnsi="Times New Roman"/>
          <w:bCs/>
          <w:szCs w:val="24"/>
        </w:rPr>
        <w:t xml:space="preserve"> </w:t>
      </w:r>
      <w:r w:rsidR="00F035D2" w:rsidRPr="004D3F2B">
        <w:rPr>
          <w:rFonts w:ascii="Times New Roman" w:hAnsi="Times New Roman"/>
          <w:bCs/>
          <w:szCs w:val="24"/>
        </w:rPr>
        <w:t>to 2022</w:t>
      </w:r>
      <w:r w:rsidR="00C72074">
        <w:rPr>
          <w:rFonts w:ascii="Times New Roman" w:hAnsi="Times New Roman"/>
          <w:bCs/>
          <w:szCs w:val="24"/>
        </w:rPr>
        <w:t xml:space="preserve"> (%)</w:t>
      </w:r>
    </w:p>
    <w:bookmarkEnd w:id="3"/>
    <w:p w14:paraId="47E4EDA6" w14:textId="47AD9598" w:rsidR="00783714" w:rsidRPr="004D3F2B" w:rsidRDefault="005D6F0B" w:rsidP="00C65A3F">
      <w:pPr>
        <w:adjustRightInd w:val="0"/>
        <w:snapToGrid w:val="0"/>
        <w:jc w:val="both"/>
        <w:rPr>
          <w:rFonts w:ascii="Times New Roman" w:hAnsi="Times New Roman"/>
          <w:bCs/>
          <w:color w:val="0000CC"/>
          <w:szCs w:val="24"/>
        </w:rPr>
      </w:pPr>
      <w:r>
        <w:rPr>
          <w:rFonts w:ascii="Times New Roman" w:hAnsi="Times New Roman"/>
          <w:bCs/>
          <w:noProof/>
          <w:color w:val="0000CC"/>
          <w:szCs w:val="24"/>
        </w:rPr>
        <w:drawing>
          <wp:inline distT="0" distB="0" distL="0" distR="0" wp14:anchorId="5F12DF2D" wp14:editId="22E1B370">
            <wp:extent cx="6118860" cy="5448300"/>
            <wp:effectExtent l="0" t="0" r="0" b="0"/>
            <wp:docPr id="822367451"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8860" cy="5448300"/>
                    </a:xfrm>
                    <a:prstGeom prst="rect">
                      <a:avLst/>
                    </a:prstGeom>
                    <a:noFill/>
                    <a:ln>
                      <a:noFill/>
                    </a:ln>
                  </pic:spPr>
                </pic:pic>
              </a:graphicData>
            </a:graphic>
          </wp:inline>
        </w:drawing>
      </w:r>
    </w:p>
    <w:p w14:paraId="4CD1644F" w14:textId="77777777" w:rsidR="00D712F4" w:rsidRPr="004D3F2B" w:rsidRDefault="00D712F4" w:rsidP="00B953FD">
      <w:pPr>
        <w:adjustRightInd w:val="0"/>
        <w:snapToGrid w:val="0"/>
        <w:jc w:val="both"/>
        <w:rPr>
          <w:rFonts w:ascii="Times New Roman" w:hAnsi="Times New Roman"/>
          <w:bCs/>
          <w:color w:val="0000CC"/>
          <w:szCs w:val="24"/>
        </w:rPr>
      </w:pPr>
    </w:p>
    <w:p w14:paraId="7EE23393" w14:textId="4163BCC4" w:rsidR="00745834" w:rsidRPr="004D3F2B" w:rsidRDefault="00745834">
      <w:pPr>
        <w:widowControl/>
        <w:rPr>
          <w:rFonts w:ascii="Times New Roman" w:hAnsi="Times New Roman"/>
          <w:bCs/>
          <w:color w:val="0000CC"/>
          <w:szCs w:val="24"/>
        </w:rPr>
      </w:pPr>
      <w:r w:rsidRPr="004D3F2B">
        <w:rPr>
          <w:rFonts w:ascii="Times New Roman" w:hAnsi="Times New Roman"/>
          <w:bCs/>
          <w:color w:val="0000CC"/>
          <w:szCs w:val="24"/>
        </w:rPr>
        <w:br w:type="page"/>
      </w:r>
    </w:p>
    <w:p w14:paraId="2A4D7A8E" w14:textId="570B8DB5" w:rsidR="003B4B52" w:rsidRPr="004D3F2B" w:rsidRDefault="002B60E5" w:rsidP="00B953FD">
      <w:pPr>
        <w:adjustRightInd w:val="0"/>
        <w:snapToGrid w:val="0"/>
        <w:jc w:val="both"/>
        <w:rPr>
          <w:rFonts w:ascii="Times New Roman" w:hAnsi="Times New Roman"/>
          <w:b/>
          <w:bCs/>
          <w:szCs w:val="24"/>
        </w:rPr>
      </w:pPr>
      <w:r w:rsidRPr="004D3F2B">
        <w:rPr>
          <w:rFonts w:ascii="Times New Roman" w:hAnsi="Times New Roman"/>
          <w:b/>
          <w:bCs/>
          <w:szCs w:val="24"/>
        </w:rPr>
        <w:lastRenderedPageBreak/>
        <w:t>3 Analysis and Discussion</w:t>
      </w:r>
    </w:p>
    <w:p w14:paraId="71483A62" w14:textId="4F9307B8" w:rsidR="002B60E5" w:rsidRPr="004D3F2B" w:rsidRDefault="002B60E5" w:rsidP="00B953FD">
      <w:pPr>
        <w:adjustRightInd w:val="0"/>
        <w:snapToGrid w:val="0"/>
        <w:jc w:val="both"/>
        <w:rPr>
          <w:rFonts w:ascii="Times New Roman" w:hAnsi="Times New Roman"/>
          <w:b/>
          <w:bCs/>
          <w:szCs w:val="24"/>
        </w:rPr>
      </w:pPr>
    </w:p>
    <w:p w14:paraId="569C0911" w14:textId="7BA51A06" w:rsidR="002B60E5" w:rsidRPr="004D3F2B" w:rsidRDefault="009F791F" w:rsidP="00B50065">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This </w:t>
      </w:r>
      <w:r w:rsidR="00B50065" w:rsidRPr="004D3F2B">
        <w:rPr>
          <w:rFonts w:ascii="Times New Roman" w:hAnsi="Times New Roman"/>
          <w:bCs/>
          <w:szCs w:val="24"/>
        </w:rPr>
        <w:t>section</w:t>
      </w:r>
      <w:r>
        <w:rPr>
          <w:rFonts w:ascii="Times New Roman" w:hAnsi="Times New Roman"/>
          <w:bCs/>
          <w:szCs w:val="24"/>
        </w:rPr>
        <w:t xml:space="preserve"> is used to present the</w:t>
      </w:r>
      <w:r w:rsidR="00B50065" w:rsidRPr="004D3F2B">
        <w:rPr>
          <w:rFonts w:ascii="Times New Roman" w:hAnsi="Times New Roman"/>
          <w:bCs/>
          <w:szCs w:val="24"/>
        </w:rPr>
        <w:t xml:space="preserve"> analy</w:t>
      </w:r>
      <w:r>
        <w:rPr>
          <w:rFonts w:ascii="Times New Roman" w:hAnsi="Times New Roman"/>
          <w:bCs/>
          <w:szCs w:val="24"/>
        </w:rPr>
        <w:t>sis</w:t>
      </w:r>
      <w:r w:rsidR="00B50065" w:rsidRPr="004D3F2B">
        <w:rPr>
          <w:rFonts w:ascii="Times New Roman" w:hAnsi="Times New Roman"/>
          <w:bCs/>
          <w:szCs w:val="24"/>
        </w:rPr>
        <w:t xml:space="preserve"> </w:t>
      </w:r>
      <w:r w:rsidR="008A7573">
        <w:rPr>
          <w:rFonts w:ascii="Times New Roman" w:hAnsi="Times New Roman"/>
          <w:bCs/>
          <w:szCs w:val="24"/>
        </w:rPr>
        <w:t xml:space="preserve">of </w:t>
      </w:r>
      <w:r w:rsidR="00B50065" w:rsidRPr="004D3F2B">
        <w:rPr>
          <w:rFonts w:ascii="Times New Roman" w:hAnsi="Times New Roman"/>
          <w:bCs/>
          <w:szCs w:val="24"/>
        </w:rPr>
        <w:t xml:space="preserve">the data </w:t>
      </w:r>
      <w:r>
        <w:rPr>
          <w:rFonts w:ascii="Times New Roman" w:hAnsi="Times New Roman"/>
          <w:bCs/>
          <w:szCs w:val="24"/>
        </w:rPr>
        <w:t xml:space="preserve">collected in order to get empirical evidence to </w:t>
      </w:r>
      <w:r w:rsidR="006D093C">
        <w:rPr>
          <w:rFonts w:ascii="Times New Roman" w:hAnsi="Times New Roman"/>
          <w:bCs/>
          <w:szCs w:val="24"/>
        </w:rPr>
        <w:t>formulate s</w:t>
      </w:r>
      <w:r w:rsidR="006D093C" w:rsidRPr="006D093C">
        <w:rPr>
          <w:rFonts w:ascii="Times New Roman" w:hAnsi="Times New Roman"/>
          <w:bCs/>
          <w:szCs w:val="24"/>
        </w:rPr>
        <w:t xml:space="preserve">trategic guidance </w:t>
      </w:r>
      <w:r w:rsidR="008A7573">
        <w:rPr>
          <w:rFonts w:ascii="Times New Roman" w:hAnsi="Times New Roman"/>
          <w:bCs/>
          <w:szCs w:val="24"/>
        </w:rPr>
        <w:t xml:space="preserve">for </w:t>
      </w:r>
      <w:r w:rsidR="006D093C" w:rsidRPr="006D093C">
        <w:rPr>
          <w:rFonts w:ascii="Times New Roman" w:hAnsi="Times New Roman"/>
          <w:bCs/>
          <w:szCs w:val="24"/>
        </w:rPr>
        <w:t>the company</w:t>
      </w:r>
      <w:r w:rsidR="008A7573">
        <w:rPr>
          <w:rFonts w:ascii="Times New Roman" w:hAnsi="Times New Roman"/>
          <w:bCs/>
          <w:szCs w:val="24"/>
        </w:rPr>
        <w:t xml:space="preserve"> to </w:t>
      </w:r>
      <w:r w:rsidR="00922E84">
        <w:rPr>
          <w:rFonts w:ascii="Times New Roman" w:hAnsi="Times New Roman"/>
          <w:bCs/>
          <w:szCs w:val="24"/>
        </w:rPr>
        <w:t>expand</w:t>
      </w:r>
      <w:r w:rsidR="008A7573">
        <w:rPr>
          <w:rFonts w:ascii="Times New Roman" w:hAnsi="Times New Roman"/>
          <w:bCs/>
          <w:szCs w:val="24"/>
        </w:rPr>
        <w:t xml:space="preserve"> its</w:t>
      </w:r>
      <w:r w:rsidR="006D093C" w:rsidRPr="006D093C">
        <w:rPr>
          <w:rFonts w:ascii="Times New Roman" w:hAnsi="Times New Roman"/>
          <w:bCs/>
          <w:szCs w:val="24"/>
        </w:rPr>
        <w:t xml:space="preserve"> global business</w:t>
      </w:r>
      <w:r w:rsidR="00B50065" w:rsidRPr="004D3F2B">
        <w:rPr>
          <w:rFonts w:ascii="Times New Roman" w:hAnsi="Times New Roman"/>
          <w:bCs/>
          <w:szCs w:val="24"/>
        </w:rPr>
        <w:t>. Th</w:t>
      </w:r>
      <w:r w:rsidR="008A7573">
        <w:rPr>
          <w:rFonts w:ascii="Times New Roman" w:hAnsi="Times New Roman"/>
          <w:bCs/>
          <w:szCs w:val="24"/>
        </w:rPr>
        <w:t xml:space="preserve">e analyses </w:t>
      </w:r>
      <w:r w:rsidR="00B50065" w:rsidRPr="004D3F2B">
        <w:rPr>
          <w:rFonts w:ascii="Times New Roman" w:hAnsi="Times New Roman"/>
          <w:bCs/>
          <w:szCs w:val="24"/>
        </w:rPr>
        <w:t xml:space="preserve">include the Consumer Price Index (CPI) of various countries, the correlation coefficients </w:t>
      </w:r>
      <w:r w:rsidR="008A7573">
        <w:rPr>
          <w:rFonts w:ascii="Times New Roman" w:hAnsi="Times New Roman"/>
          <w:bCs/>
          <w:szCs w:val="24"/>
        </w:rPr>
        <w:t xml:space="preserve">of inflation rates across </w:t>
      </w:r>
      <w:r w:rsidR="00B50065" w:rsidRPr="004D3F2B">
        <w:rPr>
          <w:rFonts w:ascii="Times New Roman" w:hAnsi="Times New Roman"/>
          <w:bCs/>
          <w:szCs w:val="24"/>
        </w:rPr>
        <w:t xml:space="preserve">countries, and the analysis of the average and standard deviations </w:t>
      </w:r>
      <w:r w:rsidR="008A7573">
        <w:rPr>
          <w:rFonts w:ascii="Times New Roman" w:hAnsi="Times New Roman"/>
          <w:bCs/>
          <w:szCs w:val="24"/>
        </w:rPr>
        <w:t xml:space="preserve">of inflation rates for a specific time span </w:t>
      </w:r>
      <w:r w:rsidR="00B50065" w:rsidRPr="004D3F2B">
        <w:rPr>
          <w:rFonts w:ascii="Times New Roman" w:hAnsi="Times New Roman"/>
          <w:bCs/>
          <w:szCs w:val="24"/>
        </w:rPr>
        <w:t xml:space="preserve">each </w:t>
      </w:r>
      <w:r w:rsidR="00F135F2">
        <w:rPr>
          <w:rFonts w:ascii="Times New Roman" w:hAnsi="Times New Roman"/>
          <w:bCs/>
          <w:szCs w:val="24"/>
        </w:rPr>
        <w:t xml:space="preserve">of the selected </w:t>
      </w:r>
      <w:r w:rsidR="00B50065" w:rsidRPr="004D3F2B">
        <w:rPr>
          <w:rFonts w:ascii="Times New Roman" w:hAnsi="Times New Roman"/>
          <w:bCs/>
          <w:szCs w:val="24"/>
        </w:rPr>
        <w:t>countr</w:t>
      </w:r>
      <w:r w:rsidR="00F135F2">
        <w:rPr>
          <w:rFonts w:ascii="Times New Roman" w:hAnsi="Times New Roman"/>
          <w:bCs/>
          <w:szCs w:val="24"/>
        </w:rPr>
        <w:t>ies</w:t>
      </w:r>
      <w:r w:rsidR="00B50065" w:rsidRPr="004D3F2B">
        <w:rPr>
          <w:rFonts w:ascii="Times New Roman" w:hAnsi="Times New Roman"/>
          <w:bCs/>
          <w:szCs w:val="24"/>
        </w:rPr>
        <w:t>.</w:t>
      </w:r>
      <w:r w:rsidR="0078606D" w:rsidRPr="0078606D">
        <w:t xml:space="preserve"> </w:t>
      </w:r>
      <w:r w:rsidR="00F135F2">
        <w:rPr>
          <w:rFonts w:ascii="Times New Roman" w:hAnsi="Times New Roman"/>
          <w:bCs/>
          <w:szCs w:val="24"/>
        </w:rPr>
        <w:t xml:space="preserve">Since </w:t>
      </w:r>
      <w:r w:rsidR="0078606D" w:rsidRPr="0078606D">
        <w:rPr>
          <w:rFonts w:ascii="Times New Roman" w:hAnsi="Times New Roman"/>
          <w:bCs/>
          <w:szCs w:val="24"/>
        </w:rPr>
        <w:t xml:space="preserve">long-term data is used to analyze overall trends, but the analysis of more recent data can better predict future movements, </w:t>
      </w:r>
      <w:r w:rsidR="00F135F2">
        <w:rPr>
          <w:rFonts w:ascii="Times New Roman" w:hAnsi="Times New Roman"/>
          <w:bCs/>
          <w:szCs w:val="24"/>
        </w:rPr>
        <w:t>local as well as global trends were analyzed</w:t>
      </w:r>
      <w:r w:rsidR="0078606D" w:rsidRPr="0078606D">
        <w:rPr>
          <w:rFonts w:ascii="Times New Roman" w:hAnsi="Times New Roman"/>
          <w:bCs/>
          <w:szCs w:val="24"/>
        </w:rPr>
        <w:t>.</w:t>
      </w:r>
    </w:p>
    <w:p w14:paraId="0BA29C30" w14:textId="77777777" w:rsidR="006D093C" w:rsidRPr="004D3F2B" w:rsidRDefault="006D093C" w:rsidP="00B953FD">
      <w:pPr>
        <w:adjustRightInd w:val="0"/>
        <w:snapToGrid w:val="0"/>
        <w:jc w:val="both"/>
        <w:rPr>
          <w:rFonts w:ascii="Times New Roman" w:hAnsi="Times New Roman"/>
          <w:b/>
          <w:bCs/>
          <w:szCs w:val="24"/>
        </w:rPr>
      </w:pPr>
    </w:p>
    <w:p w14:paraId="37F61B70" w14:textId="6D9D6034" w:rsidR="00C36191" w:rsidRPr="004D3F2B" w:rsidRDefault="002B60E5" w:rsidP="00C36191">
      <w:pPr>
        <w:adjustRightInd w:val="0"/>
        <w:snapToGrid w:val="0"/>
        <w:jc w:val="both"/>
        <w:rPr>
          <w:rFonts w:ascii="Times New Roman" w:hAnsi="Times New Roman"/>
          <w:b/>
          <w:szCs w:val="24"/>
        </w:rPr>
      </w:pPr>
      <w:r w:rsidRPr="004D3F2B">
        <w:rPr>
          <w:rFonts w:ascii="Times New Roman" w:hAnsi="Times New Roman"/>
          <w:b/>
          <w:bCs/>
          <w:szCs w:val="24"/>
        </w:rPr>
        <w:t>3.1</w:t>
      </w:r>
      <w:r w:rsidR="00B50065" w:rsidRPr="004D3F2B">
        <w:rPr>
          <w:rFonts w:ascii="Times New Roman" w:hAnsi="Times New Roman"/>
          <w:b/>
          <w:bCs/>
          <w:szCs w:val="24"/>
        </w:rPr>
        <w:t xml:space="preserve"> </w:t>
      </w:r>
      <w:bookmarkStart w:id="4" w:name="_Hlk156036807"/>
      <w:r w:rsidR="002217D0" w:rsidRPr="004D3F2B">
        <w:rPr>
          <w:rFonts w:ascii="Times New Roman" w:hAnsi="Times New Roman"/>
          <w:b/>
          <w:bCs/>
          <w:szCs w:val="24"/>
        </w:rPr>
        <w:t>Pattern of the global trend movement</w:t>
      </w:r>
      <w:r w:rsidR="006D093C">
        <w:rPr>
          <w:rFonts w:ascii="Times New Roman" w:hAnsi="Times New Roman"/>
          <w:b/>
          <w:bCs/>
          <w:szCs w:val="24"/>
        </w:rPr>
        <w:t>s</w:t>
      </w:r>
      <w:r w:rsidR="002217D0" w:rsidRPr="004D3F2B">
        <w:rPr>
          <w:rFonts w:ascii="Times New Roman" w:hAnsi="Times New Roman"/>
          <w:b/>
          <w:szCs w:val="24"/>
        </w:rPr>
        <w:t xml:space="preserve"> </w:t>
      </w:r>
    </w:p>
    <w:p w14:paraId="528CF1A2" w14:textId="77777777" w:rsidR="002217D0" w:rsidRPr="004D3F2B" w:rsidRDefault="002217D0" w:rsidP="00C36191">
      <w:pPr>
        <w:adjustRightInd w:val="0"/>
        <w:snapToGrid w:val="0"/>
        <w:jc w:val="both"/>
        <w:rPr>
          <w:rFonts w:ascii="Times New Roman" w:hAnsi="Times New Roman"/>
          <w:bCs/>
          <w:color w:val="0000CC"/>
          <w:szCs w:val="24"/>
        </w:rPr>
      </w:pPr>
    </w:p>
    <w:p w14:paraId="3DC5C1D8" w14:textId="4054BC4C" w:rsidR="00443886" w:rsidRDefault="00443886" w:rsidP="00DD79F6">
      <w:pPr>
        <w:adjustRightInd w:val="0"/>
        <w:snapToGrid w:val="0"/>
        <w:spacing w:line="360" w:lineRule="auto"/>
        <w:jc w:val="both"/>
        <w:rPr>
          <w:rFonts w:ascii="Times New Roman" w:hAnsi="Times New Roman"/>
          <w:bCs/>
          <w:szCs w:val="24"/>
        </w:rPr>
      </w:pPr>
      <w:r>
        <w:rPr>
          <w:rFonts w:ascii="Times New Roman" w:hAnsi="Times New Roman"/>
          <w:bCs/>
          <w:szCs w:val="24"/>
        </w:rPr>
        <w:t>3.1.1 Graphical analysis</w:t>
      </w:r>
    </w:p>
    <w:p w14:paraId="22468F0C" w14:textId="3EB6242E" w:rsidR="0027453D" w:rsidRDefault="0027453D" w:rsidP="00DD79F6">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Figure 1 Time plot of </w:t>
      </w:r>
      <w:r w:rsidR="006D093C">
        <w:rPr>
          <w:rFonts w:ascii="Times New Roman" w:hAnsi="Times New Roman"/>
          <w:bCs/>
          <w:szCs w:val="24"/>
        </w:rPr>
        <w:t>consumer i</w:t>
      </w:r>
      <w:r w:rsidR="00C52F52" w:rsidRPr="004D3F2B">
        <w:rPr>
          <w:rFonts w:ascii="Times New Roman" w:hAnsi="Times New Roman"/>
          <w:bCs/>
          <w:szCs w:val="24"/>
        </w:rPr>
        <w:t>nflation rate</w:t>
      </w:r>
      <w:r w:rsidR="00F135F2">
        <w:rPr>
          <w:rFonts w:ascii="Times New Roman" w:hAnsi="Times New Roman"/>
          <w:bCs/>
          <w:szCs w:val="24"/>
        </w:rPr>
        <w:t>s</w:t>
      </w:r>
      <w:r w:rsidR="00C52F52" w:rsidRPr="004D3F2B">
        <w:rPr>
          <w:rFonts w:ascii="Times New Roman" w:hAnsi="Times New Roman"/>
          <w:bCs/>
          <w:szCs w:val="24"/>
        </w:rPr>
        <w:t xml:space="preserve"> </w:t>
      </w:r>
      <w:r w:rsidR="00511D68" w:rsidRPr="004D3F2B">
        <w:rPr>
          <w:rFonts w:ascii="Times New Roman" w:hAnsi="Times New Roman"/>
          <w:bCs/>
          <w:szCs w:val="24"/>
        </w:rPr>
        <w:t>in the selected countries</w:t>
      </w:r>
      <w:r w:rsidR="00A5780D" w:rsidRPr="004D3F2B">
        <w:rPr>
          <w:rFonts w:ascii="Times New Roman" w:hAnsi="Times New Roman"/>
          <w:bCs/>
          <w:szCs w:val="24"/>
        </w:rPr>
        <w:t>: 200</w:t>
      </w:r>
      <w:r w:rsidR="00C52F52" w:rsidRPr="004D3F2B">
        <w:rPr>
          <w:rFonts w:ascii="Times New Roman" w:hAnsi="Times New Roman"/>
          <w:bCs/>
          <w:szCs w:val="24"/>
        </w:rPr>
        <w:t>2</w:t>
      </w:r>
      <w:r w:rsidR="00A5780D" w:rsidRPr="004D3F2B">
        <w:rPr>
          <w:rFonts w:ascii="Times New Roman" w:hAnsi="Times New Roman"/>
          <w:bCs/>
          <w:szCs w:val="24"/>
        </w:rPr>
        <w:t xml:space="preserve"> to 2022</w:t>
      </w:r>
      <w:r w:rsidR="006D093C">
        <w:rPr>
          <w:rFonts w:ascii="Times New Roman" w:hAnsi="Times New Roman"/>
          <w:bCs/>
          <w:szCs w:val="24"/>
        </w:rPr>
        <w:t xml:space="preserve"> (%) </w:t>
      </w:r>
    </w:p>
    <w:p w14:paraId="049D56C7" w14:textId="77777777" w:rsidR="000E7107" w:rsidRDefault="000E7107" w:rsidP="00DD79F6">
      <w:pPr>
        <w:adjustRightInd w:val="0"/>
        <w:snapToGrid w:val="0"/>
        <w:spacing w:line="360" w:lineRule="auto"/>
        <w:jc w:val="both"/>
        <w:rPr>
          <w:rFonts w:ascii="Times New Roman" w:hAnsi="Times New Roman"/>
          <w:bCs/>
          <w:szCs w:val="24"/>
        </w:rPr>
      </w:pPr>
    </w:p>
    <w:tbl>
      <w:tblPr>
        <w:tblStyle w:val="af6"/>
        <w:tblpPr w:leftFromText="180" w:rightFromText="180" w:vertAnchor="text" w:horzAnchor="margin" w:tblpY="6584"/>
        <w:tblW w:w="9634" w:type="dxa"/>
        <w:tblLook w:val="04A0" w:firstRow="1" w:lastRow="0" w:firstColumn="1" w:lastColumn="0" w:noHBand="0" w:noVBand="1"/>
      </w:tblPr>
      <w:tblGrid>
        <w:gridCol w:w="9634"/>
      </w:tblGrid>
      <w:tr w:rsidR="000E7107" w:rsidRPr="004D3F2B" w14:paraId="5497538C" w14:textId="77777777" w:rsidTr="000E7107">
        <w:tc>
          <w:tcPr>
            <w:tcW w:w="9634" w:type="dxa"/>
            <w:vAlign w:val="center"/>
          </w:tcPr>
          <w:p w14:paraId="651E4058" w14:textId="77777777" w:rsidR="000E7107" w:rsidRPr="004D3F2B" w:rsidRDefault="000E7107" w:rsidP="000E7107">
            <w:pPr>
              <w:adjustRightInd w:val="0"/>
              <w:snapToGrid w:val="0"/>
              <w:spacing w:line="360" w:lineRule="auto"/>
              <w:jc w:val="both"/>
              <w:rPr>
                <w:rFonts w:ascii="Times New Roman" w:hAnsi="Times New Roman"/>
                <w:bCs/>
                <w:color w:val="0000CC"/>
                <w:szCs w:val="24"/>
              </w:rPr>
            </w:pPr>
            <w:r w:rsidRPr="00CF7636">
              <w:rPr>
                <w:rFonts w:ascii="Times New Roman" w:hAnsi="Times New Roman"/>
                <w:bCs/>
                <w:color w:val="000000" w:themeColor="text1"/>
                <w:szCs w:val="24"/>
              </w:rPr>
              <w:t xml:space="preserve">Sources: </w:t>
            </w:r>
            <w:r>
              <w:rPr>
                <w:rFonts w:ascii="Times New Roman" w:hAnsi="Times New Roman"/>
                <w:color w:val="2C3E50"/>
                <w:szCs w:val="24"/>
                <w:shd w:val="clear" w:color="auto" w:fill="FFFFFF"/>
              </w:rPr>
              <w:t>Extracted from Table 1</w:t>
            </w:r>
          </w:p>
        </w:tc>
      </w:tr>
    </w:tbl>
    <w:p w14:paraId="32ED7E35" w14:textId="34D8E692" w:rsidR="000E7107" w:rsidRPr="004D3F2B" w:rsidRDefault="000E7107" w:rsidP="00DD79F6">
      <w:pPr>
        <w:adjustRightInd w:val="0"/>
        <w:snapToGrid w:val="0"/>
        <w:spacing w:line="360" w:lineRule="auto"/>
        <w:jc w:val="both"/>
        <w:rPr>
          <w:rFonts w:ascii="Times New Roman" w:hAnsi="Times New Roman"/>
          <w:bCs/>
          <w:szCs w:val="24"/>
        </w:rPr>
      </w:pPr>
      <w:r>
        <w:rPr>
          <w:rFonts w:ascii="Times New Roman" w:hAnsi="Times New Roman" w:hint="eastAsia"/>
          <w:bCs/>
          <w:noProof/>
          <w:szCs w:val="24"/>
        </w:rPr>
        <w:drawing>
          <wp:inline distT="0" distB="0" distL="0" distR="0" wp14:anchorId="56C893C0" wp14:editId="3C8426FF">
            <wp:extent cx="6118860" cy="4099560"/>
            <wp:effectExtent l="0" t="0" r="0" b="0"/>
            <wp:docPr id="589470822"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8860" cy="4099560"/>
                    </a:xfrm>
                    <a:prstGeom prst="rect">
                      <a:avLst/>
                    </a:prstGeom>
                    <a:noFill/>
                    <a:ln>
                      <a:noFill/>
                    </a:ln>
                  </pic:spPr>
                </pic:pic>
              </a:graphicData>
            </a:graphic>
          </wp:inline>
        </w:drawing>
      </w:r>
    </w:p>
    <w:p w14:paraId="42788078" w14:textId="77777777" w:rsidR="00B50065" w:rsidRPr="004D3F2B" w:rsidRDefault="00B50065" w:rsidP="00B50065">
      <w:pPr>
        <w:adjustRightInd w:val="0"/>
        <w:snapToGrid w:val="0"/>
        <w:spacing w:line="360" w:lineRule="auto"/>
        <w:jc w:val="both"/>
        <w:rPr>
          <w:rFonts w:ascii="Times New Roman" w:hAnsi="Times New Roman"/>
          <w:b/>
          <w:bCs/>
          <w:color w:val="000000" w:themeColor="text1"/>
          <w:szCs w:val="24"/>
        </w:rPr>
      </w:pPr>
      <w:bookmarkStart w:id="5" w:name="_Hlk156035799"/>
    </w:p>
    <w:p w14:paraId="6548BE70"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 xml:space="preserve">Analyzing the provided inflation rate data for the period of 2002 to 2022 for China, Hong Kong, Malaysia, the United Kingdom, and the United States, we can observe several periods where significant fluctuations occurred. It's important to link these fluctuations to global economic events, </w:t>
      </w:r>
      <w:r w:rsidRPr="004D3F2B">
        <w:rPr>
          <w:rFonts w:ascii="Times New Roman" w:hAnsi="Times New Roman" w:cs="Times New Roman"/>
          <w:bCs/>
          <w:color w:val="000000"/>
          <w:sz w:val="24"/>
          <w:szCs w:val="24"/>
        </w:rPr>
        <w:lastRenderedPageBreak/>
        <w:t>such as the 2008 financial crisis, and to examine their impact on inflation rates. Here's a summary of the trends and the associated literature:</w:t>
      </w:r>
    </w:p>
    <w:p w14:paraId="620AD66D" w14:textId="77777777" w:rsidR="00F135F2" w:rsidRDefault="00F135F2" w:rsidP="006874A6">
      <w:pPr>
        <w:pStyle w:val="HTML"/>
        <w:jc w:val="both"/>
        <w:rPr>
          <w:rFonts w:ascii="Times New Roman" w:hAnsi="Times New Roman" w:cs="Times New Roman"/>
          <w:bCs/>
          <w:color w:val="000000"/>
          <w:sz w:val="24"/>
          <w:szCs w:val="24"/>
        </w:rPr>
      </w:pPr>
    </w:p>
    <w:p w14:paraId="57F22D9A" w14:textId="4EBA7442"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Pre-2008 Financial Crisis (Up to 2007): Leading up to the 2008 financial crisis, there was a significant increase in inflation rates, particularly in China and Hong Kong, with China peaking at 6.6% in 2007. This period was characterized by a global economic boom, which was followed by the crisis that started in the US housing market, impacting economies worldwide and causing inflation rates to rise due to increased commodity prices and financial market instability (Lin et al., 2014).</w:t>
      </w:r>
    </w:p>
    <w:p w14:paraId="00CC49DC" w14:textId="77777777" w:rsidR="006874A6" w:rsidRPr="004D3F2B" w:rsidRDefault="006874A6" w:rsidP="006874A6">
      <w:pPr>
        <w:pStyle w:val="HTML"/>
        <w:jc w:val="both"/>
        <w:rPr>
          <w:rFonts w:ascii="Times New Roman" w:hAnsi="Times New Roman" w:cs="Times New Roman"/>
          <w:bCs/>
          <w:color w:val="000000"/>
          <w:sz w:val="24"/>
          <w:szCs w:val="24"/>
        </w:rPr>
      </w:pPr>
    </w:p>
    <w:p w14:paraId="383A3964"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2008 Financial Crisis and Immediate Aftermath (2008-2009): The financial crisis led to a decrease in inflation rates in 2008 and 2009 as the global economy faced a recession, reduced consumer demand, and a downturn in economic activities. The impact varied by country, with some experiencing deflationary pressures (Damian, 2009).</w:t>
      </w:r>
    </w:p>
    <w:p w14:paraId="2CB87B36" w14:textId="77777777" w:rsidR="006874A6" w:rsidRPr="004D3F2B" w:rsidRDefault="006874A6" w:rsidP="006874A6">
      <w:pPr>
        <w:pStyle w:val="HTML"/>
        <w:jc w:val="both"/>
        <w:rPr>
          <w:rFonts w:ascii="Times New Roman" w:hAnsi="Times New Roman" w:cs="Times New Roman"/>
          <w:bCs/>
          <w:color w:val="000000"/>
          <w:sz w:val="24"/>
          <w:szCs w:val="24"/>
        </w:rPr>
      </w:pPr>
    </w:p>
    <w:p w14:paraId="3C5B894E"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Post-Financial Crisis Recovery (2010-2011): Inflation rates rose again as economies started to recover from the crisis. This increase can be attributed to recovery efforts, including stimulus packages and monetary policy changes, which led to increased demand and rising prices (</w:t>
      </w:r>
      <w:proofErr w:type="spellStart"/>
      <w:r w:rsidRPr="004D3F2B">
        <w:rPr>
          <w:rFonts w:ascii="Times New Roman" w:hAnsi="Times New Roman" w:cs="Times New Roman"/>
          <w:bCs/>
          <w:color w:val="000000"/>
          <w:sz w:val="24"/>
          <w:szCs w:val="24"/>
        </w:rPr>
        <w:t>Fouejieu</w:t>
      </w:r>
      <w:proofErr w:type="spellEnd"/>
      <w:r w:rsidRPr="004D3F2B">
        <w:rPr>
          <w:rFonts w:ascii="Times New Roman" w:hAnsi="Times New Roman" w:cs="Times New Roman"/>
          <w:bCs/>
          <w:color w:val="000000"/>
          <w:sz w:val="24"/>
          <w:szCs w:val="24"/>
        </w:rPr>
        <w:t>, 2012).</w:t>
      </w:r>
    </w:p>
    <w:p w14:paraId="1EAF4224" w14:textId="77777777" w:rsidR="006874A6" w:rsidRPr="004D3F2B" w:rsidRDefault="006874A6" w:rsidP="006874A6">
      <w:pPr>
        <w:pStyle w:val="HTML"/>
        <w:jc w:val="both"/>
        <w:rPr>
          <w:rFonts w:ascii="Times New Roman" w:hAnsi="Times New Roman" w:cs="Times New Roman"/>
          <w:bCs/>
          <w:color w:val="000000"/>
          <w:sz w:val="24"/>
          <w:szCs w:val="24"/>
        </w:rPr>
      </w:pPr>
    </w:p>
    <w:p w14:paraId="44891986" w14:textId="77777777" w:rsidR="006874A6" w:rsidRPr="004D3F2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Post-2020 COVID-19 Pandemic (2020-2022): The COVID-19 pandemic caused significant economic disruptions, leading to fluctuations in inflation rates due to demand shocks, supply chain interruptions, and fiscal stimulus measures. The subsequent Russia-Ukraine conflict exacerbated these inflationary pressures, particularly in 2022, as seen in the sharp increase in inflation in the United Kingdom and the United States (</w:t>
      </w:r>
      <w:proofErr w:type="spellStart"/>
      <w:r w:rsidRPr="004D3F2B">
        <w:rPr>
          <w:rFonts w:ascii="Times New Roman" w:hAnsi="Times New Roman" w:cs="Times New Roman"/>
          <w:bCs/>
          <w:color w:val="000000"/>
          <w:sz w:val="24"/>
          <w:szCs w:val="24"/>
        </w:rPr>
        <w:t>Jałtuszyk</w:t>
      </w:r>
      <w:proofErr w:type="spellEnd"/>
      <w:r w:rsidRPr="004D3F2B">
        <w:rPr>
          <w:rFonts w:ascii="Times New Roman" w:hAnsi="Times New Roman" w:cs="Times New Roman"/>
          <w:bCs/>
          <w:color w:val="000000"/>
          <w:sz w:val="24"/>
          <w:szCs w:val="24"/>
        </w:rPr>
        <w:t>, 2023).</w:t>
      </w:r>
    </w:p>
    <w:p w14:paraId="5AA4F73B" w14:textId="77777777" w:rsidR="006874A6" w:rsidRPr="004D3F2B" w:rsidRDefault="006874A6" w:rsidP="006874A6">
      <w:pPr>
        <w:pStyle w:val="HTML"/>
        <w:jc w:val="both"/>
        <w:rPr>
          <w:rFonts w:ascii="Times New Roman" w:hAnsi="Times New Roman" w:cs="Times New Roman"/>
          <w:bCs/>
          <w:color w:val="000000"/>
          <w:sz w:val="24"/>
          <w:szCs w:val="24"/>
        </w:rPr>
      </w:pPr>
    </w:p>
    <w:p w14:paraId="619849D4" w14:textId="5D06F101" w:rsidR="006510BB" w:rsidRDefault="006874A6" w:rsidP="006874A6">
      <w:pPr>
        <w:pStyle w:val="HTML"/>
        <w:jc w:val="both"/>
        <w:rPr>
          <w:rFonts w:ascii="Times New Roman" w:hAnsi="Times New Roman" w:cs="Times New Roman"/>
          <w:bCs/>
          <w:color w:val="000000"/>
          <w:sz w:val="24"/>
          <w:szCs w:val="24"/>
        </w:rPr>
      </w:pPr>
      <w:r w:rsidRPr="004D3F2B">
        <w:rPr>
          <w:rFonts w:ascii="Times New Roman" w:hAnsi="Times New Roman" w:cs="Times New Roman"/>
          <w:bCs/>
          <w:color w:val="000000"/>
          <w:sz w:val="24"/>
          <w:szCs w:val="24"/>
        </w:rPr>
        <w:t xml:space="preserve">In conclusion, the inflation rates in the reviewed regions from 2002 to 2022 show significant fluctuations that correspond to major global economic events such as the 2008 financial crisis and the COVID-19 pandemic. These events had profound impacts on inflation due to their influence on global commodity prices, financial markets, and economic policies across the world. </w:t>
      </w:r>
    </w:p>
    <w:p w14:paraId="6E589CA3" w14:textId="77777777" w:rsidR="006510BB" w:rsidRDefault="006510BB">
      <w:pPr>
        <w:widowControl/>
        <w:rPr>
          <w:rFonts w:ascii="Times New Roman" w:eastAsia="Times New Roman" w:hAnsi="Times New Roman"/>
          <w:bCs/>
          <w:color w:val="000000"/>
          <w:kern w:val="0"/>
          <w:szCs w:val="24"/>
        </w:rPr>
      </w:pPr>
      <w:r>
        <w:rPr>
          <w:rFonts w:ascii="Times New Roman" w:hAnsi="Times New Roman"/>
          <w:bCs/>
          <w:color w:val="000000"/>
          <w:szCs w:val="24"/>
        </w:rPr>
        <w:br w:type="page"/>
      </w:r>
    </w:p>
    <w:p w14:paraId="387426B1" w14:textId="73974ECD" w:rsidR="00443886" w:rsidRPr="004D3F2B" w:rsidRDefault="00443886" w:rsidP="00CF7636">
      <w:pPr>
        <w:pStyle w:val="HTML"/>
        <w:numPr>
          <w:ilvl w:val="2"/>
          <w:numId w:val="4"/>
        </w:numPr>
        <w:jc w:val="both"/>
        <w:rPr>
          <w:rFonts w:ascii="Times New Roman" w:eastAsiaTheme="minorEastAsia" w:hAnsi="Times New Roman" w:cs="Times New Roman"/>
          <w:bCs/>
          <w:color w:val="000000"/>
          <w:sz w:val="24"/>
          <w:szCs w:val="24"/>
        </w:rPr>
      </w:pPr>
      <w:r>
        <w:rPr>
          <w:rFonts w:ascii="Times New Roman" w:eastAsiaTheme="minorEastAsia" w:hAnsi="Times New Roman" w:cs="Times New Roman"/>
          <w:bCs/>
          <w:color w:val="000000"/>
          <w:sz w:val="24"/>
          <w:szCs w:val="24"/>
        </w:rPr>
        <w:lastRenderedPageBreak/>
        <w:t>Major statistics</w:t>
      </w:r>
    </w:p>
    <w:p w14:paraId="1FFF1009" w14:textId="77777777" w:rsidR="00443886" w:rsidRDefault="00443886" w:rsidP="002217D0">
      <w:pPr>
        <w:adjustRightInd w:val="0"/>
        <w:snapToGrid w:val="0"/>
        <w:jc w:val="both"/>
        <w:rPr>
          <w:rFonts w:ascii="Times New Roman" w:hAnsi="Times New Roman"/>
          <w:b/>
          <w:szCs w:val="24"/>
        </w:rPr>
      </w:pPr>
    </w:p>
    <w:p w14:paraId="5464F5DA" w14:textId="4F012CBA" w:rsidR="00443886" w:rsidRPr="006510BB" w:rsidRDefault="00443886" w:rsidP="006510BB">
      <w:pPr>
        <w:pStyle w:val="af"/>
        <w:numPr>
          <w:ilvl w:val="0"/>
          <w:numId w:val="5"/>
        </w:numPr>
        <w:adjustRightInd w:val="0"/>
        <w:snapToGrid w:val="0"/>
        <w:ind w:leftChars="0"/>
        <w:jc w:val="both"/>
        <w:rPr>
          <w:rFonts w:ascii="Times New Roman" w:hAnsi="Times New Roman"/>
          <w:bCs/>
          <w:szCs w:val="24"/>
        </w:rPr>
      </w:pPr>
      <w:r w:rsidRPr="00CF7636">
        <w:rPr>
          <w:rFonts w:ascii="Times New Roman" w:hAnsi="Times New Roman"/>
          <w:bCs/>
          <w:szCs w:val="24"/>
        </w:rPr>
        <w:t>Summary statistics</w:t>
      </w:r>
    </w:p>
    <w:p w14:paraId="52BC4777" w14:textId="77777777" w:rsidR="00F135F2" w:rsidRDefault="00F135F2" w:rsidP="002217D0">
      <w:pPr>
        <w:adjustRightInd w:val="0"/>
        <w:snapToGrid w:val="0"/>
        <w:jc w:val="both"/>
        <w:rPr>
          <w:rFonts w:ascii="Times New Roman" w:hAnsi="Times New Roman"/>
          <w:bCs/>
          <w:szCs w:val="24"/>
        </w:rPr>
      </w:pPr>
    </w:p>
    <w:p w14:paraId="65D5A538" w14:textId="1EEBAF99" w:rsidR="002217D0" w:rsidRPr="006510BB" w:rsidRDefault="002217D0" w:rsidP="002217D0">
      <w:pPr>
        <w:adjustRightInd w:val="0"/>
        <w:snapToGrid w:val="0"/>
        <w:jc w:val="both"/>
        <w:rPr>
          <w:rFonts w:ascii="Times New Roman" w:hAnsi="Times New Roman"/>
          <w:bCs/>
          <w:szCs w:val="24"/>
        </w:rPr>
      </w:pPr>
      <w:r w:rsidRPr="006510BB">
        <w:rPr>
          <w:rFonts w:ascii="Times New Roman" w:hAnsi="Times New Roman"/>
          <w:bCs/>
          <w:szCs w:val="24"/>
        </w:rPr>
        <w:t xml:space="preserve">Table 2 Major summary statistics of </w:t>
      </w:r>
      <w:r w:rsidR="006D093C" w:rsidRPr="006510BB">
        <w:rPr>
          <w:rFonts w:ascii="Times New Roman" w:hAnsi="Times New Roman"/>
          <w:bCs/>
          <w:szCs w:val="24"/>
        </w:rPr>
        <w:t>consumer i</w:t>
      </w:r>
      <w:r w:rsidRPr="006510BB">
        <w:rPr>
          <w:rFonts w:ascii="Times New Roman" w:hAnsi="Times New Roman"/>
          <w:bCs/>
          <w:szCs w:val="24"/>
        </w:rPr>
        <w:t>nflation rate in selected countries: 2002 to 2022</w:t>
      </w:r>
      <w:r w:rsidR="006D093C" w:rsidRPr="006510BB">
        <w:rPr>
          <w:rFonts w:ascii="Times New Roman" w:hAnsi="Times New Roman"/>
          <w:bCs/>
          <w:szCs w:val="24"/>
        </w:rPr>
        <w:t xml:space="preserve"> (%)</w:t>
      </w:r>
    </w:p>
    <w:p w14:paraId="692DFD5D" w14:textId="6B851501" w:rsidR="00E903CD" w:rsidRPr="006510BB" w:rsidRDefault="00E903CD" w:rsidP="002217D0">
      <w:pPr>
        <w:adjustRightInd w:val="0"/>
        <w:snapToGrid w:val="0"/>
        <w:jc w:val="both"/>
        <w:rPr>
          <w:rFonts w:ascii="Times New Roman" w:hAnsi="Times New Roman"/>
          <w:bCs/>
          <w:szCs w:val="24"/>
        </w:rPr>
      </w:pPr>
    </w:p>
    <w:p w14:paraId="759737A9" w14:textId="69025D86" w:rsidR="000E7107" w:rsidRPr="004D3F2B" w:rsidRDefault="000E7107" w:rsidP="00101A6B">
      <w:pPr>
        <w:adjustRightInd w:val="0"/>
        <w:snapToGrid w:val="0"/>
        <w:spacing w:line="360" w:lineRule="auto"/>
        <w:jc w:val="both"/>
        <w:rPr>
          <w:rFonts w:ascii="Times New Roman" w:hAnsi="Times New Roman"/>
          <w:bCs/>
          <w:szCs w:val="24"/>
        </w:rPr>
      </w:pPr>
      <w:r>
        <w:rPr>
          <w:rFonts w:ascii="Times New Roman" w:hAnsi="Times New Roman"/>
          <w:bCs/>
          <w:noProof/>
          <w:szCs w:val="24"/>
        </w:rPr>
        <w:drawing>
          <wp:inline distT="0" distB="0" distL="0" distR="0" wp14:anchorId="23931C8E" wp14:editId="474624E6">
            <wp:extent cx="6134100" cy="2042160"/>
            <wp:effectExtent l="0" t="0" r="0" b="0"/>
            <wp:docPr id="687034232"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34100" cy="2042160"/>
                    </a:xfrm>
                    <a:prstGeom prst="rect">
                      <a:avLst/>
                    </a:prstGeom>
                    <a:noFill/>
                    <a:ln>
                      <a:noFill/>
                    </a:ln>
                  </pic:spPr>
                </pic:pic>
              </a:graphicData>
            </a:graphic>
          </wp:inline>
        </w:drawing>
      </w:r>
    </w:p>
    <w:p w14:paraId="2CD6D9B6" w14:textId="2B7951D9" w:rsidR="00E903CD" w:rsidRPr="004D3F2B" w:rsidRDefault="004E6916" w:rsidP="004E6916">
      <w:pPr>
        <w:adjustRightInd w:val="0"/>
        <w:snapToGrid w:val="0"/>
        <w:spacing w:line="360" w:lineRule="auto"/>
        <w:jc w:val="both"/>
        <w:rPr>
          <w:rFonts w:ascii="Times New Roman" w:hAnsi="Times New Roman"/>
          <w:b/>
          <w:szCs w:val="24"/>
        </w:rPr>
      </w:pPr>
      <w:r w:rsidRPr="004D3F2B">
        <w:rPr>
          <w:rFonts w:ascii="Times New Roman" w:hAnsi="Times New Roman"/>
          <w:bCs/>
          <w:szCs w:val="24"/>
        </w:rPr>
        <w:t xml:space="preserve">Based on the data of </w:t>
      </w:r>
      <w:r w:rsidR="00E903CD" w:rsidRPr="004D3F2B">
        <w:rPr>
          <w:rFonts w:ascii="Times New Roman" w:hAnsi="Times New Roman"/>
          <w:bCs/>
          <w:szCs w:val="24"/>
        </w:rPr>
        <w:t xml:space="preserve">table 2, </w:t>
      </w:r>
      <w:r w:rsidR="006D093C">
        <w:rPr>
          <w:rFonts w:ascii="Times New Roman" w:hAnsi="Times New Roman"/>
          <w:bCs/>
          <w:szCs w:val="24"/>
        </w:rPr>
        <w:t>there are several interesting points to note</w:t>
      </w:r>
      <w:r w:rsidR="00E903CD" w:rsidRPr="004D3F2B">
        <w:rPr>
          <w:rFonts w:ascii="Times New Roman" w:hAnsi="Times New Roman"/>
          <w:bCs/>
          <w:szCs w:val="24"/>
        </w:rPr>
        <w:t>:</w:t>
      </w:r>
    </w:p>
    <w:p w14:paraId="2652B78A" w14:textId="77777777" w:rsidR="00E903CD" w:rsidRPr="004D3F2B" w:rsidRDefault="00E903CD" w:rsidP="004E6916">
      <w:pPr>
        <w:adjustRightInd w:val="0"/>
        <w:snapToGrid w:val="0"/>
        <w:spacing w:line="360" w:lineRule="auto"/>
        <w:jc w:val="both"/>
        <w:rPr>
          <w:rFonts w:ascii="Times New Roman" w:hAnsi="Times New Roman"/>
          <w:b/>
          <w:szCs w:val="24"/>
        </w:rPr>
      </w:pPr>
    </w:p>
    <w:p w14:paraId="157C273A" w14:textId="474E966F"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w:t>
      </w:r>
      <w:r w:rsidR="00E903CD" w:rsidRPr="004D3F2B">
        <w:rPr>
          <w:rFonts w:ascii="Times New Roman" w:hAnsi="Times New Roman"/>
          <w:bCs/>
          <w:szCs w:val="24"/>
        </w:rPr>
        <w:t xml:space="preserve"> </w:t>
      </w:r>
      <w:r w:rsidRPr="004D3F2B">
        <w:rPr>
          <w:rFonts w:ascii="Times New Roman" w:hAnsi="Times New Roman"/>
          <w:bCs/>
          <w:szCs w:val="24"/>
        </w:rPr>
        <w:t xml:space="preserve">The inflation rate in the past twenty years has shown some volatility, but the average remains relatively low, indicating that purchasing power has remained </w:t>
      </w:r>
      <w:r w:rsidR="00E903CD" w:rsidRPr="004D3F2B">
        <w:rPr>
          <w:rFonts w:ascii="Times New Roman" w:hAnsi="Times New Roman"/>
          <w:bCs/>
          <w:szCs w:val="24"/>
        </w:rPr>
        <w:t>stable</w:t>
      </w:r>
      <w:r w:rsidRPr="004D3F2B">
        <w:rPr>
          <w:rFonts w:ascii="Times New Roman" w:hAnsi="Times New Roman"/>
          <w:bCs/>
          <w:szCs w:val="24"/>
        </w:rPr>
        <w:t xml:space="preserve"> in the long term.</w:t>
      </w:r>
      <w:r w:rsidR="00E903CD" w:rsidRPr="004D3F2B">
        <w:rPr>
          <w:rFonts w:ascii="Times New Roman" w:hAnsi="Times New Roman"/>
          <w:bCs/>
          <w:szCs w:val="24"/>
        </w:rPr>
        <w:t xml:space="preserve"> </w:t>
      </w:r>
      <w:r w:rsidRPr="004D3F2B">
        <w:rPr>
          <w:rFonts w:ascii="Times New Roman" w:hAnsi="Times New Roman"/>
          <w:bCs/>
          <w:szCs w:val="24"/>
        </w:rPr>
        <w:t>The occurrence of deflation indicates that during certain periods, prices may have generally decreased due to economic recession or a decline in demand, which can be beneficial for debtors but potentially disadvantageous for investors and savers.</w:t>
      </w:r>
      <w:r w:rsidR="00E903CD" w:rsidRPr="004D3F2B">
        <w:rPr>
          <w:rFonts w:ascii="Times New Roman" w:hAnsi="Times New Roman"/>
          <w:bCs/>
          <w:szCs w:val="24"/>
        </w:rPr>
        <w:t xml:space="preserve"> </w:t>
      </w:r>
      <w:r w:rsidRPr="004D3F2B">
        <w:rPr>
          <w:rFonts w:ascii="Times New Roman" w:hAnsi="Times New Roman"/>
          <w:bCs/>
          <w:szCs w:val="24"/>
        </w:rPr>
        <w:t>The peak inflation rate refers to the short-term upper limit of inflationary pressure, and Hong Kong has shown moderation in this respect, which may be attractive to investors seeking stable returns.</w:t>
      </w:r>
    </w:p>
    <w:p w14:paraId="56F99756" w14:textId="77777777" w:rsidR="004E6916" w:rsidRPr="004D3F2B" w:rsidRDefault="004E6916" w:rsidP="004E6916">
      <w:pPr>
        <w:adjustRightInd w:val="0"/>
        <w:snapToGrid w:val="0"/>
        <w:spacing w:line="360" w:lineRule="auto"/>
        <w:jc w:val="both"/>
        <w:rPr>
          <w:rFonts w:ascii="Times New Roman" w:hAnsi="Times New Roman"/>
          <w:bCs/>
          <w:szCs w:val="24"/>
        </w:rPr>
      </w:pPr>
    </w:p>
    <w:p w14:paraId="13AB5260" w14:textId="455EAFE9"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w:t>
      </w:r>
      <w:r w:rsidR="00E903CD" w:rsidRPr="004D3F2B">
        <w:rPr>
          <w:rFonts w:ascii="Times New Roman" w:hAnsi="Times New Roman"/>
          <w:bCs/>
          <w:szCs w:val="24"/>
        </w:rPr>
        <w:t xml:space="preserve">: </w:t>
      </w:r>
      <w:r w:rsidRPr="004D3F2B">
        <w:rPr>
          <w:rFonts w:ascii="Times New Roman" w:hAnsi="Times New Roman"/>
          <w:bCs/>
          <w:szCs w:val="24"/>
        </w:rPr>
        <w:t>As one of the world's largest economies, the average inflation rate in the United States is slightly higher than that of Hong Kong, but still within a controllable range, demonstrating economic stability.</w:t>
      </w:r>
      <w:r w:rsidR="00E903CD" w:rsidRPr="004D3F2B">
        <w:rPr>
          <w:rFonts w:ascii="Times New Roman" w:hAnsi="Times New Roman"/>
          <w:bCs/>
          <w:szCs w:val="24"/>
        </w:rPr>
        <w:t xml:space="preserve"> </w:t>
      </w:r>
      <w:r w:rsidRPr="004D3F2B">
        <w:rPr>
          <w:rFonts w:ascii="Times New Roman" w:hAnsi="Times New Roman"/>
          <w:bCs/>
          <w:szCs w:val="24"/>
        </w:rPr>
        <w:t>A lower standard deviation indicates less volatility in its annual inflation rate, a positive sign for investors seeking economic stability and predictability.</w:t>
      </w:r>
      <w:r w:rsidR="00E903CD" w:rsidRPr="004D3F2B">
        <w:rPr>
          <w:rFonts w:ascii="Times New Roman" w:hAnsi="Times New Roman"/>
          <w:bCs/>
          <w:szCs w:val="24"/>
        </w:rPr>
        <w:t xml:space="preserve"> </w:t>
      </w:r>
      <w:r w:rsidRPr="004D3F2B">
        <w:rPr>
          <w:rFonts w:ascii="Times New Roman" w:hAnsi="Times New Roman"/>
          <w:bCs/>
          <w:szCs w:val="24"/>
        </w:rPr>
        <w:t>The absence of deflation may reflect the resilience of the US economy and effective monetary policy.</w:t>
      </w:r>
    </w:p>
    <w:p w14:paraId="2E83E359" w14:textId="77777777" w:rsidR="004E6916" w:rsidRPr="004D3F2B" w:rsidRDefault="004E6916" w:rsidP="004E6916">
      <w:pPr>
        <w:adjustRightInd w:val="0"/>
        <w:snapToGrid w:val="0"/>
        <w:spacing w:line="360" w:lineRule="auto"/>
        <w:jc w:val="both"/>
        <w:rPr>
          <w:rFonts w:ascii="Times New Roman" w:hAnsi="Times New Roman"/>
          <w:bCs/>
          <w:szCs w:val="24"/>
        </w:rPr>
      </w:pPr>
    </w:p>
    <w:p w14:paraId="6D5B34A8" w14:textId="1ACAD2F2"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w:t>
      </w:r>
      <w:r w:rsidR="00E903CD" w:rsidRPr="004D3F2B">
        <w:rPr>
          <w:rFonts w:ascii="Times New Roman" w:hAnsi="Times New Roman"/>
          <w:bCs/>
          <w:szCs w:val="24"/>
        </w:rPr>
        <w:t xml:space="preserve"> </w:t>
      </w:r>
      <w:r w:rsidRPr="004D3F2B">
        <w:rPr>
          <w:rFonts w:ascii="Times New Roman" w:hAnsi="Times New Roman"/>
          <w:bCs/>
          <w:szCs w:val="24"/>
        </w:rPr>
        <w:t>The United Kingdom has the highest average inflation rate among these countries, which may be due to uncertainties in its economy from events such as Brexit.</w:t>
      </w:r>
      <w:r w:rsidR="00E903CD" w:rsidRPr="004D3F2B">
        <w:rPr>
          <w:rFonts w:ascii="Times New Roman" w:hAnsi="Times New Roman"/>
          <w:bCs/>
          <w:szCs w:val="24"/>
        </w:rPr>
        <w:t xml:space="preserve"> </w:t>
      </w:r>
      <w:r w:rsidRPr="004D3F2B">
        <w:rPr>
          <w:rFonts w:ascii="Times New Roman" w:hAnsi="Times New Roman"/>
          <w:bCs/>
          <w:szCs w:val="24"/>
        </w:rPr>
        <w:t>The volatility of the inflation rate is also the highest among these countries, indicating that its price levels are affected by multiple factors, including fluctuations in exchange rates and changes in energy prices.</w:t>
      </w:r>
      <w:r w:rsidR="00E903CD" w:rsidRPr="004D3F2B">
        <w:rPr>
          <w:rFonts w:ascii="Times New Roman" w:hAnsi="Times New Roman"/>
          <w:bCs/>
          <w:szCs w:val="24"/>
        </w:rPr>
        <w:t xml:space="preserve"> </w:t>
      </w:r>
      <w:r w:rsidRPr="004D3F2B">
        <w:rPr>
          <w:rFonts w:ascii="Times New Roman" w:hAnsi="Times New Roman"/>
          <w:bCs/>
          <w:szCs w:val="24"/>
        </w:rPr>
        <w:t>Extreme value analysis suggests that the UK may face higher inflationary pressures in certain years, which could be a risk for investors seeking to protect their capital from inflationary erosion.</w:t>
      </w:r>
    </w:p>
    <w:p w14:paraId="209BEECA" w14:textId="1EF69D48"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China:</w:t>
      </w:r>
      <w:r w:rsidR="00E903CD" w:rsidRPr="004D3F2B">
        <w:rPr>
          <w:rFonts w:ascii="Times New Roman" w:hAnsi="Times New Roman"/>
          <w:bCs/>
          <w:szCs w:val="24"/>
        </w:rPr>
        <w:t xml:space="preserve"> </w:t>
      </w:r>
      <w:r w:rsidRPr="004D3F2B">
        <w:rPr>
          <w:rFonts w:ascii="Times New Roman" w:hAnsi="Times New Roman"/>
          <w:bCs/>
          <w:szCs w:val="24"/>
        </w:rPr>
        <w:t>China's average inflation rate is at a mid-level, reflecting price increases accompanying rapid economic growth in an emerging market.</w:t>
      </w:r>
      <w:r w:rsidR="00E903CD" w:rsidRPr="004D3F2B">
        <w:rPr>
          <w:rFonts w:ascii="Times New Roman" w:hAnsi="Times New Roman"/>
          <w:bCs/>
          <w:szCs w:val="24"/>
        </w:rPr>
        <w:t xml:space="preserve"> </w:t>
      </w:r>
      <w:r w:rsidRPr="004D3F2B">
        <w:rPr>
          <w:rFonts w:ascii="Times New Roman" w:hAnsi="Times New Roman"/>
          <w:bCs/>
          <w:szCs w:val="24"/>
        </w:rPr>
        <w:t>The volatility of the inflation rate is relatively low, possibly due to the government's proactive intervention and regulation of the economy.</w:t>
      </w:r>
      <w:r w:rsidR="00E903CD" w:rsidRPr="004D3F2B">
        <w:rPr>
          <w:rFonts w:ascii="Times New Roman" w:hAnsi="Times New Roman"/>
          <w:bCs/>
          <w:szCs w:val="24"/>
        </w:rPr>
        <w:t xml:space="preserve"> </w:t>
      </w:r>
      <w:r w:rsidRPr="004D3F2B">
        <w:rPr>
          <w:rFonts w:ascii="Times New Roman" w:hAnsi="Times New Roman"/>
          <w:bCs/>
          <w:szCs w:val="24"/>
        </w:rPr>
        <w:t>Minor deflationary occurrences may relate to economic cycle adjustments or specific policy measures, but overall, China still has significant economic growth potential.</w:t>
      </w:r>
    </w:p>
    <w:p w14:paraId="19248950" w14:textId="77777777" w:rsidR="004E6916" w:rsidRPr="004D3F2B" w:rsidRDefault="004E6916" w:rsidP="004E6916">
      <w:pPr>
        <w:adjustRightInd w:val="0"/>
        <w:snapToGrid w:val="0"/>
        <w:spacing w:line="360" w:lineRule="auto"/>
        <w:jc w:val="both"/>
        <w:rPr>
          <w:rFonts w:ascii="Times New Roman" w:hAnsi="Times New Roman"/>
          <w:bCs/>
          <w:szCs w:val="24"/>
        </w:rPr>
      </w:pPr>
    </w:p>
    <w:p w14:paraId="5CF64D90" w14:textId="243BF682"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w:t>
      </w:r>
      <w:r w:rsidR="00E903CD" w:rsidRPr="004D3F2B">
        <w:rPr>
          <w:rFonts w:ascii="Times New Roman" w:hAnsi="Times New Roman"/>
          <w:bCs/>
          <w:szCs w:val="24"/>
        </w:rPr>
        <w:t xml:space="preserve"> </w:t>
      </w:r>
      <w:r w:rsidRPr="004D3F2B">
        <w:rPr>
          <w:rFonts w:ascii="Times New Roman" w:hAnsi="Times New Roman"/>
          <w:bCs/>
          <w:szCs w:val="24"/>
        </w:rPr>
        <w:t>Malaysia exhibits the lowest volatility in inflation rates, indicating a relatively stable economy and strong predictability of policy effects in an emerging market.</w:t>
      </w:r>
      <w:r w:rsidR="00E903CD" w:rsidRPr="004D3F2B">
        <w:rPr>
          <w:rFonts w:ascii="Times New Roman" w:hAnsi="Times New Roman"/>
          <w:bCs/>
          <w:szCs w:val="24"/>
        </w:rPr>
        <w:t xml:space="preserve"> </w:t>
      </w:r>
      <w:r w:rsidRPr="004D3F2B">
        <w:rPr>
          <w:rFonts w:ascii="Times New Roman" w:hAnsi="Times New Roman"/>
          <w:bCs/>
          <w:szCs w:val="24"/>
        </w:rPr>
        <w:t>The average inflation rate is also relatively low, suggesting that the pressure of consumer price increases is within a controlled range.</w:t>
      </w:r>
      <w:r w:rsidR="00E903CD" w:rsidRPr="004D3F2B">
        <w:rPr>
          <w:rFonts w:ascii="Times New Roman" w:hAnsi="Times New Roman"/>
          <w:bCs/>
          <w:szCs w:val="24"/>
        </w:rPr>
        <w:t xml:space="preserve"> </w:t>
      </w:r>
      <w:r w:rsidRPr="004D3F2B">
        <w:rPr>
          <w:rFonts w:ascii="Times New Roman" w:hAnsi="Times New Roman"/>
          <w:bCs/>
          <w:szCs w:val="24"/>
        </w:rPr>
        <w:t>Malaysia's economic growth and potential investment returns may be underestimated, making it an attractive choice for investors looking to invest in emerging markets.</w:t>
      </w:r>
    </w:p>
    <w:p w14:paraId="0838A169" w14:textId="77777777" w:rsidR="00F135F2" w:rsidRDefault="00F135F2" w:rsidP="004E6916">
      <w:pPr>
        <w:adjustRightInd w:val="0"/>
        <w:snapToGrid w:val="0"/>
        <w:spacing w:line="360" w:lineRule="auto"/>
        <w:jc w:val="both"/>
        <w:rPr>
          <w:rFonts w:ascii="Times New Roman" w:hAnsi="Times New Roman"/>
          <w:bCs/>
          <w:szCs w:val="24"/>
        </w:rPr>
      </w:pPr>
    </w:p>
    <w:p w14:paraId="49D0DDB3" w14:textId="5C74CF11" w:rsidR="004E6916"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Considering the stability of the inflation rate and the potential for economic growth, Malaysia may be the best choice for conservative investors due to its stable economic performance and low inflation pressure.</w:t>
      </w:r>
      <w:r w:rsidR="00E903CD" w:rsidRPr="004D3F2B">
        <w:rPr>
          <w:rFonts w:ascii="Times New Roman" w:hAnsi="Times New Roman"/>
          <w:bCs/>
          <w:szCs w:val="24"/>
        </w:rPr>
        <w:t xml:space="preserve"> </w:t>
      </w:r>
      <w:r w:rsidRPr="004D3F2B">
        <w:rPr>
          <w:rFonts w:ascii="Times New Roman" w:hAnsi="Times New Roman"/>
          <w:bCs/>
          <w:szCs w:val="24"/>
        </w:rPr>
        <w:t>For investors with a higher risk tolerance seeking larger markets and mature economies, the United States</w:t>
      </w:r>
      <w:r w:rsidR="00E903CD" w:rsidRPr="004D3F2B">
        <w:rPr>
          <w:rFonts w:ascii="Times New Roman" w:hAnsi="Times New Roman"/>
          <w:bCs/>
          <w:szCs w:val="24"/>
        </w:rPr>
        <w:t xml:space="preserve"> </w:t>
      </w:r>
      <w:r w:rsidRPr="004D3F2B">
        <w:rPr>
          <w:rFonts w:ascii="Times New Roman" w:hAnsi="Times New Roman"/>
          <w:bCs/>
          <w:szCs w:val="24"/>
        </w:rPr>
        <w:t>offers a relatively stable and predictable investment environment.</w:t>
      </w:r>
      <w:r w:rsidR="00E903CD" w:rsidRPr="004D3F2B">
        <w:rPr>
          <w:rFonts w:ascii="Times New Roman" w:hAnsi="Times New Roman"/>
          <w:bCs/>
          <w:szCs w:val="24"/>
        </w:rPr>
        <w:t xml:space="preserve"> </w:t>
      </w:r>
      <w:r w:rsidRPr="004D3F2B">
        <w:rPr>
          <w:rFonts w:ascii="Times New Roman" w:hAnsi="Times New Roman"/>
          <w:bCs/>
          <w:szCs w:val="24"/>
        </w:rPr>
        <w:t>If the investment strategy is more aggressive and willing to endure greater volatility for potentially higher returns, then the United Kingdom could offer opportunities due to its high volatility.</w:t>
      </w:r>
    </w:p>
    <w:p w14:paraId="216F8AE4" w14:textId="77777777" w:rsidR="000E7107" w:rsidRPr="004D3F2B" w:rsidRDefault="000E7107" w:rsidP="004E6916">
      <w:pPr>
        <w:adjustRightInd w:val="0"/>
        <w:snapToGrid w:val="0"/>
        <w:spacing w:line="360" w:lineRule="auto"/>
        <w:jc w:val="both"/>
        <w:rPr>
          <w:rFonts w:ascii="Times New Roman" w:hAnsi="Times New Roman"/>
          <w:bCs/>
          <w:szCs w:val="24"/>
        </w:rPr>
      </w:pPr>
    </w:p>
    <w:p w14:paraId="1E9BE017" w14:textId="33810BE6" w:rsidR="004E6916" w:rsidRPr="004D3F2B" w:rsidRDefault="004E6916" w:rsidP="004E6916">
      <w:pPr>
        <w:adjustRightInd w:val="0"/>
        <w:snapToGrid w:val="0"/>
        <w:spacing w:line="360" w:lineRule="auto"/>
        <w:jc w:val="both"/>
        <w:rPr>
          <w:rFonts w:ascii="Times New Roman" w:hAnsi="Times New Roman"/>
          <w:bCs/>
          <w:szCs w:val="24"/>
        </w:rPr>
      </w:pPr>
      <w:r w:rsidRPr="004D3F2B">
        <w:rPr>
          <w:rFonts w:ascii="Times New Roman" w:hAnsi="Times New Roman"/>
          <w:bCs/>
          <w:szCs w:val="24"/>
        </w:rPr>
        <w:t>For those optimistic about the growth potential of emerging markets and who can accept some volatility, China offers a more balanced choice</w:t>
      </w:r>
      <w:r w:rsidR="00980559" w:rsidRPr="004D3F2B">
        <w:rPr>
          <w:rFonts w:ascii="Times New Roman" w:hAnsi="Times New Roman"/>
          <w:bCs/>
          <w:szCs w:val="24"/>
        </w:rPr>
        <w:t>.</w:t>
      </w:r>
    </w:p>
    <w:p w14:paraId="723BB3B3" w14:textId="1EEAB95E" w:rsidR="003504DB" w:rsidRPr="004D3F2B" w:rsidRDefault="003504DB">
      <w:pPr>
        <w:widowControl/>
        <w:rPr>
          <w:rFonts w:ascii="Times New Roman" w:hAnsi="Times New Roman"/>
          <w:b/>
          <w:szCs w:val="24"/>
        </w:rPr>
      </w:pPr>
    </w:p>
    <w:p w14:paraId="18681DCC" w14:textId="266A06FC" w:rsidR="00101A6B" w:rsidRPr="00CF7636" w:rsidRDefault="00101A6B" w:rsidP="00CF7636">
      <w:pPr>
        <w:pStyle w:val="af"/>
        <w:numPr>
          <w:ilvl w:val="0"/>
          <w:numId w:val="5"/>
        </w:numPr>
        <w:adjustRightInd w:val="0"/>
        <w:snapToGrid w:val="0"/>
        <w:spacing w:line="360" w:lineRule="auto"/>
        <w:ind w:leftChars="0"/>
        <w:jc w:val="both"/>
        <w:rPr>
          <w:rFonts w:ascii="Times New Roman" w:hAnsi="Times New Roman"/>
          <w:bCs/>
          <w:szCs w:val="24"/>
        </w:rPr>
      </w:pPr>
      <w:r w:rsidRPr="00CF7636">
        <w:rPr>
          <w:rFonts w:ascii="Times New Roman" w:hAnsi="Times New Roman"/>
          <w:bCs/>
          <w:szCs w:val="24"/>
        </w:rPr>
        <w:t>Correlation Coefficients</w:t>
      </w:r>
    </w:p>
    <w:bookmarkEnd w:id="4"/>
    <w:bookmarkEnd w:id="5"/>
    <w:p w14:paraId="097B5AC8" w14:textId="77777777" w:rsidR="0068694B" w:rsidRDefault="0068694B" w:rsidP="0068694B">
      <w:pPr>
        <w:adjustRightInd w:val="0"/>
        <w:snapToGrid w:val="0"/>
        <w:spacing w:line="360" w:lineRule="auto"/>
        <w:jc w:val="both"/>
        <w:rPr>
          <w:rFonts w:ascii="Times New Roman" w:hAnsi="Times New Roman"/>
          <w:bCs/>
          <w:szCs w:val="24"/>
        </w:rPr>
      </w:pPr>
      <w:r w:rsidRPr="004D3F2B">
        <w:rPr>
          <w:rFonts w:ascii="Times New Roman" w:hAnsi="Times New Roman"/>
          <w:bCs/>
          <w:szCs w:val="24"/>
        </w:rPr>
        <w:t>Next, I will use the correlation coefficients derived from the inflation rate (end-of-period consumer prices) to analyze the inflation trends in these five regions and their interconnectivity with the other four regions. This will help us understand the strength of the relationship between the inflation trends in these areas and their regional economic activities.</w:t>
      </w:r>
    </w:p>
    <w:p w14:paraId="1AAA941C" w14:textId="77777777" w:rsidR="00421BAD" w:rsidRPr="00421BAD" w:rsidRDefault="00421BAD" w:rsidP="00421BAD">
      <w:pPr>
        <w:rPr>
          <w:rFonts w:ascii="Times New Roman" w:eastAsia="DengXian" w:hAnsi="Times New Roman"/>
        </w:rPr>
      </w:pPr>
    </w:p>
    <w:p w14:paraId="1D00B111" w14:textId="4498E672" w:rsidR="00421BAD" w:rsidRPr="00421BAD" w:rsidRDefault="00421BAD" w:rsidP="00421BAD">
      <w:pPr>
        <w:rPr>
          <w:rFonts w:ascii="Times New Roman" w:eastAsia="DengXian" w:hAnsi="Times New Roman"/>
        </w:rPr>
      </w:pPr>
      <w:r w:rsidRPr="00421BAD">
        <w:rPr>
          <w:rFonts w:ascii="Times New Roman" w:eastAsia="DengXian" w:hAnsi="Times New Roman"/>
        </w:rPr>
        <w:t>The Pearson correlation coefficient is a statistical measure that assesses the strength and direction of a linear relationship between two variables. It ranges between -1 and 1, where 1 indicates a perfect positive correlation, -1 indicates a perfect negative correlation, and 0 implies no linear correlation. The Pearson correlation coefficient is commonly used to evaluate the degree of linear association between two continuous variables. (P. Schober, C. Boer, &amp; L. Schwarte, 2018</w:t>
      </w:r>
      <w:r w:rsidRPr="00421BAD">
        <w:rPr>
          <w:rFonts w:ascii="Times New Roman" w:eastAsiaTheme="minorEastAsia" w:hAnsi="Times New Roman"/>
        </w:rPr>
        <w:t>)</w:t>
      </w:r>
    </w:p>
    <w:p w14:paraId="2DA926C4" w14:textId="77777777" w:rsidR="00421BAD" w:rsidRDefault="00421BAD" w:rsidP="00511D68">
      <w:pPr>
        <w:adjustRightInd w:val="0"/>
        <w:snapToGrid w:val="0"/>
        <w:jc w:val="both"/>
        <w:rPr>
          <w:rFonts w:ascii="Times New Roman" w:hAnsi="Times New Roman"/>
          <w:bCs/>
          <w:szCs w:val="24"/>
        </w:rPr>
      </w:pPr>
    </w:p>
    <w:p w14:paraId="004079BC" w14:textId="77777777" w:rsidR="000E7107" w:rsidRDefault="000E7107" w:rsidP="00511D68">
      <w:pPr>
        <w:adjustRightInd w:val="0"/>
        <w:snapToGrid w:val="0"/>
        <w:jc w:val="both"/>
        <w:rPr>
          <w:rFonts w:ascii="Times New Roman" w:hAnsi="Times New Roman"/>
          <w:bCs/>
          <w:szCs w:val="24"/>
        </w:rPr>
      </w:pPr>
    </w:p>
    <w:p w14:paraId="36623949" w14:textId="77777777" w:rsidR="000E7107" w:rsidRPr="004D3F2B" w:rsidRDefault="000E7107" w:rsidP="00511D68">
      <w:pPr>
        <w:adjustRightInd w:val="0"/>
        <w:snapToGrid w:val="0"/>
        <w:jc w:val="both"/>
        <w:rPr>
          <w:rFonts w:ascii="Times New Roman" w:hAnsi="Times New Roman"/>
          <w:bCs/>
          <w:szCs w:val="24"/>
        </w:rPr>
      </w:pPr>
    </w:p>
    <w:p w14:paraId="0E914BAB" w14:textId="0678D83B" w:rsidR="00511D68" w:rsidRPr="00CF7636" w:rsidRDefault="00511D68" w:rsidP="00511D68">
      <w:pPr>
        <w:adjustRightInd w:val="0"/>
        <w:snapToGrid w:val="0"/>
        <w:jc w:val="both"/>
        <w:rPr>
          <w:rFonts w:ascii="Times New Roman" w:hAnsi="Times New Roman"/>
          <w:bCs/>
          <w:szCs w:val="24"/>
        </w:rPr>
      </w:pPr>
      <w:r w:rsidRPr="00CF7636">
        <w:rPr>
          <w:rFonts w:ascii="Times New Roman" w:hAnsi="Times New Roman"/>
          <w:bCs/>
          <w:szCs w:val="24"/>
        </w:rPr>
        <w:lastRenderedPageBreak/>
        <w:t>T</w:t>
      </w:r>
      <w:bookmarkStart w:id="6" w:name="_Hlk156035597"/>
      <w:r w:rsidRPr="00CF7636">
        <w:rPr>
          <w:rFonts w:ascii="Times New Roman" w:hAnsi="Times New Roman"/>
          <w:bCs/>
          <w:szCs w:val="24"/>
        </w:rPr>
        <w:t xml:space="preserve">able </w:t>
      </w:r>
      <w:r w:rsidR="00E903CD" w:rsidRPr="00CF7636">
        <w:rPr>
          <w:rFonts w:ascii="Times New Roman" w:hAnsi="Times New Roman"/>
          <w:bCs/>
          <w:szCs w:val="24"/>
        </w:rPr>
        <w:t>3</w:t>
      </w:r>
      <w:r w:rsidRPr="00CF7636">
        <w:rPr>
          <w:rFonts w:ascii="Times New Roman" w:hAnsi="Times New Roman"/>
          <w:bCs/>
          <w:szCs w:val="24"/>
        </w:rPr>
        <w:t xml:space="preserve"> </w:t>
      </w:r>
      <w:r w:rsidR="009C7926" w:rsidRPr="00CF7636">
        <w:rPr>
          <w:rFonts w:ascii="Times New Roman" w:hAnsi="Times New Roman"/>
          <w:bCs/>
          <w:szCs w:val="24"/>
        </w:rPr>
        <w:t xml:space="preserve">Correlation </w:t>
      </w:r>
      <w:r w:rsidR="00443886" w:rsidRPr="00CF7636">
        <w:rPr>
          <w:rFonts w:ascii="Times New Roman" w:hAnsi="Times New Roman"/>
          <w:bCs/>
          <w:szCs w:val="24"/>
        </w:rPr>
        <w:t>matrix of consumer inflation rates</w:t>
      </w:r>
      <w:r w:rsidRPr="00CF7636">
        <w:rPr>
          <w:rFonts w:ascii="Times New Roman" w:hAnsi="Times New Roman"/>
          <w:bCs/>
          <w:szCs w:val="24"/>
        </w:rPr>
        <w:t xml:space="preserve"> in </w:t>
      </w:r>
      <w:r w:rsidR="00A0488C" w:rsidRPr="00CF7636">
        <w:rPr>
          <w:rFonts w:ascii="Times New Roman" w:hAnsi="Times New Roman"/>
          <w:bCs/>
          <w:szCs w:val="24"/>
        </w:rPr>
        <w:t>selected countries</w:t>
      </w:r>
      <w:r w:rsidRPr="00CF7636">
        <w:rPr>
          <w:rFonts w:ascii="Times New Roman" w:hAnsi="Times New Roman"/>
          <w:bCs/>
          <w:szCs w:val="24"/>
        </w:rPr>
        <w:t xml:space="preserve">: </w:t>
      </w:r>
      <w:r w:rsidR="00A5780D" w:rsidRPr="00CF7636">
        <w:rPr>
          <w:rFonts w:ascii="Times New Roman" w:hAnsi="Times New Roman"/>
          <w:bCs/>
          <w:szCs w:val="24"/>
        </w:rPr>
        <w:t>2000</w:t>
      </w:r>
      <w:r w:rsidRPr="00CF7636">
        <w:rPr>
          <w:rFonts w:ascii="Times New Roman" w:hAnsi="Times New Roman"/>
          <w:bCs/>
          <w:szCs w:val="24"/>
        </w:rPr>
        <w:t xml:space="preserve"> to 2022</w:t>
      </w:r>
    </w:p>
    <w:p w14:paraId="4DD0CCB5" w14:textId="7EE03AB3" w:rsidR="000E7107" w:rsidRDefault="000E7107" w:rsidP="0067709A">
      <w:pPr>
        <w:adjustRightInd w:val="0"/>
        <w:snapToGrid w:val="0"/>
        <w:spacing w:line="360" w:lineRule="auto"/>
        <w:jc w:val="both"/>
        <w:rPr>
          <w:rFonts w:ascii="Times New Roman" w:hAnsi="Times New Roman"/>
          <w:b/>
          <w:bCs/>
          <w:szCs w:val="24"/>
        </w:rPr>
      </w:pPr>
      <w:r>
        <w:rPr>
          <w:rFonts w:ascii="Times New Roman" w:hAnsi="Times New Roman"/>
          <w:b/>
          <w:bCs/>
          <w:noProof/>
          <w:szCs w:val="24"/>
        </w:rPr>
        <w:drawing>
          <wp:inline distT="0" distB="0" distL="0" distR="0" wp14:anchorId="37F5BF8A" wp14:editId="0C56F421">
            <wp:extent cx="6118860" cy="1478280"/>
            <wp:effectExtent l="0" t="0" r="0" b="7620"/>
            <wp:docPr id="27280819"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8860" cy="1478280"/>
                    </a:xfrm>
                    <a:prstGeom prst="rect">
                      <a:avLst/>
                    </a:prstGeom>
                    <a:noFill/>
                    <a:ln>
                      <a:noFill/>
                    </a:ln>
                  </pic:spPr>
                </pic:pic>
              </a:graphicData>
            </a:graphic>
          </wp:inline>
        </w:drawing>
      </w:r>
    </w:p>
    <w:p w14:paraId="03B6E852" w14:textId="713C637C" w:rsidR="0067709A" w:rsidRPr="004D3F2B" w:rsidRDefault="00F46983" w:rsidP="0067709A">
      <w:pPr>
        <w:adjustRightInd w:val="0"/>
        <w:snapToGrid w:val="0"/>
        <w:spacing w:line="360" w:lineRule="auto"/>
        <w:jc w:val="both"/>
        <w:rPr>
          <w:rFonts w:ascii="Times New Roman" w:hAnsi="Times New Roman"/>
          <w:color w:val="2C3E50"/>
          <w:szCs w:val="24"/>
          <w:shd w:val="clear" w:color="auto" w:fill="FFFFFF"/>
        </w:rPr>
      </w:pPr>
      <w:r w:rsidRPr="004D3F2B">
        <w:rPr>
          <w:rFonts w:ascii="Times New Roman" w:hAnsi="Times New Roman"/>
          <w:b/>
          <w:bCs/>
          <w:szCs w:val="24"/>
        </w:rPr>
        <w:t xml:space="preserve">Sources: </w:t>
      </w:r>
      <w:r w:rsidRPr="004D3F2B">
        <w:rPr>
          <w:rFonts w:ascii="Times New Roman" w:hAnsi="Times New Roman"/>
          <w:color w:val="2C3E50"/>
          <w:szCs w:val="24"/>
          <w:shd w:val="clear" w:color="auto" w:fill="FFFFFF"/>
        </w:rPr>
        <w:t>www.imf.org, n.d.</w:t>
      </w:r>
    </w:p>
    <w:p w14:paraId="3712970E" w14:textId="77777777" w:rsidR="0067709A" w:rsidRPr="004D3F2B" w:rsidRDefault="0067709A" w:rsidP="0067709A">
      <w:pPr>
        <w:adjustRightInd w:val="0"/>
        <w:snapToGrid w:val="0"/>
        <w:spacing w:line="360" w:lineRule="auto"/>
        <w:jc w:val="both"/>
        <w:rPr>
          <w:rFonts w:ascii="Times New Roman" w:hAnsi="Times New Roman"/>
          <w:color w:val="2C3E50"/>
          <w:szCs w:val="24"/>
          <w:shd w:val="clear" w:color="auto" w:fill="FFFFFF"/>
        </w:rPr>
      </w:pPr>
    </w:p>
    <w:p w14:paraId="4FD6CC47" w14:textId="48D851D8"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Based on the comprehensive analysis of inflation rate correlations from 2002 to 2022 for China, Hong Kong, Malaysia, the United Kingdom, and the United States, we can draw the following conclusions:</w:t>
      </w:r>
    </w:p>
    <w:p w14:paraId="7E67A5B1" w14:textId="77777777" w:rsidR="0067709A" w:rsidRPr="004D3F2B" w:rsidRDefault="0067709A" w:rsidP="0067709A">
      <w:pPr>
        <w:adjustRightInd w:val="0"/>
        <w:snapToGrid w:val="0"/>
        <w:spacing w:line="360" w:lineRule="auto"/>
        <w:jc w:val="both"/>
        <w:rPr>
          <w:rFonts w:ascii="Times New Roman" w:hAnsi="Times New Roman"/>
          <w:szCs w:val="24"/>
        </w:rPr>
      </w:pPr>
    </w:p>
    <w:p w14:paraId="694C78B3" w14:textId="09B967C5"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Hong Kong: Moderate correlation with China and weaker links with other regions suggest</w:t>
      </w:r>
      <w:r w:rsidR="00F135F2">
        <w:rPr>
          <w:rFonts w:ascii="Times New Roman" w:hAnsi="Times New Roman"/>
          <w:szCs w:val="24"/>
        </w:rPr>
        <w:t>s</w:t>
      </w:r>
      <w:r w:rsidRPr="004D3F2B">
        <w:rPr>
          <w:rFonts w:ascii="Times New Roman" w:hAnsi="Times New Roman"/>
          <w:szCs w:val="24"/>
        </w:rPr>
        <w:t xml:space="preserve"> that Hong Kong's inflation is influenced by regional factors, particularly its economic ties with China, but also shows a degree of independence.</w:t>
      </w:r>
    </w:p>
    <w:p w14:paraId="35BF5F8B" w14:textId="77777777" w:rsidR="0067709A" w:rsidRPr="004D3F2B" w:rsidRDefault="0067709A" w:rsidP="0067709A">
      <w:pPr>
        <w:adjustRightInd w:val="0"/>
        <w:snapToGrid w:val="0"/>
        <w:spacing w:line="360" w:lineRule="auto"/>
        <w:jc w:val="both"/>
        <w:rPr>
          <w:rFonts w:ascii="Times New Roman" w:hAnsi="Times New Roman"/>
          <w:szCs w:val="24"/>
        </w:rPr>
      </w:pPr>
    </w:p>
    <w:p w14:paraId="09C11C49" w14:textId="2FF7AEE0"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China: Exhibits low correlations with all regions, indicating that its inflation trends are largely driven by domestic factors and policies, making it relatively insulated from global inflation trends.</w:t>
      </w:r>
    </w:p>
    <w:p w14:paraId="5066C641" w14:textId="77777777" w:rsidR="0067709A" w:rsidRPr="004D3F2B" w:rsidRDefault="0067709A" w:rsidP="0067709A">
      <w:pPr>
        <w:adjustRightInd w:val="0"/>
        <w:snapToGrid w:val="0"/>
        <w:spacing w:line="360" w:lineRule="auto"/>
        <w:jc w:val="both"/>
        <w:rPr>
          <w:rFonts w:ascii="Times New Roman" w:hAnsi="Times New Roman"/>
          <w:szCs w:val="24"/>
        </w:rPr>
      </w:pPr>
    </w:p>
    <w:p w14:paraId="11D08C20" w14:textId="012D5CB5"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Malaysia: Shows moderate correlations with the UK and weaker ones with other regions, suggesting some influence from global economic trends but also a significant degree of autonomy in its inflation dynamics.</w:t>
      </w:r>
    </w:p>
    <w:p w14:paraId="089C594E" w14:textId="77777777" w:rsidR="0067709A" w:rsidRPr="004D3F2B" w:rsidRDefault="0067709A" w:rsidP="0067709A">
      <w:pPr>
        <w:adjustRightInd w:val="0"/>
        <w:snapToGrid w:val="0"/>
        <w:spacing w:line="360" w:lineRule="auto"/>
        <w:jc w:val="both"/>
        <w:rPr>
          <w:rFonts w:ascii="Times New Roman" w:hAnsi="Times New Roman"/>
          <w:szCs w:val="24"/>
        </w:rPr>
      </w:pPr>
    </w:p>
    <w:p w14:paraId="711AC938" w14:textId="2E5B2AE7" w:rsidR="0067709A"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United Kingdom: The strong correlation with the US highlights the close economic ties and shared inflation trends between these two developed economies, while weaker correlations with Asian markets indicate less influence from these regions.</w:t>
      </w:r>
    </w:p>
    <w:p w14:paraId="0B225BD8" w14:textId="77777777" w:rsidR="0067709A" w:rsidRPr="004D3F2B" w:rsidRDefault="0067709A" w:rsidP="0067709A">
      <w:pPr>
        <w:adjustRightInd w:val="0"/>
        <w:snapToGrid w:val="0"/>
        <w:spacing w:line="360" w:lineRule="auto"/>
        <w:jc w:val="both"/>
        <w:rPr>
          <w:rFonts w:ascii="Times New Roman" w:hAnsi="Times New Roman"/>
          <w:szCs w:val="24"/>
        </w:rPr>
      </w:pPr>
    </w:p>
    <w:p w14:paraId="5361A457" w14:textId="248F90E4" w:rsidR="00321F1F" w:rsidRPr="004D3F2B" w:rsidRDefault="0067709A" w:rsidP="0067709A">
      <w:pPr>
        <w:adjustRightInd w:val="0"/>
        <w:snapToGrid w:val="0"/>
        <w:spacing w:line="360" w:lineRule="auto"/>
        <w:jc w:val="both"/>
        <w:rPr>
          <w:rFonts w:ascii="Times New Roman" w:hAnsi="Times New Roman"/>
          <w:szCs w:val="24"/>
        </w:rPr>
      </w:pPr>
      <w:r w:rsidRPr="004D3F2B">
        <w:rPr>
          <w:rFonts w:ascii="Times New Roman" w:hAnsi="Times New Roman"/>
          <w:szCs w:val="24"/>
        </w:rPr>
        <w:t>United States: Strong correlation with the UK and weaker correlations with Asian markets underscore the US's role as a global economic leader, with its inflation trends closely aligned with other developed economies and less affected by emerging markets.</w:t>
      </w:r>
      <w:bookmarkEnd w:id="6"/>
    </w:p>
    <w:p w14:paraId="3B9B59AE" w14:textId="77777777" w:rsidR="0067709A" w:rsidRPr="004D3F2B" w:rsidRDefault="0067709A" w:rsidP="0067709A">
      <w:pPr>
        <w:adjustRightInd w:val="0"/>
        <w:snapToGrid w:val="0"/>
        <w:spacing w:line="360" w:lineRule="auto"/>
        <w:jc w:val="both"/>
        <w:rPr>
          <w:rFonts w:ascii="Times New Roman" w:hAnsi="Times New Roman"/>
          <w:b/>
          <w:bCs/>
          <w:szCs w:val="24"/>
        </w:rPr>
      </w:pPr>
    </w:p>
    <w:p w14:paraId="7410042D" w14:textId="77777777" w:rsidR="006510BB" w:rsidRDefault="006510BB">
      <w:pPr>
        <w:widowControl/>
        <w:rPr>
          <w:rFonts w:ascii="Times New Roman" w:hAnsi="Times New Roman"/>
          <w:b/>
          <w:bCs/>
          <w:szCs w:val="24"/>
        </w:rPr>
      </w:pPr>
      <w:r>
        <w:rPr>
          <w:rFonts w:ascii="Times New Roman" w:hAnsi="Times New Roman"/>
          <w:b/>
          <w:bCs/>
          <w:szCs w:val="24"/>
        </w:rPr>
        <w:br w:type="page"/>
      </w:r>
    </w:p>
    <w:p w14:paraId="12C6EB54" w14:textId="587DFAEC" w:rsidR="003504DB" w:rsidRPr="00443886" w:rsidRDefault="003504DB" w:rsidP="00325F1F">
      <w:pPr>
        <w:adjustRightInd w:val="0"/>
        <w:snapToGrid w:val="0"/>
        <w:spacing w:line="360" w:lineRule="auto"/>
        <w:jc w:val="both"/>
        <w:rPr>
          <w:rFonts w:ascii="Times New Roman" w:hAnsi="Times New Roman"/>
          <w:b/>
          <w:bCs/>
          <w:szCs w:val="24"/>
        </w:rPr>
      </w:pPr>
      <w:r w:rsidRPr="004D3F2B">
        <w:rPr>
          <w:rFonts w:ascii="Times New Roman" w:hAnsi="Times New Roman"/>
          <w:b/>
          <w:bCs/>
          <w:szCs w:val="24"/>
        </w:rPr>
        <w:lastRenderedPageBreak/>
        <w:t>3.2 Pattern of the local trend movement</w:t>
      </w:r>
      <w:r w:rsidR="002A2309" w:rsidRPr="004D3F2B">
        <w:rPr>
          <w:rFonts w:ascii="Times New Roman" w:hAnsi="Times New Roman"/>
          <w:b/>
          <w:bCs/>
          <w:szCs w:val="24"/>
        </w:rPr>
        <w:t xml:space="preserve"> </w:t>
      </w:r>
      <w:r w:rsidR="002A2309" w:rsidRPr="004D3F2B">
        <w:rPr>
          <w:rFonts w:ascii="Times New Roman" w:hAnsi="Times New Roman"/>
          <w:b/>
          <w:szCs w:val="24"/>
        </w:rPr>
        <w:t>(Inflation rate, end of period consumer prices)</w:t>
      </w:r>
    </w:p>
    <w:p w14:paraId="50C499EC" w14:textId="3BB93249" w:rsidR="000E7107" w:rsidRPr="000E7107" w:rsidRDefault="003B19AE" w:rsidP="00325F1F">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Figure 1 Time plot of </w:t>
      </w:r>
      <w:r w:rsidR="00F135F2">
        <w:rPr>
          <w:rFonts w:ascii="Times New Roman" w:hAnsi="Times New Roman"/>
          <w:bCs/>
          <w:szCs w:val="24"/>
        </w:rPr>
        <w:t>consumer i</w:t>
      </w:r>
      <w:r w:rsidRPr="004D3F2B">
        <w:rPr>
          <w:rFonts w:ascii="Times New Roman" w:hAnsi="Times New Roman"/>
          <w:bCs/>
          <w:szCs w:val="24"/>
        </w:rPr>
        <w:t>nflation rate</w:t>
      </w:r>
      <w:r w:rsidR="00F135F2">
        <w:rPr>
          <w:rFonts w:ascii="Times New Roman" w:hAnsi="Times New Roman"/>
          <w:bCs/>
          <w:szCs w:val="24"/>
        </w:rPr>
        <w:t>s</w:t>
      </w:r>
      <w:r w:rsidR="00922E84">
        <w:rPr>
          <w:rFonts w:ascii="Times New Roman" w:hAnsi="Times New Roman"/>
          <w:bCs/>
          <w:szCs w:val="24"/>
        </w:rPr>
        <w:t xml:space="preserve"> </w:t>
      </w:r>
      <w:r w:rsidRPr="004D3F2B">
        <w:rPr>
          <w:rFonts w:ascii="Times New Roman" w:hAnsi="Times New Roman"/>
          <w:bCs/>
          <w:szCs w:val="24"/>
        </w:rPr>
        <w:t>in the selected countries: 2019 to 2022</w:t>
      </w:r>
      <w:r w:rsidR="00F135F2">
        <w:rPr>
          <w:rFonts w:ascii="Times New Roman" w:hAnsi="Times New Roman"/>
          <w:bCs/>
          <w:szCs w:val="24"/>
        </w:rPr>
        <w:t xml:space="preserve"> (%)</w:t>
      </w:r>
    </w:p>
    <w:p w14:paraId="59E2B7EB" w14:textId="217F77FD" w:rsidR="000E7107" w:rsidRPr="004D3F2B" w:rsidRDefault="000E7107" w:rsidP="00325F1F">
      <w:pPr>
        <w:adjustRightInd w:val="0"/>
        <w:snapToGrid w:val="0"/>
        <w:spacing w:line="360" w:lineRule="auto"/>
        <w:jc w:val="both"/>
        <w:rPr>
          <w:rFonts w:ascii="Times New Roman" w:hAnsi="Times New Roman"/>
          <w:bCs/>
          <w:color w:val="0000CC"/>
          <w:szCs w:val="24"/>
        </w:rPr>
      </w:pPr>
      <w:r>
        <w:rPr>
          <w:rFonts w:ascii="Times New Roman" w:hAnsi="Times New Roman"/>
          <w:bCs/>
          <w:noProof/>
          <w:color w:val="0000CC"/>
          <w:szCs w:val="24"/>
        </w:rPr>
        <w:drawing>
          <wp:inline distT="0" distB="0" distL="0" distR="0" wp14:anchorId="3B9DEF34" wp14:editId="5D8A6632">
            <wp:extent cx="5494020" cy="3764280"/>
            <wp:effectExtent l="0" t="0" r="0" b="7620"/>
            <wp:docPr id="1393488043"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4020" cy="3764280"/>
                    </a:xfrm>
                    <a:prstGeom prst="rect">
                      <a:avLst/>
                    </a:prstGeom>
                    <a:noFill/>
                    <a:ln>
                      <a:noFill/>
                    </a:ln>
                  </pic:spPr>
                </pic:pic>
              </a:graphicData>
            </a:graphic>
          </wp:inline>
        </w:drawing>
      </w:r>
    </w:p>
    <w:p w14:paraId="2CD7E3C9" w14:textId="410BEFA3" w:rsidR="008F0095" w:rsidRPr="004D3F2B" w:rsidRDefault="008F0095"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provided data shows the inflation rates, at the end of period consumer prices, for China, Hong Kong, Malaysia, the United Kingdom, and the United States from 2019 to 2022. There is a noticeable fluctuation in inflation rates across all these regions, particularly in the years 2020 through 2022. These fluctuations can be largely attributed to the economic impact of the COVID-19 pandemic and other global events such as the Russia-Ukraine conflict.</w:t>
      </w:r>
      <w:r w:rsidR="0077750A" w:rsidRPr="004D3F2B">
        <w:rPr>
          <w:rFonts w:ascii="Times New Roman" w:hAnsi="Times New Roman"/>
          <w:bCs/>
          <w:szCs w:val="24"/>
        </w:rPr>
        <w:t xml:space="preserve"> </w:t>
      </w:r>
      <w:r w:rsidRPr="004D3F2B">
        <w:rPr>
          <w:rFonts w:ascii="Times New Roman" w:hAnsi="Times New Roman"/>
          <w:bCs/>
          <w:szCs w:val="24"/>
        </w:rPr>
        <w:t>Here is a summary of the trends and significant events that influenced these fluctuations, supported by the relevant literature:</w:t>
      </w:r>
    </w:p>
    <w:p w14:paraId="714A546F" w14:textId="77777777" w:rsidR="008F0095" w:rsidRPr="004D3F2B" w:rsidRDefault="008F0095" w:rsidP="008F0095">
      <w:pPr>
        <w:adjustRightInd w:val="0"/>
        <w:snapToGrid w:val="0"/>
        <w:spacing w:line="360" w:lineRule="auto"/>
        <w:jc w:val="both"/>
        <w:rPr>
          <w:rFonts w:ascii="Times New Roman" w:hAnsi="Times New Roman"/>
          <w:bCs/>
          <w:szCs w:val="24"/>
        </w:rPr>
      </w:pPr>
    </w:p>
    <w:p w14:paraId="4B960BED" w14:textId="0D44E384"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Year 2020: S</w:t>
      </w:r>
      <w:r w:rsidR="008F0095" w:rsidRPr="004D3F2B">
        <w:rPr>
          <w:rFonts w:ascii="Times New Roman" w:hAnsi="Times New Roman"/>
          <w:bCs/>
          <w:szCs w:val="24"/>
        </w:rPr>
        <w:t>aw a dramatic decrease in inflation rates across most regions due to the COVID-19 pandemic. Lockdowns and restrictions on movement led to a reduction in consumer spending and a significant economic downturn. The United States experienced a less severe decrease in inflation, possibly due to different policy responses and the scale of fiscal stimulus measures (Li, Wu, &amp; Yang, 2023).</w:t>
      </w:r>
    </w:p>
    <w:p w14:paraId="5B7EBAE6" w14:textId="77777777" w:rsidR="006874A6" w:rsidRPr="004D3F2B" w:rsidRDefault="006874A6" w:rsidP="008F0095">
      <w:pPr>
        <w:adjustRightInd w:val="0"/>
        <w:snapToGrid w:val="0"/>
        <w:spacing w:line="360" w:lineRule="auto"/>
        <w:jc w:val="both"/>
        <w:rPr>
          <w:rFonts w:ascii="Times New Roman" w:hAnsi="Times New Roman"/>
          <w:bCs/>
          <w:szCs w:val="24"/>
        </w:rPr>
      </w:pPr>
    </w:p>
    <w:p w14:paraId="7F3EA0AE" w14:textId="134451D5"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Year </w:t>
      </w:r>
      <w:r w:rsidR="008F0095" w:rsidRPr="004D3F2B">
        <w:rPr>
          <w:rFonts w:ascii="Times New Roman" w:hAnsi="Times New Roman"/>
          <w:bCs/>
          <w:szCs w:val="24"/>
        </w:rPr>
        <w:t>2021</w:t>
      </w:r>
      <w:r w:rsidRPr="004D3F2B">
        <w:rPr>
          <w:rFonts w:ascii="Times New Roman" w:hAnsi="Times New Roman"/>
          <w:bCs/>
          <w:szCs w:val="24"/>
        </w:rPr>
        <w:t>:</w:t>
      </w:r>
      <w:r w:rsidR="008F0095" w:rsidRPr="004D3F2B">
        <w:rPr>
          <w:rFonts w:ascii="Times New Roman" w:hAnsi="Times New Roman"/>
          <w:bCs/>
          <w:szCs w:val="24"/>
        </w:rPr>
        <w:t xml:space="preserve"> marked a period of economic recovery with inflation rates increasing as consumer spending rebounded. However, supply chain disruptions and energy price hikes due to the pandemic's lingering effects contributed to inflationary pressures (Huang, 2021).</w:t>
      </w:r>
    </w:p>
    <w:p w14:paraId="20A73C42" w14:textId="77777777" w:rsidR="008F0095" w:rsidRDefault="008F0095" w:rsidP="008F0095">
      <w:pPr>
        <w:adjustRightInd w:val="0"/>
        <w:snapToGrid w:val="0"/>
        <w:spacing w:line="360" w:lineRule="auto"/>
        <w:jc w:val="both"/>
        <w:rPr>
          <w:rFonts w:ascii="Times New Roman" w:hAnsi="Times New Roman"/>
          <w:bCs/>
          <w:szCs w:val="24"/>
        </w:rPr>
      </w:pPr>
    </w:p>
    <w:p w14:paraId="1CE4D791" w14:textId="77777777" w:rsidR="000E7107" w:rsidRPr="004D3F2B" w:rsidRDefault="000E7107" w:rsidP="008F0095">
      <w:pPr>
        <w:adjustRightInd w:val="0"/>
        <w:snapToGrid w:val="0"/>
        <w:spacing w:line="360" w:lineRule="auto"/>
        <w:jc w:val="both"/>
        <w:rPr>
          <w:rFonts w:ascii="Times New Roman" w:hAnsi="Times New Roman"/>
          <w:bCs/>
          <w:szCs w:val="24"/>
        </w:rPr>
      </w:pPr>
    </w:p>
    <w:p w14:paraId="4ABF6BFE" w14:textId="056BE091" w:rsidR="008F0095" w:rsidRPr="004D3F2B" w:rsidRDefault="004744A0"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 xml:space="preserve">Year </w:t>
      </w:r>
      <w:r w:rsidR="008F0095" w:rsidRPr="004D3F2B">
        <w:rPr>
          <w:rFonts w:ascii="Times New Roman" w:hAnsi="Times New Roman"/>
          <w:bCs/>
          <w:szCs w:val="24"/>
        </w:rPr>
        <w:t>2022</w:t>
      </w:r>
      <w:r w:rsidRPr="004D3F2B">
        <w:rPr>
          <w:rFonts w:ascii="Times New Roman" w:hAnsi="Times New Roman"/>
          <w:bCs/>
          <w:szCs w:val="24"/>
        </w:rPr>
        <w:t>:</w:t>
      </w:r>
      <w:r w:rsidR="008F0095" w:rsidRPr="004D3F2B">
        <w:rPr>
          <w:rFonts w:ascii="Times New Roman" w:hAnsi="Times New Roman"/>
          <w:bCs/>
          <w:szCs w:val="24"/>
        </w:rPr>
        <w:t xml:space="preserve"> </w:t>
      </w:r>
      <w:r w:rsidRPr="004D3F2B">
        <w:rPr>
          <w:rFonts w:ascii="Times New Roman" w:hAnsi="Times New Roman"/>
          <w:bCs/>
          <w:szCs w:val="24"/>
        </w:rPr>
        <w:t>S</w:t>
      </w:r>
      <w:r w:rsidR="008F0095" w:rsidRPr="004D3F2B">
        <w:rPr>
          <w:rFonts w:ascii="Times New Roman" w:hAnsi="Times New Roman"/>
          <w:bCs/>
          <w:szCs w:val="24"/>
        </w:rPr>
        <w:t>aw further increases in inflation rates, with the United Kingdom experiencing a particularly sharp rise to 10.5%. This increase can be attributed to the combined effects of post-pandemic economic recovery, high energy prices, and the impact of the Russia-Ukraine conflict on global commodity prices (Chen, 2023).</w:t>
      </w:r>
    </w:p>
    <w:p w14:paraId="2C9EDC12" w14:textId="77777777" w:rsidR="008F0095" w:rsidRPr="004D3F2B" w:rsidRDefault="008F0095" w:rsidP="008F0095">
      <w:pPr>
        <w:adjustRightInd w:val="0"/>
        <w:snapToGrid w:val="0"/>
        <w:spacing w:line="360" w:lineRule="auto"/>
        <w:jc w:val="both"/>
        <w:rPr>
          <w:rFonts w:ascii="Times New Roman" w:hAnsi="Times New Roman"/>
          <w:bCs/>
          <w:szCs w:val="24"/>
        </w:rPr>
      </w:pPr>
    </w:p>
    <w:p w14:paraId="656D6E7C" w14:textId="77777777" w:rsidR="008F0095" w:rsidRPr="004D3F2B" w:rsidRDefault="008F0095" w:rsidP="008F0095">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 research concludes that the pandemic has posed significant challenges to the global economy, leading to recessionary tendencies and inflation crises. Efforts by governments and monetary authorities to stimulate the economy have had mixed results, with the need to balance inflation risks against economic growth. The situation was further complicated by the conflict between Russia and Ukraine, which had an additional inflationary impact.</w:t>
      </w:r>
    </w:p>
    <w:p w14:paraId="323483FB" w14:textId="77777777" w:rsidR="008F0095" w:rsidRPr="004D3F2B" w:rsidRDefault="008F0095" w:rsidP="008F0095">
      <w:pPr>
        <w:adjustRightInd w:val="0"/>
        <w:snapToGrid w:val="0"/>
        <w:spacing w:line="360" w:lineRule="auto"/>
        <w:jc w:val="both"/>
        <w:rPr>
          <w:rFonts w:ascii="Times New Roman" w:hAnsi="Times New Roman"/>
          <w:bCs/>
          <w:szCs w:val="24"/>
        </w:rPr>
      </w:pPr>
    </w:p>
    <w:p w14:paraId="6D14FA9B" w14:textId="27C76D70" w:rsidR="00443886" w:rsidRDefault="008F0095" w:rsidP="00421BAD">
      <w:pPr>
        <w:adjustRightInd w:val="0"/>
        <w:snapToGrid w:val="0"/>
        <w:spacing w:line="360" w:lineRule="auto"/>
        <w:jc w:val="both"/>
        <w:rPr>
          <w:rFonts w:ascii="Times New Roman" w:hAnsi="Times New Roman"/>
          <w:b/>
          <w:szCs w:val="24"/>
        </w:rPr>
      </w:pPr>
      <w:r w:rsidRPr="004D3F2B">
        <w:rPr>
          <w:rFonts w:ascii="Times New Roman" w:hAnsi="Times New Roman"/>
          <w:bCs/>
          <w:szCs w:val="24"/>
        </w:rPr>
        <w:t>In summary, the inflation rates in these regions during 2019-2022 were significantly influenced by the COVID-19 pandemic, policy responses to the pandemic, and global events such as the Russia-Ukraine conflict. These factors led to fluctuations in consumer prices, which are reflected in the varying inflation rates across the years.</w:t>
      </w:r>
      <w:r w:rsidR="00443886">
        <w:rPr>
          <w:rFonts w:ascii="Times New Roman" w:hAnsi="Times New Roman"/>
          <w:b/>
          <w:szCs w:val="24"/>
        </w:rPr>
        <w:br w:type="page"/>
      </w:r>
    </w:p>
    <w:p w14:paraId="39A5BD48" w14:textId="7EE9E044" w:rsidR="006874A6" w:rsidRPr="000E7107" w:rsidRDefault="006874A6" w:rsidP="000E7107">
      <w:pPr>
        <w:adjustRightInd w:val="0"/>
        <w:snapToGrid w:val="0"/>
        <w:jc w:val="both"/>
        <w:rPr>
          <w:rFonts w:ascii="Times New Roman" w:hAnsi="Times New Roman"/>
          <w:b/>
          <w:szCs w:val="24"/>
        </w:rPr>
      </w:pPr>
      <w:r w:rsidRPr="004D3F2B">
        <w:rPr>
          <w:rFonts w:ascii="Times New Roman" w:hAnsi="Times New Roman"/>
          <w:b/>
          <w:szCs w:val="24"/>
        </w:rPr>
        <w:lastRenderedPageBreak/>
        <w:t xml:space="preserve">Table 2 Major summary statistics of </w:t>
      </w:r>
      <w:r w:rsidR="00443886">
        <w:rPr>
          <w:rFonts w:ascii="Times New Roman" w:hAnsi="Times New Roman"/>
          <w:b/>
          <w:szCs w:val="24"/>
        </w:rPr>
        <w:t>consumer i</w:t>
      </w:r>
      <w:r w:rsidRPr="004D3F2B">
        <w:rPr>
          <w:rFonts w:ascii="Times New Roman" w:hAnsi="Times New Roman"/>
          <w:b/>
          <w:szCs w:val="24"/>
        </w:rPr>
        <w:t>nflation rate</w:t>
      </w:r>
      <w:r w:rsidR="00F135F2">
        <w:rPr>
          <w:rFonts w:ascii="Times New Roman" w:hAnsi="Times New Roman"/>
          <w:b/>
          <w:szCs w:val="24"/>
        </w:rPr>
        <w:t>s</w:t>
      </w:r>
      <w:r w:rsidRPr="004D3F2B">
        <w:rPr>
          <w:rFonts w:ascii="Times New Roman" w:hAnsi="Times New Roman"/>
          <w:b/>
          <w:szCs w:val="24"/>
        </w:rPr>
        <w:t xml:space="preserve"> in selected countries: 20</w:t>
      </w:r>
      <w:r w:rsidR="00EA00BF" w:rsidRPr="004D3F2B">
        <w:rPr>
          <w:rFonts w:ascii="Times New Roman" w:hAnsi="Times New Roman"/>
          <w:b/>
          <w:szCs w:val="24"/>
        </w:rPr>
        <w:t>19</w:t>
      </w:r>
      <w:r w:rsidRPr="004D3F2B">
        <w:rPr>
          <w:rFonts w:ascii="Times New Roman" w:hAnsi="Times New Roman"/>
          <w:b/>
          <w:szCs w:val="24"/>
        </w:rPr>
        <w:t xml:space="preserve"> to 2022</w:t>
      </w:r>
      <w:r w:rsidR="00443886">
        <w:rPr>
          <w:rFonts w:ascii="Times New Roman" w:hAnsi="Times New Roman"/>
          <w:b/>
          <w:szCs w:val="24"/>
        </w:rPr>
        <w:t xml:space="preserve"> (%)</w:t>
      </w:r>
    </w:p>
    <w:p w14:paraId="64C2D979" w14:textId="3A2A2C14" w:rsidR="000E7107" w:rsidRPr="004D3F2B" w:rsidRDefault="000E7107" w:rsidP="008F0095">
      <w:pPr>
        <w:adjustRightInd w:val="0"/>
        <w:snapToGrid w:val="0"/>
        <w:spacing w:line="360" w:lineRule="auto"/>
        <w:jc w:val="both"/>
        <w:rPr>
          <w:rFonts w:ascii="Times New Roman" w:hAnsi="Times New Roman"/>
          <w:bCs/>
          <w:szCs w:val="24"/>
        </w:rPr>
      </w:pPr>
      <w:r>
        <w:rPr>
          <w:rFonts w:ascii="Times New Roman" w:hAnsi="Times New Roman"/>
          <w:bCs/>
          <w:noProof/>
          <w:szCs w:val="24"/>
        </w:rPr>
        <w:drawing>
          <wp:inline distT="0" distB="0" distL="0" distR="0" wp14:anchorId="0F756598" wp14:editId="15F02E3A">
            <wp:extent cx="6027420" cy="2004060"/>
            <wp:effectExtent l="0" t="0" r="0" b="0"/>
            <wp:docPr id="1253287184"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27420" cy="2004060"/>
                    </a:xfrm>
                    <a:prstGeom prst="rect">
                      <a:avLst/>
                    </a:prstGeom>
                    <a:noFill/>
                    <a:ln>
                      <a:noFill/>
                    </a:ln>
                  </pic:spPr>
                </pic:pic>
              </a:graphicData>
            </a:graphic>
          </wp:inline>
        </w:drawing>
      </w:r>
    </w:p>
    <w:p w14:paraId="3223E3C1" w14:textId="77777777" w:rsidR="00AC5AD4" w:rsidRPr="004D3F2B" w:rsidRDefault="00AC5AD4" w:rsidP="00AC5AD4">
      <w:pPr>
        <w:adjustRightInd w:val="0"/>
        <w:snapToGrid w:val="0"/>
        <w:spacing w:line="360" w:lineRule="auto"/>
        <w:jc w:val="both"/>
        <w:rPr>
          <w:rFonts w:ascii="Times New Roman" w:hAnsi="Times New Roman"/>
          <w:b/>
          <w:szCs w:val="24"/>
        </w:rPr>
      </w:pPr>
      <w:r w:rsidRPr="004D3F2B">
        <w:rPr>
          <w:rFonts w:ascii="Times New Roman" w:hAnsi="Times New Roman"/>
          <w:bCs/>
          <w:szCs w:val="24"/>
        </w:rPr>
        <w:t>Based on the data of table 2, we can find that:</w:t>
      </w:r>
    </w:p>
    <w:p w14:paraId="425AD82C" w14:textId="77777777" w:rsidR="00AC5AD4" w:rsidRPr="004D3F2B" w:rsidRDefault="00AC5AD4" w:rsidP="008F0095">
      <w:pPr>
        <w:adjustRightInd w:val="0"/>
        <w:snapToGrid w:val="0"/>
        <w:spacing w:line="360" w:lineRule="auto"/>
        <w:jc w:val="both"/>
        <w:rPr>
          <w:rFonts w:ascii="Times New Roman" w:hAnsi="Times New Roman"/>
          <w:bCs/>
          <w:szCs w:val="24"/>
        </w:rPr>
      </w:pPr>
    </w:p>
    <w:p w14:paraId="1BC39AF8" w14:textId="476B9E5D"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 The mean and coefficient of variation of the inflation rate indicate that the overall price growth in Hong Kong is relatively stable, but there is significant annual volatility. The presence of deflation reflects potential downward pressures on the economy or temporary decreases in demand.</w:t>
      </w:r>
    </w:p>
    <w:p w14:paraId="3A1CDACF" w14:textId="77777777" w:rsidR="00EA6771" w:rsidRPr="004D3F2B" w:rsidRDefault="00EA6771" w:rsidP="00EA6771">
      <w:pPr>
        <w:adjustRightInd w:val="0"/>
        <w:snapToGrid w:val="0"/>
        <w:spacing w:line="360" w:lineRule="auto"/>
        <w:jc w:val="both"/>
        <w:rPr>
          <w:rFonts w:ascii="Times New Roman" w:hAnsi="Times New Roman"/>
          <w:bCs/>
          <w:szCs w:val="24"/>
        </w:rPr>
      </w:pPr>
    </w:p>
    <w:p w14:paraId="10E25C1C" w14:textId="549BF8A9"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 Compared to other countries, the UK experiences the greatest volatility in inflation, which may be related to recent political and economic changes, such as Brexit. High inflation rates and significant fluctuations may indicate higher investment risks, but also the possibility of higher returns.</w:t>
      </w:r>
    </w:p>
    <w:p w14:paraId="56F457DE" w14:textId="77777777" w:rsidR="00EA6771" w:rsidRPr="004D3F2B" w:rsidRDefault="00EA6771" w:rsidP="00EA6771">
      <w:pPr>
        <w:adjustRightInd w:val="0"/>
        <w:snapToGrid w:val="0"/>
        <w:spacing w:line="360" w:lineRule="auto"/>
        <w:jc w:val="both"/>
        <w:rPr>
          <w:rFonts w:ascii="Times New Roman" w:hAnsi="Times New Roman"/>
          <w:bCs/>
          <w:szCs w:val="24"/>
        </w:rPr>
      </w:pPr>
    </w:p>
    <w:p w14:paraId="67B0E33C" w14:textId="41E7812C"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 The average inflation rate is higher, with moderate volatility, indicating that the US economy faces some price pressures, but compared to the UK, the price growth in the US is more predictable. This stability is a positive factor for long-term investment.</w:t>
      </w:r>
    </w:p>
    <w:p w14:paraId="080A65B8" w14:textId="77777777" w:rsidR="00EA6771" w:rsidRPr="004D3F2B" w:rsidRDefault="00EA6771" w:rsidP="00EA6771">
      <w:pPr>
        <w:adjustRightInd w:val="0"/>
        <w:snapToGrid w:val="0"/>
        <w:spacing w:line="360" w:lineRule="auto"/>
        <w:jc w:val="both"/>
        <w:rPr>
          <w:rFonts w:ascii="Times New Roman" w:hAnsi="Times New Roman"/>
          <w:bCs/>
          <w:szCs w:val="24"/>
        </w:rPr>
      </w:pPr>
    </w:p>
    <w:p w14:paraId="494F082E" w14:textId="3BF846D8"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China: The stability of China's inflation rate falls between that of developed countries and other emerging markets. The lower average inflation rate and stable volatility suggest that China's economic policies are relatively effective in controlling prices.</w:t>
      </w:r>
    </w:p>
    <w:p w14:paraId="77F99B3C" w14:textId="77777777" w:rsidR="00EA6771" w:rsidRPr="004D3F2B" w:rsidRDefault="00EA6771" w:rsidP="00EA6771">
      <w:pPr>
        <w:adjustRightInd w:val="0"/>
        <w:snapToGrid w:val="0"/>
        <w:spacing w:line="360" w:lineRule="auto"/>
        <w:jc w:val="both"/>
        <w:rPr>
          <w:rFonts w:ascii="Times New Roman" w:hAnsi="Times New Roman"/>
          <w:bCs/>
          <w:szCs w:val="24"/>
        </w:rPr>
      </w:pPr>
    </w:p>
    <w:p w14:paraId="5178F52A" w14:textId="491A5CE9"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 Malaysia's average inflation rate is low, and volatility is relatively high, which may reflect the different challenges faced by the country's economy. The occurrence of deflation could indicate a slowdown in economic activity in certain years.</w:t>
      </w:r>
    </w:p>
    <w:p w14:paraId="2862359C" w14:textId="77777777" w:rsidR="00EA6771" w:rsidRPr="004D3F2B" w:rsidRDefault="00EA6771" w:rsidP="00EA6771">
      <w:pPr>
        <w:adjustRightInd w:val="0"/>
        <w:snapToGrid w:val="0"/>
        <w:spacing w:line="360" w:lineRule="auto"/>
        <w:jc w:val="both"/>
        <w:rPr>
          <w:rFonts w:ascii="Times New Roman" w:hAnsi="Times New Roman"/>
          <w:bCs/>
          <w:szCs w:val="24"/>
        </w:rPr>
      </w:pPr>
    </w:p>
    <w:p w14:paraId="122FD6B9" w14:textId="77777777" w:rsidR="00EA6771" w:rsidRDefault="00EA6771" w:rsidP="00EA6771">
      <w:pPr>
        <w:adjustRightInd w:val="0"/>
        <w:snapToGrid w:val="0"/>
        <w:spacing w:line="360" w:lineRule="auto"/>
        <w:jc w:val="both"/>
        <w:rPr>
          <w:rFonts w:ascii="Times New Roman" w:hAnsi="Times New Roman"/>
          <w:bCs/>
          <w:szCs w:val="24"/>
        </w:rPr>
      </w:pPr>
    </w:p>
    <w:p w14:paraId="4D5CD050" w14:textId="77777777" w:rsidR="006510BB" w:rsidRPr="004D3F2B" w:rsidRDefault="006510BB" w:rsidP="00EA6771">
      <w:pPr>
        <w:adjustRightInd w:val="0"/>
        <w:snapToGrid w:val="0"/>
        <w:spacing w:line="360" w:lineRule="auto"/>
        <w:jc w:val="both"/>
        <w:rPr>
          <w:rFonts w:ascii="Times New Roman" w:hAnsi="Times New Roman"/>
          <w:bCs/>
          <w:szCs w:val="24"/>
        </w:rPr>
      </w:pPr>
    </w:p>
    <w:p w14:paraId="159B8ADF" w14:textId="0A713254" w:rsidR="00EA6771"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lastRenderedPageBreak/>
        <w:t>When considering investments, markets that are economically stable, with lower risks, and potential for growth are typically sought after. Based on these factors, China show</w:t>
      </w:r>
      <w:r w:rsidR="00F135F2">
        <w:rPr>
          <w:rFonts w:ascii="Times New Roman" w:hAnsi="Times New Roman"/>
          <w:bCs/>
          <w:szCs w:val="24"/>
        </w:rPr>
        <w:t>s</w:t>
      </w:r>
      <w:r w:rsidRPr="004D3F2B">
        <w:rPr>
          <w:rFonts w:ascii="Times New Roman" w:hAnsi="Times New Roman"/>
          <w:bCs/>
          <w:szCs w:val="24"/>
        </w:rPr>
        <w:t xml:space="preserve"> better control of inflation, which may be attractive to investors seeking stable investments. Although the US faces greater inflationary pressures, it still dominates the global economy and remains an important choice for investors seeking to invest in a stable economy. The UK's high volatility may attract investors willing to take on higher risks for possibly higher returns. Malaysia may be suitable for investors familiar with the local market and able to manage volatility risks.</w:t>
      </w:r>
    </w:p>
    <w:p w14:paraId="0B2B5C11" w14:textId="77777777" w:rsidR="00EA6771" w:rsidRPr="004D3F2B" w:rsidRDefault="00EA6771" w:rsidP="00EA6771">
      <w:pPr>
        <w:adjustRightInd w:val="0"/>
        <w:snapToGrid w:val="0"/>
        <w:spacing w:line="360" w:lineRule="auto"/>
        <w:jc w:val="both"/>
        <w:rPr>
          <w:rFonts w:ascii="Times New Roman" w:hAnsi="Times New Roman"/>
          <w:bCs/>
          <w:szCs w:val="24"/>
        </w:rPr>
      </w:pPr>
    </w:p>
    <w:p w14:paraId="190CBF11" w14:textId="7F7AE7CC" w:rsidR="004744A0" w:rsidRPr="004D3F2B" w:rsidRDefault="00EA6771" w:rsidP="00EA6771">
      <w:pPr>
        <w:adjustRightInd w:val="0"/>
        <w:snapToGrid w:val="0"/>
        <w:spacing w:line="360" w:lineRule="auto"/>
        <w:jc w:val="both"/>
        <w:rPr>
          <w:rFonts w:ascii="Times New Roman" w:hAnsi="Times New Roman"/>
          <w:bCs/>
          <w:szCs w:val="24"/>
        </w:rPr>
      </w:pPr>
      <w:r w:rsidRPr="004D3F2B">
        <w:rPr>
          <w:rFonts w:ascii="Times New Roman" w:hAnsi="Times New Roman"/>
          <w:bCs/>
          <w:szCs w:val="24"/>
        </w:rPr>
        <w:t>Therefore, if one is a risk-averse investor, they might lean towards choosing China. If one is risk-neutral, the stability and growth potential of the US could be a better choice. For risk-seeking investors, the UK might offer opportunities for higher yields. Malaysia would suit those looking for emerging market opportunities.</w:t>
      </w:r>
    </w:p>
    <w:p w14:paraId="64EE1025" w14:textId="77777777" w:rsidR="0065482D" w:rsidRPr="004D3F2B" w:rsidRDefault="0065482D" w:rsidP="00EA6771">
      <w:pPr>
        <w:adjustRightInd w:val="0"/>
        <w:snapToGrid w:val="0"/>
        <w:spacing w:line="360" w:lineRule="auto"/>
        <w:jc w:val="both"/>
        <w:rPr>
          <w:rFonts w:ascii="Times New Roman" w:hAnsi="Times New Roman"/>
          <w:bCs/>
          <w:szCs w:val="24"/>
        </w:rPr>
      </w:pPr>
    </w:p>
    <w:p w14:paraId="4D2B4B57"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When comparing long-term (2002-2022) and short-term (2019-2022) data, we can observe some key differences and trends:</w:t>
      </w:r>
    </w:p>
    <w:p w14:paraId="10F6152F" w14:textId="77777777" w:rsidR="0065482D" w:rsidRPr="004D3F2B" w:rsidRDefault="0065482D" w:rsidP="0065482D">
      <w:pPr>
        <w:adjustRightInd w:val="0"/>
        <w:snapToGrid w:val="0"/>
        <w:spacing w:line="360" w:lineRule="auto"/>
        <w:jc w:val="both"/>
        <w:rPr>
          <w:rFonts w:ascii="Times New Roman" w:hAnsi="Times New Roman"/>
          <w:bCs/>
          <w:szCs w:val="24"/>
        </w:rPr>
      </w:pPr>
    </w:p>
    <w:p w14:paraId="4B9777FA"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Long-term Trends (2002-2022) show that Malaysia has maintained a stable inflation environment over the past two decades, while the UK has experienced greater fluctuations. The inflation rate volatility of the US and China falls between these two, with Hong Kong showing greater volatility in inflation rates, but maintaining a lower average rate of inflation.</w:t>
      </w:r>
    </w:p>
    <w:p w14:paraId="02D3FAE1" w14:textId="77777777" w:rsidR="0065482D" w:rsidRPr="004D3F2B" w:rsidRDefault="0065482D" w:rsidP="0065482D">
      <w:pPr>
        <w:adjustRightInd w:val="0"/>
        <w:snapToGrid w:val="0"/>
        <w:spacing w:line="360" w:lineRule="auto"/>
        <w:jc w:val="both"/>
        <w:rPr>
          <w:rFonts w:ascii="Times New Roman" w:hAnsi="Times New Roman"/>
          <w:bCs/>
          <w:szCs w:val="24"/>
        </w:rPr>
      </w:pPr>
    </w:p>
    <w:p w14:paraId="0CE28BBD" w14:textId="77777777"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Short-term Trends (2019-2022) indicate that Malaysia continues to demonstrate its stability, while inflationary pressures in the US have shown an upward trend but remain relatively stable. The UK's volatility continues to reflect the economic challenges it faces, particularly in the uncertain environment post-Brexit.</w:t>
      </w:r>
    </w:p>
    <w:p w14:paraId="02315611" w14:textId="77777777" w:rsidR="0065482D" w:rsidRPr="004D3F2B" w:rsidRDefault="0065482D" w:rsidP="0065482D">
      <w:pPr>
        <w:adjustRightInd w:val="0"/>
        <w:snapToGrid w:val="0"/>
        <w:spacing w:line="360" w:lineRule="auto"/>
        <w:jc w:val="both"/>
        <w:rPr>
          <w:rFonts w:ascii="Times New Roman" w:hAnsi="Times New Roman"/>
          <w:bCs/>
          <w:szCs w:val="24"/>
        </w:rPr>
      </w:pPr>
    </w:p>
    <w:p w14:paraId="20E2CA44" w14:textId="3C9E182F" w:rsidR="0065482D" w:rsidRPr="004D3F2B" w:rsidRDefault="0065482D" w:rsidP="0065482D">
      <w:pPr>
        <w:adjustRightInd w:val="0"/>
        <w:snapToGrid w:val="0"/>
        <w:spacing w:line="360" w:lineRule="auto"/>
        <w:jc w:val="both"/>
        <w:rPr>
          <w:rFonts w:ascii="Times New Roman" w:hAnsi="Times New Roman"/>
          <w:bCs/>
          <w:szCs w:val="24"/>
        </w:rPr>
      </w:pPr>
      <w:r w:rsidRPr="004D3F2B">
        <w:rPr>
          <w:rFonts w:ascii="Times New Roman" w:hAnsi="Times New Roman"/>
          <w:bCs/>
          <w:szCs w:val="24"/>
        </w:rPr>
        <w:t>Based on these observations, investment recommendations might vary depending on the time period considered:</w:t>
      </w:r>
      <w:r w:rsidR="00B259D5">
        <w:rPr>
          <w:rFonts w:ascii="Times New Roman" w:hAnsi="Times New Roman"/>
          <w:bCs/>
          <w:szCs w:val="24"/>
        </w:rPr>
        <w:t xml:space="preserve"> f</w:t>
      </w:r>
      <w:r w:rsidRPr="004D3F2B">
        <w:rPr>
          <w:rFonts w:ascii="Times New Roman" w:hAnsi="Times New Roman"/>
          <w:bCs/>
          <w:szCs w:val="24"/>
        </w:rPr>
        <w:t>or long-term investments, Malaysia might be the best choice due to its stable inflation environment and low inflation risk. China is also an attractive option due to its relatively stable inflation rates, especially for those looking to invest in emerging markets</w:t>
      </w:r>
      <w:r w:rsidR="00B259D5">
        <w:rPr>
          <w:rFonts w:ascii="Times New Roman" w:hAnsi="Times New Roman"/>
          <w:bCs/>
          <w:szCs w:val="24"/>
        </w:rPr>
        <w:t>; f</w:t>
      </w:r>
      <w:r w:rsidRPr="004D3F2B">
        <w:rPr>
          <w:rFonts w:ascii="Times New Roman" w:hAnsi="Times New Roman"/>
          <w:bCs/>
          <w:szCs w:val="24"/>
        </w:rPr>
        <w:t>or short-term investments, the US could be a better choice, as it has shown relatively stable inflationary pressures in recent years and possesses a mature financial market with a diversity of investment opportunities.</w:t>
      </w:r>
    </w:p>
    <w:p w14:paraId="1CB8A24D" w14:textId="77777777" w:rsidR="00EA6771" w:rsidRDefault="00EA6771" w:rsidP="00EA6771">
      <w:pPr>
        <w:adjustRightInd w:val="0"/>
        <w:snapToGrid w:val="0"/>
        <w:spacing w:line="360" w:lineRule="auto"/>
        <w:jc w:val="both"/>
        <w:rPr>
          <w:rFonts w:ascii="Times New Roman" w:hAnsi="Times New Roman"/>
          <w:bCs/>
          <w:color w:val="0000CC"/>
          <w:szCs w:val="24"/>
        </w:rPr>
      </w:pPr>
    </w:p>
    <w:p w14:paraId="52E26FDB" w14:textId="77777777" w:rsidR="000E7107" w:rsidRPr="004D3F2B" w:rsidRDefault="000E7107" w:rsidP="00EA6771">
      <w:pPr>
        <w:adjustRightInd w:val="0"/>
        <w:snapToGrid w:val="0"/>
        <w:spacing w:line="360" w:lineRule="auto"/>
        <w:jc w:val="both"/>
        <w:rPr>
          <w:rFonts w:ascii="Times New Roman" w:hAnsi="Times New Roman"/>
          <w:bCs/>
          <w:color w:val="0000CC"/>
          <w:szCs w:val="24"/>
        </w:rPr>
      </w:pPr>
    </w:p>
    <w:p w14:paraId="7B56C702" w14:textId="64923267" w:rsidR="0065482D" w:rsidRDefault="0065482D" w:rsidP="000E7107">
      <w:pPr>
        <w:adjustRightInd w:val="0"/>
        <w:snapToGrid w:val="0"/>
        <w:jc w:val="both"/>
        <w:rPr>
          <w:rFonts w:ascii="Times New Roman" w:hAnsi="Times New Roman"/>
          <w:b/>
          <w:szCs w:val="24"/>
        </w:rPr>
      </w:pPr>
      <w:r w:rsidRPr="004D3F2B">
        <w:rPr>
          <w:rFonts w:ascii="Times New Roman" w:hAnsi="Times New Roman"/>
          <w:b/>
          <w:szCs w:val="24"/>
        </w:rPr>
        <w:lastRenderedPageBreak/>
        <w:t xml:space="preserve">Table 3 Correlation Coefficients </w:t>
      </w:r>
      <w:r w:rsidR="0000586C">
        <w:rPr>
          <w:rFonts w:ascii="Times New Roman" w:hAnsi="Times New Roman"/>
          <w:b/>
          <w:szCs w:val="24"/>
        </w:rPr>
        <w:t xml:space="preserve">of consumer inflation </w:t>
      </w:r>
      <w:r w:rsidRPr="004D3F2B">
        <w:rPr>
          <w:rFonts w:ascii="Times New Roman" w:hAnsi="Times New Roman"/>
          <w:b/>
          <w:szCs w:val="24"/>
        </w:rPr>
        <w:t>in selected countries: 2019 to 2022</w:t>
      </w:r>
      <w:r w:rsidR="0000586C">
        <w:rPr>
          <w:rFonts w:ascii="Times New Roman" w:hAnsi="Times New Roman"/>
          <w:b/>
          <w:szCs w:val="24"/>
        </w:rPr>
        <w:t xml:space="preserve"> (%)</w:t>
      </w:r>
    </w:p>
    <w:p w14:paraId="715E181C" w14:textId="77777777" w:rsidR="000E7107" w:rsidRPr="000E7107" w:rsidRDefault="000E7107" w:rsidP="000E7107">
      <w:pPr>
        <w:adjustRightInd w:val="0"/>
        <w:snapToGrid w:val="0"/>
        <w:jc w:val="both"/>
        <w:rPr>
          <w:rFonts w:ascii="Times New Roman" w:hAnsi="Times New Roman"/>
          <w:b/>
          <w:szCs w:val="24"/>
        </w:rPr>
      </w:pPr>
    </w:p>
    <w:p w14:paraId="38E892EE" w14:textId="45262CD1" w:rsidR="0041712E" w:rsidRDefault="000E7107" w:rsidP="0041712E">
      <w:pPr>
        <w:adjustRightInd w:val="0"/>
        <w:snapToGrid w:val="0"/>
        <w:spacing w:line="360" w:lineRule="auto"/>
        <w:jc w:val="both"/>
        <w:rPr>
          <w:rFonts w:ascii="Times New Roman" w:hAnsi="Times New Roman"/>
          <w:bCs/>
          <w:szCs w:val="24"/>
        </w:rPr>
      </w:pPr>
      <w:r>
        <w:rPr>
          <w:rFonts w:ascii="Times New Roman" w:hAnsi="Times New Roman"/>
          <w:bCs/>
          <w:noProof/>
          <w:szCs w:val="24"/>
        </w:rPr>
        <w:drawing>
          <wp:inline distT="0" distB="0" distL="0" distR="0" wp14:anchorId="4B88BD70" wp14:editId="798D84A2">
            <wp:extent cx="6118860" cy="1432560"/>
            <wp:effectExtent l="0" t="0" r="0" b="0"/>
            <wp:docPr id="1358362622"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8860" cy="1432560"/>
                    </a:xfrm>
                    <a:prstGeom prst="rect">
                      <a:avLst/>
                    </a:prstGeom>
                    <a:noFill/>
                    <a:ln>
                      <a:noFill/>
                    </a:ln>
                  </pic:spPr>
                </pic:pic>
              </a:graphicData>
            </a:graphic>
          </wp:inline>
        </w:drawing>
      </w:r>
    </w:p>
    <w:p w14:paraId="5E3C363D" w14:textId="77777777" w:rsidR="000E7107" w:rsidRPr="004D3F2B" w:rsidRDefault="000E7107" w:rsidP="0041712E">
      <w:pPr>
        <w:adjustRightInd w:val="0"/>
        <w:snapToGrid w:val="0"/>
        <w:spacing w:line="360" w:lineRule="auto"/>
        <w:jc w:val="both"/>
        <w:rPr>
          <w:rFonts w:ascii="Times New Roman" w:hAnsi="Times New Roman"/>
          <w:bCs/>
          <w:szCs w:val="24"/>
        </w:rPr>
      </w:pPr>
    </w:p>
    <w:p w14:paraId="4AF4A6CF" w14:textId="7777777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Having analyzed the inflation rate correlations between Hong Kong, China, Malaysia, the United Kingdom, and the United States, we can draw the following conclusions and provide investment recommendations:</w:t>
      </w:r>
    </w:p>
    <w:p w14:paraId="26B01F7A" w14:textId="77777777" w:rsidR="0041712E" w:rsidRPr="004D3F2B" w:rsidRDefault="0041712E" w:rsidP="0041712E">
      <w:pPr>
        <w:adjustRightInd w:val="0"/>
        <w:snapToGrid w:val="0"/>
        <w:spacing w:line="360" w:lineRule="auto"/>
        <w:jc w:val="both"/>
        <w:rPr>
          <w:rFonts w:ascii="Times New Roman" w:hAnsi="Times New Roman"/>
          <w:bCs/>
          <w:szCs w:val="24"/>
        </w:rPr>
      </w:pPr>
    </w:p>
    <w:p w14:paraId="1C156D85" w14:textId="52DCC66E"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Hong Kong: Strongly influenced by China, and to a lesser extent by the economic activities of Malaysia and the United States. The investment climate here is closely tied to regional developments, especially those emanating from China.</w:t>
      </w:r>
    </w:p>
    <w:p w14:paraId="7D173817" w14:textId="7777777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   </w:t>
      </w:r>
    </w:p>
    <w:p w14:paraId="7ECFD412" w14:textId="0342913F"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China: Displays a strong correlation with Hong Kong but has weak or negligible correlations with the other regions. This indicates a regional focus in economic activities and inflation drivers.</w:t>
      </w:r>
    </w:p>
    <w:p w14:paraId="0607B15A" w14:textId="77777777" w:rsidR="0041712E" w:rsidRPr="004D3F2B" w:rsidRDefault="0041712E" w:rsidP="0041712E">
      <w:pPr>
        <w:adjustRightInd w:val="0"/>
        <w:snapToGrid w:val="0"/>
        <w:spacing w:line="360" w:lineRule="auto"/>
        <w:jc w:val="both"/>
        <w:rPr>
          <w:rFonts w:ascii="Times New Roman" w:hAnsi="Times New Roman"/>
          <w:bCs/>
          <w:szCs w:val="24"/>
        </w:rPr>
      </w:pPr>
    </w:p>
    <w:p w14:paraId="702B7214" w14:textId="1C8448D8"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Malaysia: Shows strong correlations with the United Kingdom and the United States, suggesting that it is significantly influenced by global economic trends, especially those from developed economies.</w:t>
      </w:r>
    </w:p>
    <w:p w14:paraId="4DC465CC" w14:textId="77777777" w:rsidR="0041712E" w:rsidRPr="004D3F2B" w:rsidRDefault="0041712E" w:rsidP="0041712E">
      <w:pPr>
        <w:adjustRightInd w:val="0"/>
        <w:snapToGrid w:val="0"/>
        <w:spacing w:line="360" w:lineRule="auto"/>
        <w:jc w:val="both"/>
        <w:rPr>
          <w:rFonts w:ascii="Times New Roman" w:hAnsi="Times New Roman"/>
          <w:bCs/>
          <w:szCs w:val="24"/>
        </w:rPr>
      </w:pPr>
    </w:p>
    <w:p w14:paraId="028218C2" w14:textId="038B03C9"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Kingdom: The strong positive correlation with Malaysia and the United States implies a considerable influence from these economies. The UK’s inflation rate seems more aligned with global economic trends, particularly those related to the US.</w:t>
      </w:r>
    </w:p>
    <w:p w14:paraId="53FC6F31" w14:textId="77777777" w:rsidR="0041712E" w:rsidRPr="004D3F2B" w:rsidRDefault="0041712E" w:rsidP="0041712E">
      <w:pPr>
        <w:adjustRightInd w:val="0"/>
        <w:snapToGrid w:val="0"/>
        <w:spacing w:line="360" w:lineRule="auto"/>
        <w:jc w:val="both"/>
        <w:rPr>
          <w:rFonts w:ascii="Times New Roman" w:hAnsi="Times New Roman"/>
          <w:bCs/>
          <w:szCs w:val="24"/>
        </w:rPr>
      </w:pPr>
    </w:p>
    <w:p w14:paraId="164284CB" w14:textId="7C6CF0D7" w:rsidR="0041712E" w:rsidRPr="004D3F2B" w:rsidRDefault="0041712E" w:rsidP="0041712E">
      <w:pPr>
        <w:adjustRightInd w:val="0"/>
        <w:snapToGrid w:val="0"/>
        <w:spacing w:line="360" w:lineRule="auto"/>
        <w:jc w:val="both"/>
        <w:rPr>
          <w:rFonts w:ascii="Times New Roman" w:hAnsi="Times New Roman"/>
          <w:bCs/>
          <w:szCs w:val="24"/>
        </w:rPr>
      </w:pPr>
      <w:r w:rsidRPr="004D3F2B">
        <w:rPr>
          <w:rFonts w:ascii="Times New Roman" w:hAnsi="Times New Roman"/>
          <w:bCs/>
          <w:szCs w:val="24"/>
        </w:rPr>
        <w:t>United States: Exhibits a varied correlation with the economies in question, with the strongest ties to Malaysia and the UK. While global trends are influential, the US also has unique domestic factors affecting its inflation rate.</w:t>
      </w:r>
    </w:p>
    <w:p w14:paraId="546B819D" w14:textId="77777777" w:rsidR="00B00238" w:rsidRPr="004D3F2B" w:rsidRDefault="00B00238" w:rsidP="0041712E">
      <w:pPr>
        <w:adjustRightInd w:val="0"/>
        <w:snapToGrid w:val="0"/>
        <w:spacing w:line="360" w:lineRule="auto"/>
        <w:jc w:val="both"/>
        <w:rPr>
          <w:rFonts w:ascii="Times New Roman" w:hAnsi="Times New Roman"/>
          <w:bCs/>
          <w:szCs w:val="24"/>
        </w:rPr>
      </w:pPr>
    </w:p>
    <w:p w14:paraId="19D13AAC" w14:textId="2E8E0B16"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Investment Recommendations (2019-2022):</w:t>
      </w:r>
    </w:p>
    <w:p w14:paraId="0AC49EC5"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 xml:space="preserve">Short-term data indicates that inflation rates in Malaysia and the United States are highly correlated with other regions, which may mean that these markets respond more uniformly to global economic events. Hong Kong investors might consider these regions for short-term investments, especially if </w:t>
      </w:r>
      <w:r w:rsidRPr="004D3F2B">
        <w:rPr>
          <w:rFonts w:ascii="Times New Roman" w:hAnsi="Times New Roman"/>
          <w:bCs/>
          <w:szCs w:val="24"/>
        </w:rPr>
        <w:lastRenderedPageBreak/>
        <w:t>they are looking to follow or hedge against global inflation trends.</w:t>
      </w:r>
    </w:p>
    <w:p w14:paraId="340BAD94" w14:textId="77777777" w:rsidR="00B00238" w:rsidRPr="004D3F2B" w:rsidRDefault="00B00238" w:rsidP="00B00238">
      <w:pPr>
        <w:adjustRightInd w:val="0"/>
        <w:snapToGrid w:val="0"/>
        <w:spacing w:line="360" w:lineRule="auto"/>
        <w:jc w:val="both"/>
        <w:rPr>
          <w:rFonts w:ascii="Times New Roman" w:hAnsi="Times New Roman"/>
          <w:bCs/>
          <w:szCs w:val="24"/>
        </w:rPr>
      </w:pPr>
    </w:p>
    <w:p w14:paraId="3F0EE194"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Investment Recommendations (2002-2022):</w:t>
      </w:r>
    </w:p>
    <w:p w14:paraId="38F0CA4D" w14:textId="77777777"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Given the generally low correlations over the long-term trend, investors in Hong Kong might seek to diversify investments across different regions to mitigate the impact of regional economic fluctuations. The low correlation between China and Hong Kong suggests that investing in the Chinese market could provide diversification benefits to the investment portfolio.</w:t>
      </w:r>
    </w:p>
    <w:p w14:paraId="22D67EF5" w14:textId="77777777" w:rsidR="00B00238" w:rsidRPr="004D3F2B" w:rsidRDefault="00B00238" w:rsidP="00B00238">
      <w:pPr>
        <w:adjustRightInd w:val="0"/>
        <w:snapToGrid w:val="0"/>
        <w:spacing w:line="360" w:lineRule="auto"/>
        <w:jc w:val="both"/>
        <w:rPr>
          <w:rFonts w:ascii="Times New Roman" w:hAnsi="Times New Roman"/>
          <w:bCs/>
          <w:szCs w:val="24"/>
        </w:rPr>
      </w:pPr>
    </w:p>
    <w:p w14:paraId="4524D6B5" w14:textId="534FA390" w:rsidR="00B00238" w:rsidRPr="004D3F2B" w:rsidRDefault="00B00238" w:rsidP="00B00238">
      <w:pPr>
        <w:adjustRightInd w:val="0"/>
        <w:snapToGrid w:val="0"/>
        <w:spacing w:line="360" w:lineRule="auto"/>
        <w:jc w:val="both"/>
        <w:rPr>
          <w:rFonts w:ascii="Times New Roman" w:hAnsi="Times New Roman"/>
          <w:bCs/>
          <w:szCs w:val="24"/>
        </w:rPr>
      </w:pPr>
      <w:r w:rsidRPr="004D3F2B">
        <w:rPr>
          <w:rFonts w:ascii="Times New Roman" w:hAnsi="Times New Roman"/>
          <w:bCs/>
          <w:szCs w:val="24"/>
        </w:rPr>
        <w:t>A comprehensive comparison of the two sets of data reveals changes in inflation correlation between regions over different time frames. In the long-term, lower correlations may reflect the impact of economic cycles and region-specific factors. In the short term, the increased correlation of some markets reflects the synchronized impact of global economic events on these markets. For investors in Hong Kong, this means that short-term investment strategies may need to pay closer attention to global economic trends, while long-term investment strategies should consider more the region-specific economic conditions and independence.</w:t>
      </w:r>
    </w:p>
    <w:p w14:paraId="10ED2FFF" w14:textId="19710037" w:rsidR="0041712E" w:rsidRPr="004D3F2B" w:rsidRDefault="0041712E" w:rsidP="0041712E">
      <w:pPr>
        <w:adjustRightInd w:val="0"/>
        <w:snapToGrid w:val="0"/>
        <w:spacing w:line="360" w:lineRule="auto"/>
        <w:jc w:val="both"/>
        <w:rPr>
          <w:rFonts w:ascii="Times New Roman" w:hAnsi="Times New Roman"/>
          <w:bCs/>
          <w:szCs w:val="24"/>
        </w:rPr>
      </w:pPr>
    </w:p>
    <w:p w14:paraId="3AA82CE2" w14:textId="1578AA42" w:rsidR="008D43A2" w:rsidRPr="004D3F2B" w:rsidRDefault="008D43A2" w:rsidP="008D43A2">
      <w:pPr>
        <w:widowControl/>
        <w:jc w:val="both"/>
        <w:rPr>
          <w:rFonts w:ascii="Times New Roman" w:hAnsi="Times New Roman"/>
          <w:b/>
          <w:szCs w:val="24"/>
        </w:rPr>
      </w:pPr>
      <w:r w:rsidRPr="004D3F2B">
        <w:rPr>
          <w:rFonts w:ascii="Times New Roman" w:hAnsi="Times New Roman"/>
          <w:b/>
          <w:szCs w:val="24"/>
        </w:rPr>
        <w:t>3.3 Summary</w:t>
      </w:r>
      <w:r w:rsidR="0000586C">
        <w:rPr>
          <w:rFonts w:ascii="Times New Roman" w:hAnsi="Times New Roman"/>
          <w:b/>
          <w:szCs w:val="24"/>
        </w:rPr>
        <w:t xml:space="preserve"> of findings</w:t>
      </w:r>
    </w:p>
    <w:p w14:paraId="7329B260" w14:textId="4465CBA6" w:rsidR="00F35DE0" w:rsidRPr="004D3F2B" w:rsidRDefault="00F35DE0" w:rsidP="008D43A2">
      <w:pPr>
        <w:widowControl/>
        <w:jc w:val="both"/>
        <w:rPr>
          <w:rFonts w:ascii="Times New Roman" w:hAnsi="Times New Roman"/>
          <w:b/>
          <w:szCs w:val="24"/>
        </w:rPr>
      </w:pPr>
    </w:p>
    <w:p w14:paraId="4478DAE1"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Upon completion of the aforementioned analyses, we have achieved our research objectives as follows:</w:t>
      </w:r>
    </w:p>
    <w:p w14:paraId="6B71BFFA" w14:textId="77777777" w:rsidR="00F35DE0" w:rsidRPr="004D3F2B" w:rsidRDefault="00F35DE0" w:rsidP="00F35DE0">
      <w:pPr>
        <w:widowControl/>
        <w:jc w:val="both"/>
        <w:rPr>
          <w:rFonts w:ascii="Times New Roman" w:hAnsi="Times New Roman"/>
          <w:szCs w:val="24"/>
        </w:rPr>
      </w:pPr>
    </w:p>
    <w:p w14:paraId="05DEDCA6"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Trends and Volatility: By comparing the average inflation rates and standard deviations, we have gained an understanding of the long-term trends and volatility in inflation across different countries. A higher standard deviation indicates greater volatility.</w:t>
      </w:r>
    </w:p>
    <w:p w14:paraId="51C38579" w14:textId="77777777" w:rsidR="00F35DE0" w:rsidRPr="004D3F2B" w:rsidRDefault="00F35DE0" w:rsidP="00F35DE0">
      <w:pPr>
        <w:widowControl/>
        <w:jc w:val="both"/>
        <w:rPr>
          <w:rFonts w:ascii="Times New Roman" w:hAnsi="Times New Roman"/>
          <w:szCs w:val="24"/>
        </w:rPr>
      </w:pPr>
    </w:p>
    <w:p w14:paraId="54E46380"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Risk Assessment: The coefficient of variation assists in evaluating the relative risk of inflation rates among different countries. A higher coefficient of variation may signify a higher investment risk.</w:t>
      </w:r>
    </w:p>
    <w:p w14:paraId="58C9F898" w14:textId="77777777" w:rsidR="00F35DE0" w:rsidRPr="004D3F2B" w:rsidRDefault="00F35DE0" w:rsidP="00F35DE0">
      <w:pPr>
        <w:widowControl/>
        <w:jc w:val="both"/>
        <w:rPr>
          <w:rFonts w:ascii="Times New Roman" w:hAnsi="Times New Roman"/>
          <w:szCs w:val="24"/>
        </w:rPr>
      </w:pPr>
    </w:p>
    <w:p w14:paraId="5752C9EA"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Extreme Value Analysis: By examining the maximum and minimum values, we can comprehend the potential extreme levels that inflation rates may reach.</w:t>
      </w:r>
    </w:p>
    <w:p w14:paraId="417BFE0D" w14:textId="77777777" w:rsidR="00F35DE0" w:rsidRPr="004D3F2B" w:rsidRDefault="00F35DE0" w:rsidP="00F35DE0">
      <w:pPr>
        <w:widowControl/>
        <w:jc w:val="both"/>
        <w:rPr>
          <w:rFonts w:ascii="Times New Roman" w:hAnsi="Times New Roman"/>
          <w:szCs w:val="24"/>
        </w:rPr>
      </w:pPr>
      <w:r w:rsidRPr="004D3F2B">
        <w:rPr>
          <w:rFonts w:ascii="Times New Roman" w:hAnsi="Times New Roman"/>
          <w:szCs w:val="24"/>
        </w:rPr>
        <w:t>Correlation Analysis: The correlation coefficients between the inflation rates can reveal the interconnectedness of inflation across different country markets. Strong correlations may indicate the influence of global economic factors, while low correlations could suggest the independent impact of domestic economic policies and conditions.</w:t>
      </w:r>
    </w:p>
    <w:p w14:paraId="4CCE0E84" w14:textId="77777777" w:rsidR="00F35DE0" w:rsidRPr="004D3F2B" w:rsidRDefault="00F35DE0" w:rsidP="00F35DE0">
      <w:pPr>
        <w:widowControl/>
        <w:jc w:val="both"/>
        <w:rPr>
          <w:rFonts w:ascii="Times New Roman" w:hAnsi="Times New Roman"/>
          <w:szCs w:val="24"/>
        </w:rPr>
      </w:pPr>
    </w:p>
    <w:p w14:paraId="10428AE8" w14:textId="531B1BDD" w:rsidR="00F35DE0" w:rsidRPr="004D3F2B" w:rsidRDefault="00F35DE0" w:rsidP="00F35DE0">
      <w:pPr>
        <w:widowControl/>
        <w:jc w:val="both"/>
        <w:rPr>
          <w:rFonts w:ascii="Times New Roman" w:hAnsi="Times New Roman"/>
          <w:szCs w:val="24"/>
        </w:rPr>
      </w:pPr>
      <w:r w:rsidRPr="004D3F2B">
        <w:rPr>
          <w:rFonts w:ascii="Times New Roman" w:hAnsi="Times New Roman"/>
          <w:szCs w:val="24"/>
        </w:rPr>
        <w:lastRenderedPageBreak/>
        <w:t>These analytical results can help the investment fund company to understand the inflation dynamics of different markets, evaluate the geographic diversification strategy of their investment portfolio, and make more informed investment decisions.</w:t>
      </w:r>
    </w:p>
    <w:p w14:paraId="5208C4E0" w14:textId="77777777" w:rsidR="00F35DE0" w:rsidRPr="004D3F2B" w:rsidRDefault="00F35DE0" w:rsidP="00F35DE0">
      <w:pPr>
        <w:widowControl/>
        <w:jc w:val="both"/>
        <w:rPr>
          <w:rFonts w:ascii="Times New Roman" w:hAnsi="Times New Roman"/>
          <w:szCs w:val="24"/>
        </w:rPr>
      </w:pPr>
    </w:p>
    <w:p w14:paraId="49221670" w14:textId="13448C71" w:rsidR="007F32F4" w:rsidRPr="004D3F2B" w:rsidRDefault="007F32F4" w:rsidP="007F32F4">
      <w:pPr>
        <w:widowControl/>
        <w:adjustRightInd w:val="0"/>
        <w:snapToGrid w:val="0"/>
        <w:spacing w:line="360" w:lineRule="auto"/>
        <w:jc w:val="both"/>
        <w:rPr>
          <w:rFonts w:ascii="Times New Roman" w:hAnsi="Times New Roman"/>
          <w:b/>
          <w:bCs/>
          <w:szCs w:val="24"/>
        </w:rPr>
      </w:pPr>
      <w:r w:rsidRPr="004D3F2B">
        <w:rPr>
          <w:rFonts w:ascii="Times New Roman" w:hAnsi="Times New Roman"/>
          <w:b/>
          <w:bCs/>
          <w:szCs w:val="24"/>
        </w:rPr>
        <w:t xml:space="preserve">4   Conclusion and recommendations </w:t>
      </w:r>
    </w:p>
    <w:p w14:paraId="5E05C947" w14:textId="77777777" w:rsidR="007F32F4" w:rsidRPr="004D3F2B" w:rsidRDefault="007F32F4" w:rsidP="007F32F4">
      <w:pPr>
        <w:widowControl/>
        <w:adjustRightInd w:val="0"/>
        <w:snapToGrid w:val="0"/>
        <w:spacing w:line="360" w:lineRule="auto"/>
        <w:jc w:val="both"/>
        <w:rPr>
          <w:rFonts w:ascii="Times New Roman" w:hAnsi="Times New Roman"/>
          <w:b/>
          <w:bCs/>
          <w:szCs w:val="24"/>
        </w:rPr>
      </w:pPr>
    </w:p>
    <w:p w14:paraId="1F0797EA" w14:textId="21D0DAB1" w:rsidR="007F32F4" w:rsidRPr="004D3F2B" w:rsidRDefault="00CF7636" w:rsidP="007F32F4">
      <w:pPr>
        <w:adjustRightInd w:val="0"/>
        <w:snapToGrid w:val="0"/>
        <w:spacing w:line="360" w:lineRule="auto"/>
        <w:jc w:val="both"/>
        <w:rPr>
          <w:rFonts w:ascii="Times New Roman" w:hAnsi="Times New Roman"/>
          <w:b/>
          <w:bCs/>
          <w:szCs w:val="24"/>
        </w:rPr>
      </w:pPr>
      <w:r>
        <w:rPr>
          <w:rFonts w:ascii="Times New Roman" w:hAnsi="Times New Roman"/>
          <w:b/>
          <w:bCs/>
          <w:szCs w:val="24"/>
        </w:rPr>
        <w:t>4.1</w:t>
      </w:r>
      <w:r>
        <w:rPr>
          <w:rFonts w:ascii="Times New Roman" w:hAnsi="Times New Roman"/>
          <w:b/>
          <w:bCs/>
          <w:szCs w:val="24"/>
        </w:rPr>
        <w:tab/>
        <w:t>Conclusion</w:t>
      </w:r>
      <w:r w:rsidR="007F32F4" w:rsidRPr="004D3F2B">
        <w:rPr>
          <w:rFonts w:ascii="Times New Roman" w:hAnsi="Times New Roman"/>
          <w:b/>
          <w:szCs w:val="24"/>
        </w:rPr>
        <w:t>:</w:t>
      </w:r>
      <w:r>
        <w:rPr>
          <w:rFonts w:ascii="Times New Roman" w:hAnsi="Times New Roman"/>
          <w:b/>
          <w:szCs w:val="24"/>
        </w:rPr>
        <w:t xml:space="preserve"> </w:t>
      </w:r>
    </w:p>
    <w:p w14:paraId="46CEE74B" w14:textId="5F647456" w:rsidR="006510BB" w:rsidRDefault="006510BB" w:rsidP="002C6D2E">
      <w:pPr>
        <w:widowControl/>
        <w:jc w:val="both"/>
        <w:rPr>
          <w:rFonts w:ascii="Times New Roman" w:hAnsi="Times New Roman"/>
          <w:bCs/>
          <w:szCs w:val="24"/>
        </w:rPr>
      </w:pPr>
      <w:r w:rsidRPr="006510BB">
        <w:rPr>
          <w:rFonts w:ascii="Times New Roman" w:hAnsi="Times New Roman"/>
          <w:bCs/>
          <w:szCs w:val="24"/>
        </w:rPr>
        <w:t>The analysis underlines the nuanced relationship between inflation dynamics and investment decision-making, emphasizing that mere awareness of average inflation rates is insufficient. A deeper understanding of inflation's volatility and its extreme potentialities is pivotal for crafting robust investment strategies. Moreover, the interplay between global economic forces and domestic policies, as revealed through correlation analysis, necessitates a strategic approach to geographic diversification. This multifaceted insight into inflation's behavior aids the investment fund company in refining its portfolio strategy, ensuring resilience and adaptability in the face of global economic fluctuations.</w:t>
      </w:r>
    </w:p>
    <w:p w14:paraId="608DBDA8" w14:textId="77777777" w:rsidR="00FC53DC" w:rsidRDefault="00FC53DC" w:rsidP="002C6D2E">
      <w:pPr>
        <w:widowControl/>
        <w:jc w:val="both"/>
        <w:rPr>
          <w:rFonts w:ascii="Times New Roman" w:hAnsi="Times New Roman"/>
          <w:bCs/>
          <w:szCs w:val="24"/>
        </w:rPr>
      </w:pPr>
    </w:p>
    <w:p w14:paraId="7F5864EC" w14:textId="77777777"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Analyzing the theoretical relationship between a country's Consumer Price Index (CPI) inflation trends and investors' decisions to invest in that country involves several key aspects, supported by research findings:</w:t>
      </w:r>
    </w:p>
    <w:p w14:paraId="7D24BDEC" w14:textId="77777777" w:rsidR="00FC53DC" w:rsidRPr="00FC53DC" w:rsidRDefault="00FC53DC" w:rsidP="00FC53DC">
      <w:pPr>
        <w:widowControl/>
        <w:jc w:val="both"/>
        <w:rPr>
          <w:rFonts w:ascii="Times New Roman" w:hAnsi="Times New Roman"/>
          <w:bCs/>
          <w:szCs w:val="24"/>
        </w:rPr>
      </w:pPr>
    </w:p>
    <w:p w14:paraId="59B39F7E" w14:textId="677E74F0"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Inflation and Investment Growth: Inflation not only impacts the performance of the financial sector but also directly affects investment growth. An analytical study by Zhou Jin (2014) found a long-term stable relationship between inflation and economic growth, with a two-way Granger causality. The study indicates that economic growth promotes investment growth, which in turn can lead to higher inflation. Conversely, inflation expansion raises the level of investment growth, subsequently affecting economic growth.</w:t>
      </w:r>
    </w:p>
    <w:p w14:paraId="5AFA78C4" w14:textId="77777777" w:rsidR="00FC53DC" w:rsidRPr="00FC53DC" w:rsidRDefault="00FC53DC" w:rsidP="00FC53DC">
      <w:pPr>
        <w:widowControl/>
        <w:jc w:val="both"/>
        <w:rPr>
          <w:rFonts w:ascii="Times New Roman" w:hAnsi="Times New Roman"/>
          <w:bCs/>
          <w:szCs w:val="24"/>
        </w:rPr>
      </w:pPr>
    </w:p>
    <w:p w14:paraId="55F7E8CB" w14:textId="71208889"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Inflation, Taxation, and Long-Term Growth: The relationship between inflation, taxation, and long-term economic growth is explored in a study by Gregorio (1993), which emphasizes how inflation affects the rate of investment and the productivity of investment through different channels. High rates of inflation, as a result of inefficiencies in the tax system, can negatively impact economic growth by reducing the level and efficiency of investment</w:t>
      </w:r>
      <w:r>
        <w:rPr>
          <w:rFonts w:ascii="Times New Roman" w:hAnsi="Times New Roman"/>
          <w:bCs/>
          <w:szCs w:val="24"/>
        </w:rPr>
        <w:t>.</w:t>
      </w:r>
    </w:p>
    <w:p w14:paraId="22AA9BAC" w14:textId="77777777" w:rsidR="00FC53DC" w:rsidRPr="00FC53DC" w:rsidRDefault="00FC53DC" w:rsidP="00FC53DC">
      <w:pPr>
        <w:widowControl/>
        <w:jc w:val="both"/>
        <w:rPr>
          <w:rFonts w:ascii="Times New Roman" w:hAnsi="Times New Roman"/>
          <w:bCs/>
          <w:szCs w:val="24"/>
        </w:rPr>
      </w:pPr>
    </w:p>
    <w:p w14:paraId="0622ECDB" w14:textId="2A55B3FB" w:rsidR="00FC53DC" w:rsidRPr="00FC53DC" w:rsidRDefault="00FC53DC" w:rsidP="00FC53DC">
      <w:pPr>
        <w:widowControl/>
        <w:jc w:val="both"/>
        <w:rPr>
          <w:rFonts w:ascii="Times New Roman" w:hAnsi="Times New Roman"/>
          <w:bCs/>
          <w:szCs w:val="24"/>
        </w:rPr>
      </w:pPr>
      <w:r w:rsidRPr="00FC53DC">
        <w:rPr>
          <w:rFonts w:ascii="Times New Roman" w:hAnsi="Times New Roman"/>
          <w:bCs/>
          <w:szCs w:val="24"/>
        </w:rPr>
        <w:t xml:space="preserve">Inflation Expectations and Investment Plans: A study by Grasso &amp; </w:t>
      </w:r>
      <w:proofErr w:type="spellStart"/>
      <w:r w:rsidRPr="00FC53DC">
        <w:rPr>
          <w:rFonts w:ascii="Times New Roman" w:hAnsi="Times New Roman"/>
          <w:bCs/>
          <w:szCs w:val="24"/>
        </w:rPr>
        <w:t>Ropele</w:t>
      </w:r>
      <w:proofErr w:type="spellEnd"/>
      <w:r w:rsidRPr="00FC53DC">
        <w:rPr>
          <w:rFonts w:ascii="Times New Roman" w:hAnsi="Times New Roman"/>
          <w:bCs/>
          <w:szCs w:val="24"/>
        </w:rPr>
        <w:t xml:space="preserve"> (2018) investigates the relationship between firms' inflation expectations and their investment plans. The study reveals that higher expected inflation is positively correlated with firms' willingness to invest, suggesting that inflation expectations can influence investment decisions and performance.</w:t>
      </w:r>
    </w:p>
    <w:p w14:paraId="04E53919" w14:textId="77777777" w:rsidR="00FC53DC" w:rsidRPr="00FC53DC" w:rsidRDefault="00FC53DC" w:rsidP="00FC53DC">
      <w:pPr>
        <w:widowControl/>
        <w:jc w:val="both"/>
        <w:rPr>
          <w:rFonts w:ascii="Times New Roman" w:hAnsi="Times New Roman"/>
          <w:bCs/>
          <w:szCs w:val="24"/>
        </w:rPr>
      </w:pPr>
    </w:p>
    <w:p w14:paraId="1894578F" w14:textId="68CC15A6" w:rsidR="00FC53DC" w:rsidRDefault="00FC53DC" w:rsidP="00FC53DC">
      <w:pPr>
        <w:widowControl/>
        <w:jc w:val="both"/>
        <w:rPr>
          <w:rFonts w:ascii="Times New Roman" w:hAnsi="Times New Roman"/>
          <w:bCs/>
          <w:szCs w:val="24"/>
        </w:rPr>
      </w:pPr>
      <w:r w:rsidRPr="00FC53DC">
        <w:rPr>
          <w:rFonts w:ascii="Times New Roman" w:hAnsi="Times New Roman"/>
          <w:bCs/>
          <w:szCs w:val="24"/>
        </w:rPr>
        <w:lastRenderedPageBreak/>
        <w:t>In summary, the theoretical relationship between a country's CPI inflation trends and investors' decisions to invest there involves the impact of inflation on the financial sector, direct effects on investment growth, and the influence of inflation expectations on investment decisions. These research findings provide a theoretical basis for investors to make informed decisions in varying inflationary environments.</w:t>
      </w:r>
    </w:p>
    <w:p w14:paraId="3B24360A" w14:textId="77777777" w:rsidR="006510BB" w:rsidRDefault="006510BB" w:rsidP="002C6D2E">
      <w:pPr>
        <w:widowControl/>
        <w:jc w:val="both"/>
        <w:rPr>
          <w:rFonts w:ascii="Times New Roman" w:hAnsi="Times New Roman"/>
          <w:bCs/>
          <w:szCs w:val="24"/>
        </w:rPr>
      </w:pPr>
    </w:p>
    <w:p w14:paraId="39925415" w14:textId="0A8C1592" w:rsidR="002D2559" w:rsidRPr="004D3F2B" w:rsidRDefault="008D43A2" w:rsidP="002C6D2E">
      <w:pPr>
        <w:widowControl/>
        <w:jc w:val="both"/>
        <w:rPr>
          <w:rFonts w:ascii="Times New Roman" w:hAnsi="Times New Roman"/>
          <w:b/>
          <w:szCs w:val="24"/>
        </w:rPr>
      </w:pPr>
      <w:r w:rsidRPr="004D3F2B">
        <w:rPr>
          <w:rFonts w:ascii="Times New Roman" w:hAnsi="Times New Roman"/>
          <w:b/>
          <w:szCs w:val="24"/>
        </w:rPr>
        <w:t>4</w:t>
      </w:r>
      <w:r w:rsidR="002D2559" w:rsidRPr="004D3F2B">
        <w:rPr>
          <w:rFonts w:ascii="Times New Roman" w:hAnsi="Times New Roman"/>
          <w:b/>
          <w:szCs w:val="24"/>
        </w:rPr>
        <w:t>.2 Recommendations</w:t>
      </w:r>
    </w:p>
    <w:p w14:paraId="6E13BD3C" w14:textId="77777777" w:rsidR="00F35DE0" w:rsidRPr="004D3F2B" w:rsidRDefault="00F35DE0" w:rsidP="002C6D2E">
      <w:pPr>
        <w:widowControl/>
        <w:jc w:val="both"/>
        <w:rPr>
          <w:rFonts w:ascii="Times New Roman" w:hAnsi="Times New Roman"/>
          <w:b/>
          <w:szCs w:val="24"/>
        </w:rPr>
      </w:pPr>
    </w:p>
    <w:p w14:paraId="53DBE0A9"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Given the close economic ties between Hong Kong and China, as well as the moderate correlation between their inflation rates, China may be an attractive investment destination for investors seeking exposure to the Hong Kong market. China's macroeconomic policies and regional economic integration processes may have a significant impact on Hong Kong, so it is crucial to closely monitor China's economic trends and policy changes for making wise investment decisions.</w:t>
      </w:r>
    </w:p>
    <w:p w14:paraId="3546915B" w14:textId="77777777" w:rsidR="00F35DE0" w:rsidRPr="004D3F2B" w:rsidRDefault="00F35DE0" w:rsidP="00F35DE0">
      <w:pPr>
        <w:widowControl/>
        <w:jc w:val="both"/>
        <w:rPr>
          <w:rFonts w:ascii="Times New Roman" w:hAnsi="Times New Roman"/>
          <w:bCs/>
          <w:szCs w:val="24"/>
        </w:rPr>
      </w:pPr>
    </w:p>
    <w:p w14:paraId="6F43215A"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At the same time, Malaysia, as an emerging market with strong links to Hong Kong, could also be a region for Hong Kong investors to consider. The close collaboration between the two in trade and investment could offer favorable opportunities for Hong Kong investors.</w:t>
      </w:r>
    </w:p>
    <w:p w14:paraId="7D637CF7" w14:textId="77777777" w:rsidR="00F35DE0" w:rsidRPr="004D3F2B" w:rsidRDefault="00F35DE0" w:rsidP="00F35DE0">
      <w:pPr>
        <w:widowControl/>
        <w:jc w:val="both"/>
        <w:rPr>
          <w:rFonts w:ascii="Times New Roman" w:hAnsi="Times New Roman"/>
          <w:bCs/>
          <w:szCs w:val="24"/>
        </w:rPr>
      </w:pPr>
    </w:p>
    <w:p w14:paraId="6CBE18EC" w14:textId="77777777" w:rsidR="00F35DE0" w:rsidRPr="004D3F2B" w:rsidRDefault="00F35DE0" w:rsidP="00F35DE0">
      <w:pPr>
        <w:widowControl/>
        <w:jc w:val="both"/>
        <w:rPr>
          <w:rFonts w:ascii="Times New Roman" w:hAnsi="Times New Roman"/>
          <w:bCs/>
          <w:szCs w:val="24"/>
        </w:rPr>
      </w:pPr>
      <w:r w:rsidRPr="004D3F2B">
        <w:rPr>
          <w:rFonts w:ascii="Times New Roman" w:hAnsi="Times New Roman"/>
          <w:bCs/>
          <w:szCs w:val="24"/>
        </w:rPr>
        <w:t>Although the correlation with the inflation rates of the UK and the US is relatively weak, given the importance of both countries in the global economy, Hong Kong investors should still keep a close watch on the economic and policy dynamics of these two markets, especially the potential widespread impact of the US market on global financial markets.</w:t>
      </w:r>
    </w:p>
    <w:p w14:paraId="3DB08890" w14:textId="77777777" w:rsidR="002D2559" w:rsidRPr="004D3F2B" w:rsidRDefault="002D2559" w:rsidP="002C6D2E">
      <w:pPr>
        <w:widowControl/>
        <w:jc w:val="both"/>
        <w:rPr>
          <w:rFonts w:ascii="Times New Roman" w:hAnsi="Times New Roman"/>
          <w:bCs/>
          <w:szCs w:val="24"/>
        </w:rPr>
      </w:pPr>
    </w:p>
    <w:p w14:paraId="64C4D470" w14:textId="36DF8992" w:rsidR="00C57406" w:rsidRDefault="002D2559" w:rsidP="002C6D2E">
      <w:pPr>
        <w:widowControl/>
        <w:jc w:val="both"/>
        <w:rPr>
          <w:rFonts w:ascii="Times New Roman" w:hAnsi="Times New Roman"/>
          <w:bCs/>
          <w:szCs w:val="24"/>
        </w:rPr>
      </w:pPr>
      <w:r w:rsidRPr="004D3F2B">
        <w:rPr>
          <w:rFonts w:ascii="Times New Roman" w:hAnsi="Times New Roman"/>
          <w:bCs/>
          <w:szCs w:val="24"/>
        </w:rPr>
        <w:t xml:space="preserve">In conclusion, for Hong Kong investors, </w:t>
      </w:r>
      <w:r w:rsidR="00ED40BD" w:rsidRPr="004D3F2B">
        <w:rPr>
          <w:rFonts w:ascii="Times New Roman" w:hAnsi="Times New Roman"/>
          <w:bCs/>
          <w:szCs w:val="24"/>
        </w:rPr>
        <w:t xml:space="preserve">I recommend </w:t>
      </w:r>
      <w:r w:rsidR="00B259D5">
        <w:rPr>
          <w:rFonts w:ascii="Times New Roman" w:hAnsi="Times New Roman"/>
          <w:bCs/>
          <w:szCs w:val="24"/>
        </w:rPr>
        <w:t>i</w:t>
      </w:r>
      <w:r w:rsidR="00B259D5" w:rsidRPr="004D3F2B">
        <w:rPr>
          <w:rFonts w:ascii="Times New Roman" w:hAnsi="Times New Roman"/>
          <w:bCs/>
          <w:szCs w:val="24"/>
        </w:rPr>
        <w:t>nvesting</w:t>
      </w:r>
      <w:r w:rsidR="00ED40BD" w:rsidRPr="004D3F2B">
        <w:rPr>
          <w:rFonts w:ascii="Times New Roman" w:hAnsi="Times New Roman"/>
          <w:bCs/>
          <w:szCs w:val="24"/>
        </w:rPr>
        <w:t xml:space="preserve"> </w:t>
      </w:r>
      <w:r w:rsidR="00B259D5">
        <w:rPr>
          <w:rFonts w:ascii="Times New Roman" w:hAnsi="Times New Roman"/>
          <w:bCs/>
          <w:szCs w:val="24"/>
        </w:rPr>
        <w:t xml:space="preserve">in </w:t>
      </w:r>
      <w:r w:rsidRPr="004D3F2B">
        <w:rPr>
          <w:rFonts w:ascii="Times New Roman" w:hAnsi="Times New Roman"/>
          <w:bCs/>
          <w:szCs w:val="24"/>
        </w:rPr>
        <w:t xml:space="preserve">China </w:t>
      </w:r>
      <w:r w:rsidR="00421BAD">
        <w:rPr>
          <w:rFonts w:ascii="Times New Roman" w:hAnsi="Times New Roman"/>
          <w:bCs/>
          <w:szCs w:val="24"/>
        </w:rPr>
        <w:t xml:space="preserve">or </w:t>
      </w:r>
      <w:r w:rsidRPr="004D3F2B">
        <w:rPr>
          <w:rFonts w:ascii="Times New Roman" w:hAnsi="Times New Roman"/>
          <w:bCs/>
          <w:szCs w:val="24"/>
        </w:rPr>
        <w:t>Malaysia</w:t>
      </w:r>
      <w:r w:rsidR="00ED40BD" w:rsidRPr="004D3F2B">
        <w:rPr>
          <w:rFonts w:ascii="Times New Roman" w:hAnsi="Times New Roman"/>
          <w:bCs/>
          <w:szCs w:val="24"/>
        </w:rPr>
        <w:t xml:space="preserve">, it </w:t>
      </w:r>
      <w:r w:rsidR="00B259D5">
        <w:rPr>
          <w:rFonts w:ascii="Times New Roman" w:hAnsi="Times New Roman"/>
          <w:bCs/>
          <w:szCs w:val="24"/>
        </w:rPr>
        <w:t xml:space="preserve">is a </w:t>
      </w:r>
      <w:r w:rsidRPr="004D3F2B">
        <w:rPr>
          <w:rFonts w:ascii="Times New Roman" w:hAnsi="Times New Roman"/>
          <w:bCs/>
          <w:szCs w:val="24"/>
        </w:rPr>
        <w:t>suitable investment choice in the current environment, particularly considering their close economic ties with Hong Kong and the correlation with inflation rates.</w:t>
      </w:r>
    </w:p>
    <w:p w14:paraId="3FFD398C" w14:textId="77777777" w:rsidR="00B259D5" w:rsidRDefault="00B259D5" w:rsidP="002C6D2E">
      <w:pPr>
        <w:widowControl/>
        <w:jc w:val="both"/>
        <w:rPr>
          <w:rFonts w:ascii="Times New Roman" w:hAnsi="Times New Roman"/>
          <w:bCs/>
          <w:szCs w:val="24"/>
        </w:rPr>
      </w:pPr>
    </w:p>
    <w:p w14:paraId="62D4F9E2" w14:textId="77777777" w:rsidR="00B259D5" w:rsidRPr="004D3F2B" w:rsidRDefault="00B259D5" w:rsidP="002C6D2E">
      <w:pPr>
        <w:widowControl/>
        <w:jc w:val="both"/>
        <w:rPr>
          <w:rFonts w:ascii="Times New Roman" w:hAnsi="Times New Roman"/>
          <w:bCs/>
          <w:szCs w:val="24"/>
        </w:rPr>
      </w:pPr>
    </w:p>
    <w:p w14:paraId="3B002BAB" w14:textId="44474DFA" w:rsidR="00FE2BDF" w:rsidRDefault="007520B9" w:rsidP="00F35DE0">
      <w:pPr>
        <w:widowControl/>
        <w:jc w:val="both"/>
        <w:rPr>
          <w:rFonts w:ascii="Times New Roman" w:hAnsi="Times New Roman"/>
          <w:b/>
          <w:bCs/>
          <w:color w:val="0000CC"/>
          <w:szCs w:val="24"/>
        </w:rPr>
      </w:pPr>
      <w:r w:rsidRPr="004D3F2B">
        <w:rPr>
          <w:rFonts w:ascii="Times New Roman" w:hAnsi="Times New Roman"/>
          <w:b/>
          <w:bCs/>
          <w:szCs w:val="24"/>
        </w:rPr>
        <w:br w:type="page"/>
      </w:r>
      <w:r w:rsidR="00BD439E" w:rsidRPr="004D3F2B">
        <w:rPr>
          <w:rFonts w:ascii="Times New Roman" w:hAnsi="Times New Roman"/>
          <w:b/>
          <w:bCs/>
          <w:szCs w:val="24"/>
        </w:rPr>
        <w:lastRenderedPageBreak/>
        <w:t>References</w:t>
      </w:r>
      <w:r w:rsidR="001F3715" w:rsidRPr="004D3F2B">
        <w:rPr>
          <w:rFonts w:ascii="Times New Roman" w:hAnsi="Times New Roman"/>
          <w:b/>
          <w:bCs/>
          <w:color w:val="0000CC"/>
          <w:szCs w:val="24"/>
        </w:rPr>
        <w:t xml:space="preserve"> </w:t>
      </w:r>
    </w:p>
    <w:p w14:paraId="32C883B3" w14:textId="77777777" w:rsidR="00C56763" w:rsidRPr="00C56763" w:rsidRDefault="00C56763" w:rsidP="00F35DE0">
      <w:pPr>
        <w:widowControl/>
        <w:jc w:val="both"/>
        <w:rPr>
          <w:rFonts w:ascii="Times New Roman" w:hAnsi="Times New Roman"/>
          <w:b/>
          <w:bCs/>
          <w:color w:val="0000CC"/>
          <w:szCs w:val="24"/>
        </w:rPr>
      </w:pPr>
    </w:p>
    <w:p w14:paraId="6D43A5EB" w14:textId="63421FDE" w:rsidR="00245CCC" w:rsidRPr="00245CCC" w:rsidRDefault="00245CCC" w:rsidP="00F35DE0">
      <w:pPr>
        <w:widowControl/>
        <w:jc w:val="both"/>
        <w:rPr>
          <w:rFonts w:ascii="Times New Roman" w:hAnsi="Times New Roman"/>
          <w:b/>
          <w:bCs/>
          <w:color w:val="0000CC"/>
          <w:szCs w:val="24"/>
        </w:rPr>
      </w:pPr>
      <w:proofErr w:type="spellStart"/>
      <w:r w:rsidRPr="00245CCC">
        <w:rPr>
          <w:rFonts w:ascii="Times New Roman" w:hAnsi="Times New Roman"/>
          <w:color w:val="000000"/>
          <w:szCs w:val="24"/>
        </w:rPr>
        <w:t>Ogrokhina</w:t>
      </w:r>
      <w:proofErr w:type="spellEnd"/>
      <w:r w:rsidRPr="00245CCC">
        <w:rPr>
          <w:rFonts w:ascii="Times New Roman" w:hAnsi="Times New Roman"/>
          <w:color w:val="000000"/>
          <w:szCs w:val="24"/>
        </w:rPr>
        <w:t>, O., &amp; Rodriguez, C., 2018. The role of inflation targeting in international debt denomination in developing countries. </w:t>
      </w:r>
      <w:r w:rsidRPr="00245CCC">
        <w:rPr>
          <w:rStyle w:val="afa"/>
          <w:rFonts w:ascii="Times New Roman" w:hAnsi="Times New Roman"/>
          <w:color w:val="000000"/>
          <w:szCs w:val="24"/>
          <w:bdr w:val="single" w:sz="2" w:space="0" w:color="DEE0E3" w:frame="1"/>
        </w:rPr>
        <w:t>Journal of International Economics</w:t>
      </w:r>
      <w:r w:rsidRPr="00245CCC">
        <w:rPr>
          <w:rFonts w:ascii="Times New Roman" w:hAnsi="Times New Roman"/>
          <w:color w:val="000000"/>
          <w:szCs w:val="24"/>
        </w:rPr>
        <w:t>. https://doi.org/10.1016/J.JINTECO.2018.06.002.</w:t>
      </w:r>
    </w:p>
    <w:p w14:paraId="241DFEC9" w14:textId="5B9B3BE1" w:rsidR="00C56763" w:rsidRDefault="00C56763" w:rsidP="00A1610E">
      <w:pPr>
        <w:widowControl/>
        <w:snapToGrid w:val="0"/>
        <w:rPr>
          <w:rFonts w:ascii="Times New Roman" w:eastAsia="SimSun" w:hAnsi="Times New Roman"/>
          <w:color w:val="000000"/>
          <w:kern w:val="0"/>
          <w:szCs w:val="24"/>
          <w:lang w:eastAsia="zh-CN"/>
        </w:rPr>
      </w:pPr>
    </w:p>
    <w:p w14:paraId="66A63853" w14:textId="77777777" w:rsidR="00C56763" w:rsidRDefault="00C56763" w:rsidP="00C56763">
      <w:pPr>
        <w:widowControl/>
        <w:jc w:val="both"/>
        <w:rPr>
          <w:rFonts w:ascii="Times New Roman" w:hAnsi="Times New Roman"/>
          <w:color w:val="000000"/>
          <w:szCs w:val="24"/>
        </w:rPr>
      </w:pPr>
      <w:proofErr w:type="spellStart"/>
      <w:r w:rsidRPr="00C56763">
        <w:rPr>
          <w:rFonts w:ascii="Times New Roman" w:hAnsi="Times New Roman"/>
          <w:color w:val="000000"/>
          <w:szCs w:val="24"/>
        </w:rPr>
        <w:t>Cieślak</w:t>
      </w:r>
      <w:proofErr w:type="spellEnd"/>
      <w:r w:rsidRPr="00C56763">
        <w:rPr>
          <w:rFonts w:ascii="Times New Roman" w:hAnsi="Times New Roman"/>
          <w:color w:val="000000"/>
          <w:szCs w:val="24"/>
        </w:rPr>
        <w:t>, A., &amp; Pflueger, C., 2023. Inflation and Asset Returns. </w:t>
      </w:r>
      <w:r w:rsidRPr="00C56763">
        <w:rPr>
          <w:rStyle w:val="afa"/>
          <w:rFonts w:ascii="Times New Roman" w:hAnsi="Times New Roman"/>
          <w:color w:val="000000"/>
          <w:szCs w:val="24"/>
          <w:bdr w:val="single" w:sz="2" w:space="0" w:color="DEE0E3" w:frame="1"/>
        </w:rPr>
        <w:t>SSRN Electronic Journal</w:t>
      </w:r>
      <w:r w:rsidRPr="00C56763">
        <w:rPr>
          <w:rFonts w:ascii="Times New Roman" w:hAnsi="Times New Roman"/>
          <w:color w:val="000000"/>
          <w:szCs w:val="24"/>
        </w:rPr>
        <w:t>. https://doi.org/10.2139/ssrn.4266081.</w:t>
      </w:r>
    </w:p>
    <w:p w14:paraId="68EABBA3" w14:textId="77777777" w:rsidR="00C24C68" w:rsidRDefault="00C24C68" w:rsidP="00C56763">
      <w:pPr>
        <w:widowControl/>
        <w:jc w:val="both"/>
        <w:rPr>
          <w:rFonts w:ascii="Times New Roman" w:hAnsi="Times New Roman"/>
          <w:b/>
          <w:bCs/>
          <w:color w:val="0000CC"/>
          <w:szCs w:val="24"/>
        </w:rPr>
      </w:pPr>
    </w:p>
    <w:p w14:paraId="7157CE15" w14:textId="23FBF500" w:rsidR="00C24C68" w:rsidRPr="002475D4" w:rsidRDefault="002475D4" w:rsidP="00C56763">
      <w:pPr>
        <w:widowControl/>
        <w:jc w:val="both"/>
        <w:rPr>
          <w:rFonts w:ascii="Times New Roman" w:hAnsi="Times New Roman"/>
          <w:color w:val="000000"/>
          <w:szCs w:val="24"/>
        </w:rPr>
      </w:pPr>
      <w:r w:rsidRPr="002475D4">
        <w:rPr>
          <w:rFonts w:ascii="Times New Roman" w:hAnsi="Times New Roman"/>
          <w:color w:val="000000"/>
          <w:szCs w:val="24"/>
        </w:rPr>
        <w:t>Liebermann, Y., &amp; Ungar, M., 1983. Effects of inflation on consumer choice. </w:t>
      </w:r>
      <w:r w:rsidRPr="002475D4">
        <w:rPr>
          <w:rStyle w:val="afa"/>
          <w:rFonts w:ascii="Times New Roman" w:hAnsi="Times New Roman"/>
          <w:color w:val="000000"/>
          <w:szCs w:val="24"/>
          <w:bdr w:val="single" w:sz="2" w:space="0" w:color="DEE0E3" w:frame="1"/>
        </w:rPr>
        <w:t>Journal of Business Research</w:t>
      </w:r>
      <w:r w:rsidRPr="002475D4">
        <w:rPr>
          <w:rFonts w:ascii="Times New Roman" w:hAnsi="Times New Roman"/>
          <w:color w:val="000000"/>
          <w:szCs w:val="24"/>
        </w:rPr>
        <w:t>, 11, pp. 379-388. https://doi.org/10.1016/0148-2963(83)90019-X.</w:t>
      </w:r>
    </w:p>
    <w:p w14:paraId="474FFEA3" w14:textId="77777777" w:rsidR="002475D4" w:rsidRPr="002475D4" w:rsidRDefault="002475D4" w:rsidP="00C56763">
      <w:pPr>
        <w:widowControl/>
        <w:jc w:val="both"/>
        <w:rPr>
          <w:rFonts w:ascii="Times New Roman" w:hAnsi="Times New Roman"/>
          <w:b/>
          <w:bCs/>
          <w:color w:val="0000CC"/>
          <w:szCs w:val="24"/>
        </w:rPr>
      </w:pPr>
    </w:p>
    <w:p w14:paraId="578957D1" w14:textId="27E0612A" w:rsidR="00C24C68" w:rsidRPr="002475D4" w:rsidRDefault="002475D4" w:rsidP="00C56763">
      <w:pPr>
        <w:widowControl/>
        <w:jc w:val="both"/>
        <w:rPr>
          <w:rFonts w:ascii="Times New Roman" w:hAnsi="Times New Roman"/>
          <w:b/>
          <w:bCs/>
          <w:color w:val="0000CC"/>
          <w:szCs w:val="24"/>
        </w:rPr>
      </w:pPr>
      <w:r w:rsidRPr="002475D4">
        <w:rPr>
          <w:rFonts w:ascii="Times New Roman" w:hAnsi="Times New Roman"/>
          <w:color w:val="000000"/>
          <w:szCs w:val="24"/>
        </w:rPr>
        <w:t>Schwert, G., 1981. The Adjustment of Stock Prices to Information About Inflation. </w:t>
      </w:r>
      <w:r w:rsidRPr="002475D4">
        <w:rPr>
          <w:rStyle w:val="afa"/>
          <w:rFonts w:ascii="Times New Roman" w:hAnsi="Times New Roman"/>
          <w:color w:val="000000"/>
          <w:szCs w:val="24"/>
          <w:bdr w:val="single" w:sz="2" w:space="0" w:color="DEE0E3" w:frame="1"/>
        </w:rPr>
        <w:t>Journal of Finance</w:t>
      </w:r>
      <w:r w:rsidRPr="002475D4">
        <w:rPr>
          <w:rFonts w:ascii="Times New Roman" w:hAnsi="Times New Roman"/>
          <w:color w:val="000000"/>
          <w:szCs w:val="24"/>
        </w:rPr>
        <w:t>, 36, pp. 15-29. https://doi.org/10.1111/J.1540-6261.1981.TB03531.X.</w:t>
      </w:r>
    </w:p>
    <w:p w14:paraId="722092A2" w14:textId="77777777" w:rsidR="00C56763" w:rsidRPr="002475D4" w:rsidRDefault="00C56763" w:rsidP="00A1610E">
      <w:pPr>
        <w:widowControl/>
        <w:snapToGrid w:val="0"/>
        <w:rPr>
          <w:rFonts w:ascii="Times New Roman" w:eastAsia="SimSun" w:hAnsi="Times New Roman"/>
          <w:color w:val="000000"/>
          <w:kern w:val="0"/>
          <w:szCs w:val="24"/>
          <w:lang w:eastAsia="zh-CN"/>
        </w:rPr>
      </w:pPr>
    </w:p>
    <w:p w14:paraId="6B11450C" w14:textId="3416EF83" w:rsidR="002475D4" w:rsidRPr="002475D4" w:rsidRDefault="002475D4" w:rsidP="00A1610E">
      <w:pPr>
        <w:widowControl/>
        <w:snapToGrid w:val="0"/>
        <w:rPr>
          <w:rFonts w:ascii="Times New Roman" w:eastAsia="SimSun" w:hAnsi="Times New Roman"/>
          <w:color w:val="000000"/>
          <w:kern w:val="0"/>
          <w:szCs w:val="24"/>
          <w:lang w:eastAsia="zh-CN"/>
        </w:rPr>
      </w:pPr>
      <w:r w:rsidRPr="002475D4">
        <w:rPr>
          <w:rFonts w:ascii="Times New Roman" w:hAnsi="Times New Roman"/>
          <w:color w:val="000000"/>
          <w:szCs w:val="24"/>
        </w:rPr>
        <w:t>Monacelli, T., &amp; Sala, L., 2009. The International Dimension of Inflation: Evidence from Disaggregated Consumer Price Data. </w:t>
      </w:r>
      <w:r w:rsidRPr="002475D4">
        <w:rPr>
          <w:rStyle w:val="afa"/>
          <w:rFonts w:ascii="Times New Roman" w:hAnsi="Times New Roman"/>
          <w:color w:val="000000"/>
          <w:szCs w:val="24"/>
          <w:bdr w:val="single" w:sz="2" w:space="0" w:color="DEE0E3" w:frame="1"/>
        </w:rPr>
        <w:t>Journal of Money, Credit and Banking</w:t>
      </w:r>
      <w:r w:rsidRPr="002475D4">
        <w:rPr>
          <w:rFonts w:ascii="Times New Roman" w:hAnsi="Times New Roman"/>
          <w:color w:val="000000"/>
          <w:szCs w:val="24"/>
        </w:rPr>
        <w:t>, 41, pp. 101-120. https://doi.org/10.1111/J.1538-4616.2008.00200.X.</w:t>
      </w:r>
    </w:p>
    <w:p w14:paraId="6DC089AE" w14:textId="77777777" w:rsidR="002475D4" w:rsidRPr="002475D4" w:rsidRDefault="002475D4" w:rsidP="00A1610E">
      <w:pPr>
        <w:widowControl/>
        <w:snapToGrid w:val="0"/>
        <w:rPr>
          <w:rFonts w:ascii="Times New Roman" w:eastAsia="SimSun" w:hAnsi="Times New Roman"/>
          <w:color w:val="000000"/>
          <w:kern w:val="0"/>
          <w:szCs w:val="24"/>
          <w:lang w:eastAsia="zh-CN"/>
        </w:rPr>
      </w:pPr>
    </w:p>
    <w:p w14:paraId="595B8B7D" w14:textId="1D126DC7" w:rsidR="002475D4" w:rsidRDefault="002475D4" w:rsidP="00A1610E">
      <w:pPr>
        <w:widowControl/>
        <w:snapToGrid w:val="0"/>
        <w:rPr>
          <w:rFonts w:ascii="Times New Roman" w:hAnsi="Times New Roman"/>
          <w:color w:val="000000"/>
          <w:szCs w:val="24"/>
        </w:rPr>
      </w:pPr>
      <w:r w:rsidRPr="002475D4">
        <w:rPr>
          <w:rFonts w:ascii="Times New Roman" w:hAnsi="Times New Roman"/>
          <w:color w:val="000000"/>
          <w:szCs w:val="24"/>
        </w:rPr>
        <w:t>Cooley, P., Roenfeldt, R., &amp; Chew, I., 1975. CAPITAL BUDGETING PROCEDURES UNDER INFLATION. </w:t>
      </w:r>
      <w:r w:rsidRPr="002475D4">
        <w:rPr>
          <w:rStyle w:val="afa"/>
          <w:rFonts w:ascii="Times New Roman" w:hAnsi="Times New Roman"/>
          <w:color w:val="000000"/>
          <w:szCs w:val="24"/>
          <w:bdr w:val="single" w:sz="2" w:space="0" w:color="DEE0E3" w:frame="1"/>
        </w:rPr>
        <w:t>Financial Management</w:t>
      </w:r>
      <w:r w:rsidRPr="002475D4">
        <w:rPr>
          <w:rFonts w:ascii="Times New Roman" w:hAnsi="Times New Roman"/>
          <w:color w:val="000000"/>
          <w:szCs w:val="24"/>
        </w:rPr>
        <w:t>, 4, pp. 18. https://doi.org/10.2307/3664937.</w:t>
      </w:r>
    </w:p>
    <w:p w14:paraId="2FEFADF7" w14:textId="77777777" w:rsidR="009E190D" w:rsidRPr="009E190D" w:rsidRDefault="009E190D" w:rsidP="00A1610E">
      <w:pPr>
        <w:widowControl/>
        <w:snapToGrid w:val="0"/>
        <w:rPr>
          <w:rFonts w:ascii="Times New Roman" w:eastAsia="SimSun" w:hAnsi="Times New Roman"/>
          <w:color w:val="000000"/>
          <w:kern w:val="0"/>
          <w:szCs w:val="24"/>
          <w:lang w:eastAsia="zh-CN"/>
        </w:rPr>
      </w:pPr>
    </w:p>
    <w:p w14:paraId="6DDB8C4E" w14:textId="56093E7B" w:rsidR="002475D4" w:rsidRPr="009E190D" w:rsidRDefault="009E190D" w:rsidP="009E190D">
      <w:pPr>
        <w:widowControl/>
        <w:spacing w:line="360" w:lineRule="atLeast"/>
        <w:rPr>
          <w:rFonts w:ascii="Times New Roman" w:eastAsia="SimSun" w:hAnsi="Times New Roman"/>
          <w:color w:val="000000"/>
          <w:kern w:val="0"/>
          <w:szCs w:val="24"/>
          <w:lang w:eastAsia="zh-CN"/>
        </w:rPr>
      </w:pPr>
      <w:r w:rsidRPr="009E190D">
        <w:rPr>
          <w:rFonts w:ascii="Times New Roman" w:eastAsia="Times New Roman" w:hAnsi="Times New Roman"/>
          <w:color w:val="000000"/>
          <w:kern w:val="0"/>
          <w:szCs w:val="24"/>
          <w:lang w:eastAsia="zh-CN"/>
        </w:rPr>
        <w:t>IMF. (2014). </w:t>
      </w:r>
      <w:r w:rsidRPr="009E190D">
        <w:rPr>
          <w:rFonts w:ascii="Times New Roman" w:eastAsia="Times New Roman" w:hAnsi="Times New Roman"/>
          <w:i/>
          <w:iCs/>
          <w:color w:val="000000"/>
          <w:kern w:val="0"/>
          <w:szCs w:val="24"/>
          <w:lang w:eastAsia="zh-CN"/>
        </w:rPr>
        <w:t>Update of the Consumer Price Index Manual</w:t>
      </w:r>
      <w:r w:rsidRPr="009E190D">
        <w:rPr>
          <w:rFonts w:ascii="Times New Roman" w:eastAsia="Times New Roman" w:hAnsi="Times New Roman"/>
          <w:color w:val="000000"/>
          <w:kern w:val="0"/>
          <w:szCs w:val="24"/>
          <w:lang w:eastAsia="zh-CN"/>
        </w:rPr>
        <w:t>. [online] Available at: https://www.imf.org/en/Data/Statistics/cpi-manual.</w:t>
      </w:r>
    </w:p>
    <w:p w14:paraId="67935E35" w14:textId="77777777" w:rsidR="009E190D" w:rsidRPr="004D3F2B" w:rsidRDefault="009E190D" w:rsidP="00A1610E">
      <w:pPr>
        <w:widowControl/>
        <w:snapToGrid w:val="0"/>
        <w:rPr>
          <w:rFonts w:ascii="Times New Roman" w:eastAsia="SimSun" w:hAnsi="Times New Roman"/>
          <w:color w:val="000000"/>
          <w:kern w:val="0"/>
          <w:szCs w:val="24"/>
          <w:lang w:eastAsia="zh-CN"/>
        </w:rPr>
      </w:pPr>
    </w:p>
    <w:p w14:paraId="2E1BA6FE"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Consumer Price Indices for December 2023. [online] Available at: https://www.info.gov.hk/gia/general/202401/22/P2024012200301p.htm [Accessed 21 Feb. 2024].</w:t>
      </w:r>
    </w:p>
    <w:p w14:paraId="3EB0311C" w14:textId="3476BB66"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06672501"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U.S. Bureau of Labor Statistics (2023). Current US inflation rates: 2000-2022. [online] US Inflation Calculator. Available at: https://www.usinflationcalculator.com/inflation/current-inflation-rates/.</w:t>
      </w:r>
    </w:p>
    <w:p w14:paraId="4A001112" w14:textId="0300EEB2"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222E853E"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Payne, C. (2022). Consumer Price inflation, UK - Office for National Statistics. [online] www.ons.gov.uk. Available at: https://www.ons.gov.uk/economy/inflationandpriceindices/bulletins/consumerpriceinflation/latest.</w:t>
      </w:r>
    </w:p>
    <w:p w14:paraId="55D1D072" w14:textId="79803BE4"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03DD29D4"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Reuters Staff. (2024) China's consumer prices suffer steepest fall since 2009; deflation risks stalk. Reuters. [Online] Available at: https://www.reuters.com/world/china/chinas-consumer-prices-suffer-steepest-fall-since-2009-deflation-risks-stalk-2024-02-08/ [Accessed 21 February 2024].</w:t>
      </w:r>
    </w:p>
    <w:p w14:paraId="47869C6E" w14:textId="186A11E9"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4331D4B3"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lastRenderedPageBreak/>
        <w:t>The Star. (n.d.). Malaysia’s inflation remains at 1.5% in Dec 2023. [online] Available at: https://www.thestar.com.my/business/business-news/2024/01/22/malaysia039s-inflation-maintained-at-15-in-dec-2023.</w:t>
      </w:r>
    </w:p>
    <w:p w14:paraId="383DE6B2" w14:textId="6C05AE1F"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0470BB22" w14:textId="77777777" w:rsidR="00A1610E" w:rsidRPr="004D3F2B" w:rsidRDefault="00A1610E" w:rsidP="00CF7636">
      <w:pPr>
        <w:widowControl/>
        <w:ind w:left="480" w:hangingChars="200" w:hanging="480"/>
        <w:rPr>
          <w:rFonts w:ascii="Times New Roman" w:hAnsi="Times New Roman"/>
          <w:color w:val="000000"/>
          <w:kern w:val="0"/>
          <w:szCs w:val="24"/>
        </w:rPr>
      </w:pPr>
      <w:proofErr w:type="spellStart"/>
      <w:r w:rsidRPr="00A1610E">
        <w:rPr>
          <w:rFonts w:ascii="Times New Roman" w:hAnsi="Times New Roman"/>
          <w:color w:val="000000"/>
          <w:kern w:val="0"/>
          <w:szCs w:val="24"/>
        </w:rPr>
        <w:t>FocusEconomics</w:t>
      </w:r>
      <w:proofErr w:type="spellEnd"/>
      <w:r w:rsidRPr="00A1610E">
        <w:rPr>
          <w:rFonts w:ascii="Times New Roman" w:hAnsi="Times New Roman"/>
          <w:color w:val="000000"/>
          <w:kern w:val="0"/>
          <w:szCs w:val="24"/>
        </w:rPr>
        <w:t xml:space="preserve">. (n.d.). Malaysia Inflation (CPI, ann. var. %, </w:t>
      </w:r>
      <w:proofErr w:type="spellStart"/>
      <w:r w:rsidRPr="00A1610E">
        <w:rPr>
          <w:rFonts w:ascii="Times New Roman" w:hAnsi="Times New Roman"/>
          <w:color w:val="000000"/>
          <w:kern w:val="0"/>
          <w:szCs w:val="24"/>
        </w:rPr>
        <w:t>aop</w:t>
      </w:r>
      <w:proofErr w:type="spellEnd"/>
      <w:r w:rsidRPr="00A1610E">
        <w:rPr>
          <w:rFonts w:ascii="Times New Roman" w:hAnsi="Times New Roman"/>
          <w:color w:val="000000"/>
          <w:kern w:val="0"/>
          <w:szCs w:val="24"/>
        </w:rPr>
        <w:t>). [online] Available at: https://www.focus-economics.com/country-indicator/malaysia/inflation/.</w:t>
      </w:r>
    </w:p>
    <w:p w14:paraId="30F5D0E7" w14:textId="0161964D"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5FD609F0"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www.imf.org. (n.d.). https://www.imf.org/external/datamapper/PCPIEPCH@WEO/HKG/USA/GBR/CHN/MYS. [online] Available at: https://www.imf.org/external/datamapper/PCPIEPCH@WEO/HKG/USA/GBR/CHN/MYS [Accessed 21 Feb. 2024].</w:t>
      </w:r>
    </w:p>
    <w:p w14:paraId="17CFC8A3" w14:textId="196BA818"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51D0EED8"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 xml:space="preserve">Lin, C., Edvinsson, L., Chen, J., &amp; </w:t>
      </w:r>
      <w:proofErr w:type="spellStart"/>
      <w:r w:rsidRPr="00A1610E">
        <w:rPr>
          <w:rFonts w:ascii="Times New Roman" w:hAnsi="Times New Roman"/>
          <w:color w:val="000000"/>
          <w:kern w:val="0"/>
          <w:szCs w:val="24"/>
        </w:rPr>
        <w:t>Beding</w:t>
      </w:r>
      <w:proofErr w:type="spellEnd"/>
      <w:r w:rsidRPr="00A1610E">
        <w:rPr>
          <w:rFonts w:ascii="Times New Roman" w:hAnsi="Times New Roman"/>
          <w:color w:val="000000"/>
          <w:kern w:val="0"/>
          <w:szCs w:val="24"/>
        </w:rPr>
        <w:t>, T., 2014. Impact of the 2008 Global Financial Crisis. , pp. 7-18. https://doi.org/10.1007/978-1-4614-8021-1_2.</w:t>
      </w:r>
    </w:p>
    <w:p w14:paraId="521C72EA" w14:textId="52C88A19"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24D261F3"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Damian, M., 2009. INFLATION IN THE EUROPEAN UNION WITHIN THE CONTEXT OF THE FINANCIAL CRISIS. </w:t>
      </w:r>
      <w:r w:rsidRPr="00A1610E">
        <w:rPr>
          <w:rFonts w:ascii="Times New Roman" w:hAnsi="Times New Roman"/>
          <w:i/>
          <w:iCs/>
          <w:color w:val="000000"/>
          <w:kern w:val="0"/>
          <w:szCs w:val="24"/>
        </w:rPr>
        <w:t>Theoretical and Applied Economics</w:t>
      </w:r>
      <w:r w:rsidRPr="00A1610E">
        <w:rPr>
          <w:rFonts w:ascii="Times New Roman" w:hAnsi="Times New Roman"/>
          <w:color w:val="000000"/>
          <w:kern w:val="0"/>
          <w:szCs w:val="24"/>
        </w:rPr>
        <w:t>, pp. 364-370.</w:t>
      </w:r>
    </w:p>
    <w:p w14:paraId="783B04D0" w14:textId="77777777" w:rsidR="00A1610E" w:rsidRPr="004D3F2B" w:rsidRDefault="00A1610E" w:rsidP="00CF7636">
      <w:pPr>
        <w:widowControl/>
        <w:snapToGrid w:val="0"/>
        <w:ind w:left="480" w:hangingChars="200" w:hanging="480"/>
        <w:rPr>
          <w:rFonts w:ascii="Times New Roman" w:eastAsia="SimSun" w:hAnsi="Times New Roman"/>
          <w:color w:val="000000"/>
          <w:kern w:val="0"/>
          <w:szCs w:val="24"/>
          <w:lang w:eastAsia="zh-CN"/>
        </w:rPr>
      </w:pPr>
    </w:p>
    <w:p w14:paraId="2A022D06" w14:textId="77777777" w:rsidR="00A1610E" w:rsidRPr="004D3F2B" w:rsidRDefault="00A1610E" w:rsidP="00CF7636">
      <w:pPr>
        <w:widowControl/>
        <w:ind w:left="480" w:hangingChars="200" w:hanging="480"/>
        <w:rPr>
          <w:rFonts w:ascii="Times New Roman" w:hAnsi="Times New Roman"/>
          <w:color w:val="000000"/>
          <w:kern w:val="0"/>
          <w:szCs w:val="24"/>
        </w:rPr>
      </w:pPr>
      <w:proofErr w:type="spellStart"/>
      <w:r w:rsidRPr="00A1610E">
        <w:rPr>
          <w:rFonts w:ascii="Times New Roman" w:hAnsi="Times New Roman"/>
          <w:color w:val="000000"/>
          <w:kern w:val="0"/>
          <w:szCs w:val="24"/>
        </w:rPr>
        <w:t>Fouejieu</w:t>
      </w:r>
      <w:proofErr w:type="spellEnd"/>
      <w:r w:rsidRPr="00A1610E">
        <w:rPr>
          <w:rFonts w:ascii="Times New Roman" w:hAnsi="Times New Roman"/>
          <w:color w:val="000000"/>
          <w:kern w:val="0"/>
          <w:szCs w:val="24"/>
        </w:rPr>
        <w:t xml:space="preserve">, A., 2012. Coping with the Recent Financial Crisis, Did Inflation Targeting Make Any </w:t>
      </w:r>
      <w:proofErr w:type="gramStart"/>
      <w:r w:rsidRPr="00A1610E">
        <w:rPr>
          <w:rFonts w:ascii="Times New Roman" w:hAnsi="Times New Roman"/>
          <w:color w:val="000000"/>
          <w:kern w:val="0"/>
          <w:szCs w:val="24"/>
        </w:rPr>
        <w:t>Difference?.</w:t>
      </w:r>
      <w:proofErr w:type="gramEnd"/>
      <w:r w:rsidRPr="00A1610E">
        <w:rPr>
          <w:rFonts w:ascii="Times New Roman" w:hAnsi="Times New Roman"/>
          <w:color w:val="000000"/>
          <w:kern w:val="0"/>
          <w:szCs w:val="24"/>
        </w:rPr>
        <w:t> </w:t>
      </w:r>
      <w:r w:rsidRPr="00A1610E">
        <w:rPr>
          <w:rFonts w:ascii="Times New Roman" w:hAnsi="Times New Roman"/>
          <w:i/>
          <w:iCs/>
          <w:color w:val="000000"/>
          <w:kern w:val="0"/>
          <w:szCs w:val="24"/>
        </w:rPr>
        <w:t>International Economics</w:t>
      </w:r>
      <w:r w:rsidRPr="00A1610E">
        <w:rPr>
          <w:rFonts w:ascii="Times New Roman" w:hAnsi="Times New Roman"/>
          <w:color w:val="000000"/>
          <w:kern w:val="0"/>
          <w:szCs w:val="24"/>
        </w:rPr>
        <w:t>, 133, pp. 72-92. https://doi.org/10.1016/J.INTECO.2013.04.001.</w:t>
      </w:r>
    </w:p>
    <w:p w14:paraId="4C7A6262" w14:textId="284CA30C" w:rsidR="002C6D2E" w:rsidRPr="004D3F2B" w:rsidRDefault="002C6D2E" w:rsidP="00AE5ED3">
      <w:pPr>
        <w:adjustRightInd w:val="0"/>
        <w:snapToGrid w:val="0"/>
        <w:ind w:left="480" w:hangingChars="200" w:hanging="480"/>
        <w:rPr>
          <w:rFonts w:ascii="Times New Roman" w:hAnsi="Times New Roman"/>
          <w:b/>
          <w:bCs/>
          <w:szCs w:val="24"/>
        </w:rPr>
      </w:pPr>
    </w:p>
    <w:p w14:paraId="7F9CEAC4" w14:textId="77777777" w:rsidR="00A1610E" w:rsidRPr="004D3F2B" w:rsidRDefault="00A1610E" w:rsidP="00CF7636">
      <w:pPr>
        <w:widowControl/>
        <w:ind w:left="480" w:hangingChars="200" w:hanging="480"/>
        <w:rPr>
          <w:rFonts w:ascii="Times New Roman" w:hAnsi="Times New Roman"/>
          <w:color w:val="000000"/>
          <w:kern w:val="0"/>
          <w:szCs w:val="24"/>
        </w:rPr>
      </w:pPr>
      <w:proofErr w:type="spellStart"/>
      <w:r w:rsidRPr="00A1610E">
        <w:rPr>
          <w:rFonts w:ascii="Times New Roman" w:hAnsi="Times New Roman"/>
          <w:color w:val="000000"/>
          <w:kern w:val="0"/>
          <w:szCs w:val="24"/>
        </w:rPr>
        <w:t>Jałtuszyk</w:t>
      </w:r>
      <w:proofErr w:type="spellEnd"/>
      <w:r w:rsidRPr="00A1610E">
        <w:rPr>
          <w:rFonts w:ascii="Times New Roman" w:hAnsi="Times New Roman"/>
          <w:color w:val="000000"/>
          <w:kern w:val="0"/>
          <w:szCs w:val="24"/>
        </w:rPr>
        <w:t>, G., 2023. Inflation, the global financial crisis, and COVID-19 pandemic. </w:t>
      </w:r>
      <w:r w:rsidRPr="00A1610E">
        <w:rPr>
          <w:rFonts w:ascii="Times New Roman" w:hAnsi="Times New Roman"/>
          <w:i/>
          <w:iCs/>
          <w:color w:val="000000"/>
          <w:kern w:val="0"/>
          <w:szCs w:val="24"/>
        </w:rPr>
        <w:t>Journal of Management and Financial Sciences</w:t>
      </w:r>
      <w:r w:rsidRPr="00A1610E">
        <w:rPr>
          <w:rFonts w:ascii="Times New Roman" w:hAnsi="Times New Roman"/>
          <w:color w:val="000000"/>
          <w:kern w:val="0"/>
          <w:szCs w:val="24"/>
        </w:rPr>
        <w:t>. https://doi.org/10.33119/jmfs.2022.46.1.</w:t>
      </w:r>
    </w:p>
    <w:p w14:paraId="1F17BEDB" w14:textId="6913D755" w:rsidR="00A1610E" w:rsidRPr="004D3F2B" w:rsidRDefault="00A1610E" w:rsidP="00AE5ED3">
      <w:pPr>
        <w:adjustRightInd w:val="0"/>
        <w:snapToGrid w:val="0"/>
        <w:ind w:left="480" w:hangingChars="200" w:hanging="480"/>
        <w:rPr>
          <w:rFonts w:ascii="Times New Roman" w:hAnsi="Times New Roman"/>
          <w:b/>
          <w:bCs/>
          <w:szCs w:val="24"/>
        </w:rPr>
      </w:pPr>
    </w:p>
    <w:p w14:paraId="0A5EFB70"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Li, S., Wu, J., &amp; Yang, Z., 2023. Impact of COVID-19 Pandemic: A Global Inflation Crisis. </w:t>
      </w:r>
      <w:r w:rsidRPr="00A1610E">
        <w:rPr>
          <w:rFonts w:ascii="Times New Roman" w:hAnsi="Times New Roman"/>
          <w:i/>
          <w:iCs/>
          <w:color w:val="000000"/>
          <w:kern w:val="0"/>
          <w:szCs w:val="24"/>
        </w:rPr>
        <w:t>BCP Business &amp; Management</w:t>
      </w:r>
      <w:r w:rsidRPr="00A1610E">
        <w:rPr>
          <w:rFonts w:ascii="Times New Roman" w:hAnsi="Times New Roman"/>
          <w:color w:val="000000"/>
          <w:kern w:val="0"/>
          <w:szCs w:val="24"/>
        </w:rPr>
        <w:t>. https://doi.org/10.54691/bcpbm.v44i.4808.</w:t>
      </w:r>
    </w:p>
    <w:p w14:paraId="3938CDF7" w14:textId="1453B29B" w:rsidR="00A1610E" w:rsidRPr="004D3F2B" w:rsidRDefault="00A1610E" w:rsidP="00AE5ED3">
      <w:pPr>
        <w:adjustRightInd w:val="0"/>
        <w:snapToGrid w:val="0"/>
        <w:ind w:left="480" w:hangingChars="200" w:hanging="480"/>
        <w:rPr>
          <w:rFonts w:ascii="Times New Roman" w:hAnsi="Times New Roman"/>
          <w:b/>
          <w:bCs/>
          <w:szCs w:val="24"/>
        </w:rPr>
      </w:pPr>
    </w:p>
    <w:p w14:paraId="364DC87D" w14:textId="77777777" w:rsidR="00A1610E" w:rsidRPr="004D3F2B"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Huang, Y., 2021. Yiping Huang Comments on The Global Macroeconomic Impacts of COVID-19: Seven Scenarios. </w:t>
      </w:r>
      <w:r w:rsidRPr="00A1610E">
        <w:rPr>
          <w:rFonts w:ascii="Times New Roman" w:hAnsi="Times New Roman"/>
          <w:i/>
          <w:iCs/>
          <w:color w:val="000000"/>
          <w:kern w:val="0"/>
          <w:szCs w:val="24"/>
        </w:rPr>
        <w:t>Asian Economic Papers</w:t>
      </w:r>
      <w:r w:rsidRPr="00A1610E">
        <w:rPr>
          <w:rFonts w:ascii="Times New Roman" w:hAnsi="Times New Roman"/>
          <w:color w:val="000000"/>
          <w:kern w:val="0"/>
          <w:szCs w:val="24"/>
        </w:rPr>
        <w:t>, 20, pp. 38-40. https://doi.org/10.1162/asep_a_00819.</w:t>
      </w:r>
    </w:p>
    <w:p w14:paraId="69F7A8CA" w14:textId="0B055293" w:rsidR="00A1610E" w:rsidRPr="004D3F2B" w:rsidRDefault="00A1610E" w:rsidP="00AE5ED3">
      <w:pPr>
        <w:adjustRightInd w:val="0"/>
        <w:snapToGrid w:val="0"/>
        <w:ind w:left="480" w:hangingChars="200" w:hanging="480"/>
        <w:rPr>
          <w:rFonts w:ascii="Times New Roman" w:hAnsi="Times New Roman"/>
          <w:b/>
          <w:bCs/>
          <w:szCs w:val="24"/>
        </w:rPr>
      </w:pPr>
    </w:p>
    <w:p w14:paraId="2E070432" w14:textId="77777777" w:rsidR="00A1610E" w:rsidRDefault="00A1610E" w:rsidP="00CF7636">
      <w:pPr>
        <w:widowControl/>
        <w:ind w:left="480" w:hangingChars="200" w:hanging="480"/>
        <w:rPr>
          <w:rFonts w:ascii="Times New Roman" w:hAnsi="Times New Roman"/>
          <w:color w:val="000000"/>
          <w:kern w:val="0"/>
          <w:szCs w:val="24"/>
        </w:rPr>
      </w:pPr>
      <w:r w:rsidRPr="00A1610E">
        <w:rPr>
          <w:rFonts w:ascii="Times New Roman" w:hAnsi="Times New Roman"/>
          <w:color w:val="000000"/>
          <w:kern w:val="0"/>
          <w:szCs w:val="24"/>
        </w:rPr>
        <w:t>Chen, J., 2023. Inflation in the UK after COVID-19. </w:t>
      </w:r>
      <w:r w:rsidRPr="00A1610E">
        <w:rPr>
          <w:rFonts w:ascii="Times New Roman" w:hAnsi="Times New Roman"/>
          <w:i/>
          <w:iCs/>
          <w:color w:val="000000"/>
          <w:kern w:val="0"/>
          <w:szCs w:val="24"/>
        </w:rPr>
        <w:t>BCP Business &amp; Management</w:t>
      </w:r>
      <w:r w:rsidRPr="00A1610E">
        <w:rPr>
          <w:rFonts w:ascii="Times New Roman" w:hAnsi="Times New Roman"/>
          <w:color w:val="000000"/>
          <w:kern w:val="0"/>
          <w:szCs w:val="24"/>
        </w:rPr>
        <w:t>. https://doi.org/10.54691/bcpbm.v44i.4811.</w:t>
      </w:r>
    </w:p>
    <w:p w14:paraId="2E635BCF" w14:textId="77777777" w:rsidR="00FB5471" w:rsidRDefault="00FB5471" w:rsidP="00CF7636">
      <w:pPr>
        <w:widowControl/>
        <w:ind w:left="480" w:hangingChars="200" w:hanging="480"/>
        <w:rPr>
          <w:rFonts w:ascii="Times New Roman" w:hAnsi="Times New Roman"/>
          <w:color w:val="000000"/>
          <w:kern w:val="0"/>
          <w:szCs w:val="24"/>
        </w:rPr>
      </w:pPr>
    </w:p>
    <w:p w14:paraId="187F219E" w14:textId="77777777" w:rsidR="00FB5471" w:rsidRPr="00FB5471" w:rsidRDefault="00FB5471" w:rsidP="00FB5471">
      <w:pPr>
        <w:widowControl/>
        <w:spacing w:line="360" w:lineRule="atLeast"/>
        <w:rPr>
          <w:rFonts w:ascii="Times New Roman" w:eastAsia="Times New Roman" w:hAnsi="Times New Roman"/>
          <w:color w:val="000000"/>
          <w:kern w:val="0"/>
          <w:szCs w:val="24"/>
          <w:lang w:eastAsia="zh-CN"/>
        </w:rPr>
      </w:pPr>
      <w:r w:rsidRPr="00FB5471">
        <w:rPr>
          <w:rFonts w:ascii="Times New Roman" w:eastAsia="Times New Roman" w:hAnsi="Times New Roman"/>
          <w:color w:val="000000"/>
          <w:kern w:val="0"/>
          <w:szCs w:val="24"/>
          <w:lang w:eastAsia="zh-CN"/>
        </w:rPr>
        <w:t>www.imf.org. (n.d.). </w:t>
      </w:r>
      <w:r w:rsidRPr="00FB5471">
        <w:rPr>
          <w:rFonts w:ascii="Times New Roman" w:eastAsia="Times New Roman" w:hAnsi="Times New Roman"/>
          <w:i/>
          <w:iCs/>
          <w:color w:val="000000"/>
          <w:kern w:val="0"/>
          <w:szCs w:val="24"/>
          <w:lang w:eastAsia="zh-CN"/>
        </w:rPr>
        <w:t>https://www.imf.org/external/datamapper/PCPIEPCH@WEO/OEMDC/ADVEC/WEOWORLD</w:t>
      </w:r>
      <w:r w:rsidRPr="00FB5471">
        <w:rPr>
          <w:rFonts w:ascii="Times New Roman" w:eastAsia="Times New Roman" w:hAnsi="Times New Roman"/>
          <w:color w:val="000000"/>
          <w:kern w:val="0"/>
          <w:szCs w:val="24"/>
          <w:lang w:eastAsia="zh-CN"/>
        </w:rPr>
        <w:t>. [online] Available at: https://www.imf.org/external/datamapper/PCPIEPCH@WEO/OEMDC/ADVEC/WEOWORLD.</w:t>
      </w:r>
    </w:p>
    <w:p w14:paraId="60395B7A" w14:textId="791F4D18" w:rsidR="00FB5471" w:rsidRPr="00FC53DC" w:rsidRDefault="00FB5471" w:rsidP="00FC53DC">
      <w:pPr>
        <w:widowControl/>
        <w:spacing w:before="100" w:beforeAutospacing="1" w:after="100" w:afterAutospacing="1"/>
        <w:jc w:val="both"/>
        <w:rPr>
          <w:rFonts w:ascii="Times New Roman" w:hAnsi="Times New Roman"/>
          <w:color w:val="000000"/>
          <w:szCs w:val="24"/>
        </w:rPr>
      </w:pPr>
      <w:r w:rsidRPr="00FB5471">
        <w:rPr>
          <w:rFonts w:eastAsia="Times New Roman" w:cs="Calibri"/>
          <w:color w:val="000000"/>
          <w:kern w:val="0"/>
          <w:sz w:val="27"/>
          <w:szCs w:val="27"/>
          <w:lang w:eastAsia="zh-CN"/>
        </w:rPr>
        <w:lastRenderedPageBreak/>
        <w:t>‌</w:t>
      </w:r>
      <w:r w:rsidR="00FC53DC" w:rsidRPr="00FC53DC">
        <w:rPr>
          <w:rFonts w:ascii="Helvetica" w:hAnsi="Helvetica"/>
          <w:color w:val="000000"/>
          <w:sz w:val="27"/>
          <w:szCs w:val="27"/>
        </w:rPr>
        <w:t xml:space="preserve"> </w:t>
      </w:r>
      <w:r w:rsidR="00FC53DC" w:rsidRPr="00FC53DC">
        <w:rPr>
          <w:rFonts w:ascii="Times New Roman" w:hAnsi="Times New Roman"/>
          <w:color w:val="000000"/>
          <w:szCs w:val="24"/>
        </w:rPr>
        <w:t>Jin, Z., 2014. Empirical Research of the Relationship between Investment Inflation and Economic Growth. </w:t>
      </w:r>
      <w:r w:rsidR="00FC53DC" w:rsidRPr="00FC53DC">
        <w:rPr>
          <w:rStyle w:val="afa"/>
          <w:rFonts w:ascii="Times New Roman" w:hAnsi="Times New Roman"/>
          <w:color w:val="000000"/>
          <w:szCs w:val="24"/>
          <w:bdr w:val="single" w:sz="2" w:space="0" w:color="DEE0E3" w:frame="1"/>
        </w:rPr>
        <w:t>Science Technology and Industry</w:t>
      </w:r>
      <w:r w:rsidR="00FC53DC" w:rsidRPr="00FC53DC">
        <w:rPr>
          <w:rFonts w:ascii="Times New Roman" w:hAnsi="Times New Roman"/>
          <w:color w:val="000000"/>
          <w:szCs w:val="24"/>
        </w:rPr>
        <w:t>.</w:t>
      </w:r>
    </w:p>
    <w:p w14:paraId="74F42C86" w14:textId="712A25E3" w:rsidR="00FC53DC" w:rsidRPr="00FB5471" w:rsidRDefault="00FC53DC" w:rsidP="00FC53DC">
      <w:pPr>
        <w:widowControl/>
        <w:spacing w:before="100" w:beforeAutospacing="1" w:after="100" w:afterAutospacing="1"/>
        <w:jc w:val="both"/>
        <w:rPr>
          <w:rFonts w:ascii="Times New Roman" w:eastAsia="Times New Roman" w:hAnsi="Times New Roman"/>
          <w:color w:val="000000"/>
          <w:kern w:val="0"/>
          <w:szCs w:val="24"/>
          <w:lang w:eastAsia="zh-CN"/>
        </w:rPr>
      </w:pPr>
      <w:r w:rsidRPr="00FC53DC">
        <w:rPr>
          <w:rFonts w:ascii="Times New Roman" w:hAnsi="Times New Roman"/>
          <w:color w:val="000000"/>
          <w:szCs w:val="24"/>
        </w:rPr>
        <w:t>Gregorio, J., 1993. Inflation, taxation, and long-run growth. </w:t>
      </w:r>
      <w:r w:rsidRPr="00FC53DC">
        <w:rPr>
          <w:rStyle w:val="afa"/>
          <w:rFonts w:ascii="Times New Roman" w:hAnsi="Times New Roman"/>
          <w:color w:val="000000"/>
          <w:szCs w:val="24"/>
          <w:bdr w:val="single" w:sz="2" w:space="0" w:color="DEE0E3" w:frame="1"/>
        </w:rPr>
        <w:t>Journal of Monetary Economics</w:t>
      </w:r>
      <w:r w:rsidRPr="00FC53DC">
        <w:rPr>
          <w:rFonts w:ascii="Times New Roman" w:hAnsi="Times New Roman"/>
          <w:color w:val="000000"/>
          <w:szCs w:val="24"/>
        </w:rPr>
        <w:t>, 31, pp. 271-298. https://doi.org/10.1016/0304-3932(93)90049-L.</w:t>
      </w:r>
    </w:p>
    <w:p w14:paraId="571554A5" w14:textId="2288EEC8" w:rsidR="00FB5471" w:rsidRDefault="00FC53DC" w:rsidP="00FC53DC">
      <w:pPr>
        <w:widowControl/>
        <w:ind w:left="480" w:hangingChars="200" w:hanging="480"/>
        <w:jc w:val="both"/>
        <w:rPr>
          <w:rFonts w:ascii="Times New Roman" w:hAnsi="Times New Roman"/>
          <w:color w:val="000000"/>
          <w:szCs w:val="24"/>
        </w:rPr>
      </w:pPr>
      <w:r w:rsidRPr="00FC53DC">
        <w:rPr>
          <w:rFonts w:ascii="Times New Roman" w:hAnsi="Times New Roman"/>
          <w:color w:val="000000"/>
          <w:szCs w:val="24"/>
        </w:rPr>
        <w:t xml:space="preserve">Grasso, A., &amp; </w:t>
      </w:r>
      <w:proofErr w:type="spellStart"/>
      <w:r w:rsidRPr="00FC53DC">
        <w:rPr>
          <w:rFonts w:ascii="Times New Roman" w:hAnsi="Times New Roman"/>
          <w:color w:val="000000"/>
          <w:szCs w:val="24"/>
        </w:rPr>
        <w:t>Ropele</w:t>
      </w:r>
      <w:proofErr w:type="spellEnd"/>
      <w:r w:rsidRPr="00FC53DC">
        <w:rPr>
          <w:rFonts w:ascii="Times New Roman" w:hAnsi="Times New Roman"/>
          <w:color w:val="000000"/>
          <w:szCs w:val="24"/>
        </w:rPr>
        <w:t>, T., 2018. Firms’ Inflation Expectations and Investment Plans. </w:t>
      </w:r>
      <w:r w:rsidRPr="00FC53DC">
        <w:rPr>
          <w:rStyle w:val="afa"/>
          <w:rFonts w:ascii="Times New Roman" w:hAnsi="Times New Roman"/>
          <w:color w:val="000000"/>
          <w:szCs w:val="24"/>
          <w:bdr w:val="single" w:sz="2" w:space="0" w:color="DEE0E3" w:frame="1"/>
        </w:rPr>
        <w:t xml:space="preserve">Macroeconomics: Production &amp; Investment </w:t>
      </w:r>
      <w:proofErr w:type="spellStart"/>
      <w:r w:rsidRPr="00FC53DC">
        <w:rPr>
          <w:rStyle w:val="afa"/>
          <w:rFonts w:ascii="Times New Roman" w:hAnsi="Times New Roman"/>
          <w:color w:val="000000"/>
          <w:szCs w:val="24"/>
          <w:bdr w:val="single" w:sz="2" w:space="0" w:color="DEE0E3" w:frame="1"/>
        </w:rPr>
        <w:t>eJournal</w:t>
      </w:r>
      <w:proofErr w:type="spellEnd"/>
      <w:r w:rsidRPr="00FC53DC">
        <w:rPr>
          <w:rFonts w:ascii="Times New Roman" w:hAnsi="Times New Roman"/>
          <w:color w:val="000000"/>
          <w:szCs w:val="24"/>
        </w:rPr>
        <w:t xml:space="preserve">. </w:t>
      </w:r>
      <w:hyperlink r:id="rId19" w:history="1">
        <w:r w:rsidR="00421BAD" w:rsidRPr="00433FDA">
          <w:rPr>
            <w:rStyle w:val="af2"/>
            <w:rFonts w:ascii="Times New Roman" w:hAnsi="Times New Roman"/>
            <w:szCs w:val="24"/>
          </w:rPr>
          <w:t>https://doi.org/10.2139/ssrn.3429181</w:t>
        </w:r>
      </w:hyperlink>
      <w:r w:rsidRPr="00FC53DC">
        <w:rPr>
          <w:rFonts w:ascii="Times New Roman" w:hAnsi="Times New Roman"/>
          <w:color w:val="000000"/>
          <w:szCs w:val="24"/>
        </w:rPr>
        <w:t>.</w:t>
      </w:r>
    </w:p>
    <w:p w14:paraId="320B157C" w14:textId="77777777" w:rsidR="00421BAD" w:rsidRDefault="00421BAD" w:rsidP="00FC53DC">
      <w:pPr>
        <w:widowControl/>
        <w:ind w:left="480" w:hangingChars="200" w:hanging="480"/>
        <w:jc w:val="both"/>
        <w:rPr>
          <w:rFonts w:ascii="Times New Roman" w:hAnsi="Times New Roman"/>
          <w:color w:val="000000"/>
          <w:szCs w:val="24"/>
        </w:rPr>
      </w:pPr>
    </w:p>
    <w:p w14:paraId="1B160D31" w14:textId="1B174E6A" w:rsidR="00421BAD" w:rsidRPr="00421BAD" w:rsidRDefault="00421BAD" w:rsidP="00421BAD">
      <w:pPr>
        <w:widowControl/>
        <w:jc w:val="both"/>
        <w:rPr>
          <w:rFonts w:ascii="Times New Roman" w:hAnsi="Times New Roman"/>
          <w:color w:val="000000"/>
          <w:kern w:val="0"/>
          <w:szCs w:val="24"/>
        </w:rPr>
      </w:pPr>
      <w:r w:rsidRPr="00421BAD">
        <w:rPr>
          <w:rFonts w:ascii="Times New Roman" w:hAnsi="Times New Roman"/>
          <w:color w:val="000000"/>
          <w:szCs w:val="24"/>
        </w:rPr>
        <w:t xml:space="preserve">Schober, P., Boer, C., &amp; Schwarte, L., 2018. Correlation Coefficients: Appropriate Use </w:t>
      </w:r>
      <w:proofErr w:type="spellStart"/>
      <w:r w:rsidRPr="00421BAD">
        <w:rPr>
          <w:rFonts w:ascii="Times New Roman" w:hAnsi="Times New Roman"/>
          <w:color w:val="000000"/>
          <w:szCs w:val="24"/>
        </w:rPr>
        <w:t>andInterpretation</w:t>
      </w:r>
      <w:proofErr w:type="spellEnd"/>
      <w:r w:rsidRPr="00421BAD">
        <w:rPr>
          <w:rFonts w:ascii="Times New Roman" w:hAnsi="Times New Roman"/>
          <w:color w:val="000000"/>
          <w:szCs w:val="24"/>
        </w:rPr>
        <w:t>. </w:t>
      </w:r>
      <w:r w:rsidRPr="00421BAD">
        <w:rPr>
          <w:rStyle w:val="afa"/>
          <w:rFonts w:ascii="Times New Roman" w:hAnsi="Times New Roman"/>
          <w:color w:val="000000"/>
          <w:szCs w:val="24"/>
          <w:bdr w:val="single" w:sz="2" w:space="0" w:color="DEE0E3" w:frame="1"/>
        </w:rPr>
        <w:t>Anesthesia &amp; Analgesia</w:t>
      </w:r>
      <w:r w:rsidRPr="00421BAD">
        <w:rPr>
          <w:rFonts w:ascii="Times New Roman" w:hAnsi="Times New Roman"/>
          <w:color w:val="000000"/>
          <w:szCs w:val="24"/>
        </w:rPr>
        <w:t>, 126, pp. 1763–1768. https://doi.org/10.1213/ANE.0000000000002864.</w:t>
      </w:r>
    </w:p>
    <w:p w14:paraId="663D9104" w14:textId="77777777" w:rsidR="00A1610E" w:rsidRPr="00A1610E" w:rsidRDefault="00A1610E" w:rsidP="0083316F">
      <w:pPr>
        <w:adjustRightInd w:val="0"/>
        <w:snapToGrid w:val="0"/>
        <w:ind w:left="480" w:hangingChars="200" w:hanging="480"/>
        <w:rPr>
          <w:rFonts w:ascii="Times New Roman" w:hAnsi="Times New Roman"/>
          <w:b/>
          <w:bCs/>
          <w:szCs w:val="24"/>
        </w:rPr>
      </w:pPr>
    </w:p>
    <w:sectPr w:rsidR="00A1610E" w:rsidRPr="00A1610E" w:rsidSect="002970FF">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62ED27" w14:textId="77777777" w:rsidR="002970FF" w:rsidRDefault="002970FF">
      <w:r>
        <w:separator/>
      </w:r>
    </w:p>
  </w:endnote>
  <w:endnote w:type="continuationSeparator" w:id="0">
    <w:p w14:paraId="6AC4019B" w14:textId="77777777" w:rsidR="002970FF" w:rsidRDefault="002970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標楷體">
    <w:panose1 w:val="03000509000000000000"/>
    <w:charset w:val="88"/>
    <w:family w:val="script"/>
    <w:pitch w:val="fixed"/>
    <w:sig w:usb0="00000003" w:usb1="080E0000"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3A3E25" w14:textId="13A4303A" w:rsidR="00B765AF" w:rsidRDefault="00B765AF">
    <w:pPr>
      <w:pStyle w:val="a6"/>
      <w:framePr w:wrap="around" w:vAnchor="text" w:hAnchor="margin" w:xAlign="center" w:y="1"/>
      <w:rPr>
        <w:rStyle w:val="ab"/>
      </w:rPr>
    </w:pPr>
    <w:r>
      <w:rPr>
        <w:rStyle w:val="ab"/>
      </w:rPr>
      <w:fldChar w:fldCharType="begin"/>
    </w:r>
    <w:r>
      <w:rPr>
        <w:rStyle w:val="ab"/>
      </w:rPr>
      <w:instrText xml:space="preserve">PAGE  </w:instrText>
    </w:r>
    <w:r>
      <w:rPr>
        <w:rStyle w:val="ab"/>
      </w:rPr>
      <w:fldChar w:fldCharType="separate"/>
    </w:r>
    <w:r>
      <w:rPr>
        <w:rStyle w:val="ab"/>
        <w:noProof/>
      </w:rPr>
      <w:t>i</w:t>
    </w:r>
    <w:r>
      <w:rPr>
        <w:rStyle w:val="ab"/>
      </w:rPr>
      <w:fldChar w:fldCharType="end"/>
    </w:r>
  </w:p>
  <w:p w14:paraId="436EE74F" w14:textId="77777777" w:rsidR="00B765AF" w:rsidRDefault="00B765AF">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F479D6" w14:textId="77777777" w:rsidR="00B765AF" w:rsidRDefault="00B765AF">
    <w:pPr>
      <w:pStyle w:val="a6"/>
      <w:framePr w:wrap="around" w:vAnchor="text" w:hAnchor="margin" w:xAlign="center" w:y="1"/>
      <w:rPr>
        <w:rStyle w:val="ab"/>
      </w:rPr>
    </w:pPr>
  </w:p>
  <w:p w14:paraId="1AF2B952" w14:textId="703E341B" w:rsidR="00B765AF" w:rsidRDefault="00B765AF">
    <w:pPr>
      <w:pStyle w:val="a6"/>
      <w:jc w:val="center"/>
    </w:pPr>
    <w:r>
      <w:rPr>
        <w:rStyle w:val="ab"/>
      </w:rPr>
      <w:fldChar w:fldCharType="begin"/>
    </w:r>
    <w:r>
      <w:rPr>
        <w:rStyle w:val="ab"/>
      </w:rPr>
      <w:instrText xml:space="preserve"> PAGE </w:instrText>
    </w:r>
    <w:r>
      <w:rPr>
        <w:rStyle w:val="ab"/>
      </w:rPr>
      <w:fldChar w:fldCharType="separate"/>
    </w:r>
    <w:r w:rsidR="00922E84">
      <w:rPr>
        <w:rStyle w:val="ab"/>
        <w:noProof/>
      </w:rPr>
      <w:t>24</w:t>
    </w:r>
    <w:r>
      <w:rPr>
        <w:rStyle w:val="ab"/>
      </w:rPr>
      <w:fldChar w:fldCharType="end"/>
    </w:r>
  </w:p>
  <w:p w14:paraId="6CBC4991" w14:textId="77777777" w:rsidR="00B765AF" w:rsidRDefault="00B765AF">
    <w:pPr>
      <w:pStyle w:val="a6"/>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AEAA4" w14:textId="77777777" w:rsidR="002970FF" w:rsidRDefault="002970FF">
      <w:r>
        <w:separator/>
      </w:r>
    </w:p>
  </w:footnote>
  <w:footnote w:type="continuationSeparator" w:id="0">
    <w:p w14:paraId="6AA6E2D3" w14:textId="77777777" w:rsidR="002970FF" w:rsidRDefault="002970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F05889"/>
    <w:multiLevelType w:val="hybridMultilevel"/>
    <w:tmpl w:val="3CFCFDF4"/>
    <w:lvl w:ilvl="0" w:tplc="A3740D0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 w15:restartNumberingAfterBreak="0">
    <w:nsid w:val="4DC37C17"/>
    <w:multiLevelType w:val="multilevel"/>
    <w:tmpl w:val="BE7AF64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51B32EE"/>
    <w:multiLevelType w:val="hybridMultilevel"/>
    <w:tmpl w:val="BD0CF42E"/>
    <w:lvl w:ilvl="0" w:tplc="01E27DB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299500500">
    <w:abstractNumId w:val="1"/>
  </w:num>
  <w:num w:numId="2" w16cid:durableId="283391104">
    <w:abstractNumId w:val="4"/>
  </w:num>
  <w:num w:numId="3" w16cid:durableId="369257831">
    <w:abstractNumId w:val="0"/>
  </w:num>
  <w:num w:numId="4" w16cid:durableId="2101678076">
    <w:abstractNumId w:val="2"/>
  </w:num>
  <w:num w:numId="5" w16cid:durableId="1842892552">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BDA"/>
    <w:rsid w:val="0000586C"/>
    <w:rsid w:val="000122C2"/>
    <w:rsid w:val="00015359"/>
    <w:rsid w:val="00032C95"/>
    <w:rsid w:val="000563A6"/>
    <w:rsid w:val="000617B8"/>
    <w:rsid w:val="00063320"/>
    <w:rsid w:val="000669F2"/>
    <w:rsid w:val="000734C8"/>
    <w:rsid w:val="00073C3C"/>
    <w:rsid w:val="00074310"/>
    <w:rsid w:val="00074B88"/>
    <w:rsid w:val="00084FA0"/>
    <w:rsid w:val="00090DD5"/>
    <w:rsid w:val="00093362"/>
    <w:rsid w:val="0009415E"/>
    <w:rsid w:val="000A37B4"/>
    <w:rsid w:val="000A57F9"/>
    <w:rsid w:val="000B3E47"/>
    <w:rsid w:val="000B4A97"/>
    <w:rsid w:val="000B6600"/>
    <w:rsid w:val="000C61E4"/>
    <w:rsid w:val="000D21B6"/>
    <w:rsid w:val="000D3340"/>
    <w:rsid w:val="000E7107"/>
    <w:rsid w:val="000E7A6B"/>
    <w:rsid w:val="000F57AA"/>
    <w:rsid w:val="000F6803"/>
    <w:rsid w:val="000F73BB"/>
    <w:rsid w:val="00101A6B"/>
    <w:rsid w:val="001222BD"/>
    <w:rsid w:val="0012643D"/>
    <w:rsid w:val="00131A65"/>
    <w:rsid w:val="001320BA"/>
    <w:rsid w:val="001324D5"/>
    <w:rsid w:val="00133300"/>
    <w:rsid w:val="00133640"/>
    <w:rsid w:val="00142C22"/>
    <w:rsid w:val="00146992"/>
    <w:rsid w:val="00147247"/>
    <w:rsid w:val="00155454"/>
    <w:rsid w:val="00171878"/>
    <w:rsid w:val="00173F08"/>
    <w:rsid w:val="00175DD0"/>
    <w:rsid w:val="001817CC"/>
    <w:rsid w:val="00182625"/>
    <w:rsid w:val="001870C1"/>
    <w:rsid w:val="00190281"/>
    <w:rsid w:val="00193611"/>
    <w:rsid w:val="001A5C97"/>
    <w:rsid w:val="001A7A26"/>
    <w:rsid w:val="001B0195"/>
    <w:rsid w:val="001B1DF5"/>
    <w:rsid w:val="001C1162"/>
    <w:rsid w:val="001C6DC2"/>
    <w:rsid w:val="001D4213"/>
    <w:rsid w:val="001E2AE8"/>
    <w:rsid w:val="001E46DB"/>
    <w:rsid w:val="001E6BC3"/>
    <w:rsid w:val="001E74AF"/>
    <w:rsid w:val="001F017C"/>
    <w:rsid w:val="001F171B"/>
    <w:rsid w:val="001F3715"/>
    <w:rsid w:val="001F65FD"/>
    <w:rsid w:val="0020154A"/>
    <w:rsid w:val="0020248F"/>
    <w:rsid w:val="00202E67"/>
    <w:rsid w:val="00206EEF"/>
    <w:rsid w:val="00217EA4"/>
    <w:rsid w:val="00220D81"/>
    <w:rsid w:val="002210CC"/>
    <w:rsid w:val="002217D0"/>
    <w:rsid w:val="00222688"/>
    <w:rsid w:val="00225FC1"/>
    <w:rsid w:val="002352F6"/>
    <w:rsid w:val="00240FC2"/>
    <w:rsid w:val="0024164F"/>
    <w:rsid w:val="002433E4"/>
    <w:rsid w:val="00245CCC"/>
    <w:rsid w:val="00246080"/>
    <w:rsid w:val="00246DD2"/>
    <w:rsid w:val="002475D4"/>
    <w:rsid w:val="002559D2"/>
    <w:rsid w:val="00261C59"/>
    <w:rsid w:val="002635E5"/>
    <w:rsid w:val="00271CEE"/>
    <w:rsid w:val="00271DC6"/>
    <w:rsid w:val="00271EAD"/>
    <w:rsid w:val="0027451D"/>
    <w:rsid w:val="0027453D"/>
    <w:rsid w:val="00281F6E"/>
    <w:rsid w:val="002904D7"/>
    <w:rsid w:val="00293F31"/>
    <w:rsid w:val="00294774"/>
    <w:rsid w:val="00295BC4"/>
    <w:rsid w:val="002970FF"/>
    <w:rsid w:val="002A0C6E"/>
    <w:rsid w:val="002A1F0F"/>
    <w:rsid w:val="002A2309"/>
    <w:rsid w:val="002A5933"/>
    <w:rsid w:val="002B082C"/>
    <w:rsid w:val="002B1650"/>
    <w:rsid w:val="002B60E5"/>
    <w:rsid w:val="002B615E"/>
    <w:rsid w:val="002B69A7"/>
    <w:rsid w:val="002C00FA"/>
    <w:rsid w:val="002C5008"/>
    <w:rsid w:val="002C6D2E"/>
    <w:rsid w:val="002C6D36"/>
    <w:rsid w:val="002D2559"/>
    <w:rsid w:val="002D33B3"/>
    <w:rsid w:val="002E7DA0"/>
    <w:rsid w:val="002F0D20"/>
    <w:rsid w:val="002F23ED"/>
    <w:rsid w:val="002F361F"/>
    <w:rsid w:val="002F5A28"/>
    <w:rsid w:val="002F6C0F"/>
    <w:rsid w:val="003047B3"/>
    <w:rsid w:val="00305C85"/>
    <w:rsid w:val="00306563"/>
    <w:rsid w:val="003115A5"/>
    <w:rsid w:val="00311ADA"/>
    <w:rsid w:val="00313CFB"/>
    <w:rsid w:val="00320E26"/>
    <w:rsid w:val="00321F1F"/>
    <w:rsid w:val="0032410B"/>
    <w:rsid w:val="00325F1F"/>
    <w:rsid w:val="00334634"/>
    <w:rsid w:val="00335225"/>
    <w:rsid w:val="00340A26"/>
    <w:rsid w:val="00344541"/>
    <w:rsid w:val="003504DB"/>
    <w:rsid w:val="003531DD"/>
    <w:rsid w:val="00353909"/>
    <w:rsid w:val="003632B8"/>
    <w:rsid w:val="00364FC5"/>
    <w:rsid w:val="00372343"/>
    <w:rsid w:val="0037238F"/>
    <w:rsid w:val="0037275D"/>
    <w:rsid w:val="00374E46"/>
    <w:rsid w:val="003872F6"/>
    <w:rsid w:val="003920A7"/>
    <w:rsid w:val="003963B3"/>
    <w:rsid w:val="00396AF3"/>
    <w:rsid w:val="00396BAD"/>
    <w:rsid w:val="003B19AE"/>
    <w:rsid w:val="003B1AA3"/>
    <w:rsid w:val="003B3DC2"/>
    <w:rsid w:val="003B4B52"/>
    <w:rsid w:val="003C1399"/>
    <w:rsid w:val="003C584D"/>
    <w:rsid w:val="003D241A"/>
    <w:rsid w:val="003D5704"/>
    <w:rsid w:val="003D607E"/>
    <w:rsid w:val="003D6E3B"/>
    <w:rsid w:val="003E6DB9"/>
    <w:rsid w:val="003F7FC0"/>
    <w:rsid w:val="00400416"/>
    <w:rsid w:val="00407DD6"/>
    <w:rsid w:val="0041712E"/>
    <w:rsid w:val="00417630"/>
    <w:rsid w:val="004212D7"/>
    <w:rsid w:val="00421BAD"/>
    <w:rsid w:val="004227B2"/>
    <w:rsid w:val="004238D8"/>
    <w:rsid w:val="004243CE"/>
    <w:rsid w:val="00433146"/>
    <w:rsid w:val="00443886"/>
    <w:rsid w:val="00473FC8"/>
    <w:rsid w:val="004744A0"/>
    <w:rsid w:val="00476518"/>
    <w:rsid w:val="00481C22"/>
    <w:rsid w:val="004857C6"/>
    <w:rsid w:val="00486184"/>
    <w:rsid w:val="00490413"/>
    <w:rsid w:val="00492397"/>
    <w:rsid w:val="004A19CD"/>
    <w:rsid w:val="004A2B65"/>
    <w:rsid w:val="004A3F59"/>
    <w:rsid w:val="004B1D19"/>
    <w:rsid w:val="004C3BB6"/>
    <w:rsid w:val="004C5348"/>
    <w:rsid w:val="004D3F2B"/>
    <w:rsid w:val="004D6E44"/>
    <w:rsid w:val="004E09D0"/>
    <w:rsid w:val="004E5F5E"/>
    <w:rsid w:val="004E6262"/>
    <w:rsid w:val="004E6916"/>
    <w:rsid w:val="004F2917"/>
    <w:rsid w:val="004F75CD"/>
    <w:rsid w:val="00500AA3"/>
    <w:rsid w:val="00501F33"/>
    <w:rsid w:val="0050557D"/>
    <w:rsid w:val="00511D68"/>
    <w:rsid w:val="00517C02"/>
    <w:rsid w:val="0052173A"/>
    <w:rsid w:val="005267E5"/>
    <w:rsid w:val="0052784E"/>
    <w:rsid w:val="00537D94"/>
    <w:rsid w:val="005425E0"/>
    <w:rsid w:val="00544335"/>
    <w:rsid w:val="0054548B"/>
    <w:rsid w:val="0054639B"/>
    <w:rsid w:val="00553A41"/>
    <w:rsid w:val="00572C3F"/>
    <w:rsid w:val="00581964"/>
    <w:rsid w:val="005827E1"/>
    <w:rsid w:val="00582BF0"/>
    <w:rsid w:val="005A0D1A"/>
    <w:rsid w:val="005A7124"/>
    <w:rsid w:val="005A7979"/>
    <w:rsid w:val="005B1967"/>
    <w:rsid w:val="005B40FD"/>
    <w:rsid w:val="005B61B0"/>
    <w:rsid w:val="005C4ED3"/>
    <w:rsid w:val="005D12B4"/>
    <w:rsid w:val="005D2A07"/>
    <w:rsid w:val="005D3924"/>
    <w:rsid w:val="005D6F0B"/>
    <w:rsid w:val="005E0786"/>
    <w:rsid w:val="005E2C59"/>
    <w:rsid w:val="005E4AA8"/>
    <w:rsid w:val="005E59E4"/>
    <w:rsid w:val="005F5BA8"/>
    <w:rsid w:val="005F6E6F"/>
    <w:rsid w:val="005F6F3B"/>
    <w:rsid w:val="0060001E"/>
    <w:rsid w:val="00603A24"/>
    <w:rsid w:val="00603E07"/>
    <w:rsid w:val="006067C2"/>
    <w:rsid w:val="00617F7E"/>
    <w:rsid w:val="0062280C"/>
    <w:rsid w:val="00627B86"/>
    <w:rsid w:val="00631303"/>
    <w:rsid w:val="00634788"/>
    <w:rsid w:val="00635D3C"/>
    <w:rsid w:val="00640797"/>
    <w:rsid w:val="00641F6D"/>
    <w:rsid w:val="006425E0"/>
    <w:rsid w:val="006508F5"/>
    <w:rsid w:val="006510BB"/>
    <w:rsid w:val="0065482D"/>
    <w:rsid w:val="006657B3"/>
    <w:rsid w:val="00672187"/>
    <w:rsid w:val="00672E8F"/>
    <w:rsid w:val="0067404A"/>
    <w:rsid w:val="006768F7"/>
    <w:rsid w:val="0067709A"/>
    <w:rsid w:val="006800F2"/>
    <w:rsid w:val="006841F6"/>
    <w:rsid w:val="00684616"/>
    <w:rsid w:val="0068694B"/>
    <w:rsid w:val="006874A6"/>
    <w:rsid w:val="00697338"/>
    <w:rsid w:val="006A0855"/>
    <w:rsid w:val="006A0BDA"/>
    <w:rsid w:val="006A22B7"/>
    <w:rsid w:val="006A3E24"/>
    <w:rsid w:val="006C3494"/>
    <w:rsid w:val="006C4407"/>
    <w:rsid w:val="006D093C"/>
    <w:rsid w:val="006D1D96"/>
    <w:rsid w:val="006E2EE7"/>
    <w:rsid w:val="006E508D"/>
    <w:rsid w:val="006E6814"/>
    <w:rsid w:val="006E7676"/>
    <w:rsid w:val="006F122E"/>
    <w:rsid w:val="006F346A"/>
    <w:rsid w:val="006F5A45"/>
    <w:rsid w:val="00733A00"/>
    <w:rsid w:val="00744DAE"/>
    <w:rsid w:val="00745834"/>
    <w:rsid w:val="007508ED"/>
    <w:rsid w:val="007520B9"/>
    <w:rsid w:val="00755540"/>
    <w:rsid w:val="00762607"/>
    <w:rsid w:val="00764178"/>
    <w:rsid w:val="00767A43"/>
    <w:rsid w:val="00770538"/>
    <w:rsid w:val="0077084A"/>
    <w:rsid w:val="00774BFB"/>
    <w:rsid w:val="0077605D"/>
    <w:rsid w:val="0077750A"/>
    <w:rsid w:val="007824BA"/>
    <w:rsid w:val="00783714"/>
    <w:rsid w:val="007839F3"/>
    <w:rsid w:val="00785B24"/>
    <w:rsid w:val="0078606D"/>
    <w:rsid w:val="00793757"/>
    <w:rsid w:val="007A00F3"/>
    <w:rsid w:val="007A59B0"/>
    <w:rsid w:val="007A5C66"/>
    <w:rsid w:val="007A75E9"/>
    <w:rsid w:val="007C3F4C"/>
    <w:rsid w:val="007C4EF0"/>
    <w:rsid w:val="007D6DB7"/>
    <w:rsid w:val="007E39F0"/>
    <w:rsid w:val="007E5997"/>
    <w:rsid w:val="007F0744"/>
    <w:rsid w:val="007F32F4"/>
    <w:rsid w:val="007F4EC3"/>
    <w:rsid w:val="007F6448"/>
    <w:rsid w:val="00802856"/>
    <w:rsid w:val="00803393"/>
    <w:rsid w:val="00806C45"/>
    <w:rsid w:val="0081088B"/>
    <w:rsid w:val="0081485C"/>
    <w:rsid w:val="00816E31"/>
    <w:rsid w:val="0083316F"/>
    <w:rsid w:val="008349B4"/>
    <w:rsid w:val="008402A6"/>
    <w:rsid w:val="008423E0"/>
    <w:rsid w:val="00847315"/>
    <w:rsid w:val="00850120"/>
    <w:rsid w:val="00850AF7"/>
    <w:rsid w:val="008527D9"/>
    <w:rsid w:val="00854698"/>
    <w:rsid w:val="00874C1B"/>
    <w:rsid w:val="00875BAD"/>
    <w:rsid w:val="00876D08"/>
    <w:rsid w:val="008777A7"/>
    <w:rsid w:val="008832F1"/>
    <w:rsid w:val="008837E1"/>
    <w:rsid w:val="00890AB2"/>
    <w:rsid w:val="00894AD7"/>
    <w:rsid w:val="00894DAD"/>
    <w:rsid w:val="008A1E92"/>
    <w:rsid w:val="008A7573"/>
    <w:rsid w:val="008B6705"/>
    <w:rsid w:val="008C66E3"/>
    <w:rsid w:val="008C7EC7"/>
    <w:rsid w:val="008D24B7"/>
    <w:rsid w:val="008D43A2"/>
    <w:rsid w:val="008D7576"/>
    <w:rsid w:val="008E6BB5"/>
    <w:rsid w:val="008F0095"/>
    <w:rsid w:val="008F37F3"/>
    <w:rsid w:val="008F73A5"/>
    <w:rsid w:val="00910037"/>
    <w:rsid w:val="009222A2"/>
    <w:rsid w:val="00922E84"/>
    <w:rsid w:val="00924D4A"/>
    <w:rsid w:val="009268D4"/>
    <w:rsid w:val="00934FB3"/>
    <w:rsid w:val="009374E6"/>
    <w:rsid w:val="00950792"/>
    <w:rsid w:val="00951B71"/>
    <w:rsid w:val="00956F19"/>
    <w:rsid w:val="0096038B"/>
    <w:rsid w:val="0096079B"/>
    <w:rsid w:val="0096250A"/>
    <w:rsid w:val="00964084"/>
    <w:rsid w:val="0097518E"/>
    <w:rsid w:val="00976F55"/>
    <w:rsid w:val="00980559"/>
    <w:rsid w:val="00983B22"/>
    <w:rsid w:val="009879AC"/>
    <w:rsid w:val="00992705"/>
    <w:rsid w:val="009928BC"/>
    <w:rsid w:val="00995ADB"/>
    <w:rsid w:val="00997987"/>
    <w:rsid w:val="009A546E"/>
    <w:rsid w:val="009A69C9"/>
    <w:rsid w:val="009A7025"/>
    <w:rsid w:val="009B094E"/>
    <w:rsid w:val="009B217A"/>
    <w:rsid w:val="009B5596"/>
    <w:rsid w:val="009C1F23"/>
    <w:rsid w:val="009C3942"/>
    <w:rsid w:val="009C4242"/>
    <w:rsid w:val="009C6A86"/>
    <w:rsid w:val="009C7063"/>
    <w:rsid w:val="009C7926"/>
    <w:rsid w:val="009D05DE"/>
    <w:rsid w:val="009D5429"/>
    <w:rsid w:val="009E190D"/>
    <w:rsid w:val="009E6700"/>
    <w:rsid w:val="009F12B7"/>
    <w:rsid w:val="009F791F"/>
    <w:rsid w:val="00A01F30"/>
    <w:rsid w:val="00A0488C"/>
    <w:rsid w:val="00A1193C"/>
    <w:rsid w:val="00A143DE"/>
    <w:rsid w:val="00A1610E"/>
    <w:rsid w:val="00A22DD0"/>
    <w:rsid w:val="00A23170"/>
    <w:rsid w:val="00A26724"/>
    <w:rsid w:val="00A33F6A"/>
    <w:rsid w:val="00A372FD"/>
    <w:rsid w:val="00A37748"/>
    <w:rsid w:val="00A37E8E"/>
    <w:rsid w:val="00A45A43"/>
    <w:rsid w:val="00A51061"/>
    <w:rsid w:val="00A5435D"/>
    <w:rsid w:val="00A5780D"/>
    <w:rsid w:val="00A65DBE"/>
    <w:rsid w:val="00A664EE"/>
    <w:rsid w:val="00A6671F"/>
    <w:rsid w:val="00A66BDA"/>
    <w:rsid w:val="00A70379"/>
    <w:rsid w:val="00A74548"/>
    <w:rsid w:val="00A761ED"/>
    <w:rsid w:val="00A83E23"/>
    <w:rsid w:val="00A9020C"/>
    <w:rsid w:val="00A93647"/>
    <w:rsid w:val="00A93D4E"/>
    <w:rsid w:val="00A94FA3"/>
    <w:rsid w:val="00AA010F"/>
    <w:rsid w:val="00AB4694"/>
    <w:rsid w:val="00AB576F"/>
    <w:rsid w:val="00AB5D04"/>
    <w:rsid w:val="00AC03C9"/>
    <w:rsid w:val="00AC34A1"/>
    <w:rsid w:val="00AC5AD4"/>
    <w:rsid w:val="00AC75E9"/>
    <w:rsid w:val="00AD3EA5"/>
    <w:rsid w:val="00AD5725"/>
    <w:rsid w:val="00AD7B1F"/>
    <w:rsid w:val="00AE3CA3"/>
    <w:rsid w:val="00AE3EC8"/>
    <w:rsid w:val="00AE5ED3"/>
    <w:rsid w:val="00AF417C"/>
    <w:rsid w:val="00AF4C14"/>
    <w:rsid w:val="00AF5B50"/>
    <w:rsid w:val="00AF6616"/>
    <w:rsid w:val="00B00238"/>
    <w:rsid w:val="00B0321E"/>
    <w:rsid w:val="00B1129B"/>
    <w:rsid w:val="00B259D5"/>
    <w:rsid w:val="00B25B3D"/>
    <w:rsid w:val="00B2674E"/>
    <w:rsid w:val="00B32D83"/>
    <w:rsid w:val="00B343CF"/>
    <w:rsid w:val="00B34D89"/>
    <w:rsid w:val="00B354BC"/>
    <w:rsid w:val="00B37B4D"/>
    <w:rsid w:val="00B40D11"/>
    <w:rsid w:val="00B4314C"/>
    <w:rsid w:val="00B465A7"/>
    <w:rsid w:val="00B50065"/>
    <w:rsid w:val="00B54B17"/>
    <w:rsid w:val="00B56718"/>
    <w:rsid w:val="00B61E5A"/>
    <w:rsid w:val="00B62FB6"/>
    <w:rsid w:val="00B638D9"/>
    <w:rsid w:val="00B65B2E"/>
    <w:rsid w:val="00B70FAA"/>
    <w:rsid w:val="00B7427F"/>
    <w:rsid w:val="00B765AF"/>
    <w:rsid w:val="00B85A24"/>
    <w:rsid w:val="00B92681"/>
    <w:rsid w:val="00B94B34"/>
    <w:rsid w:val="00B953FD"/>
    <w:rsid w:val="00BA089F"/>
    <w:rsid w:val="00BA5FA9"/>
    <w:rsid w:val="00BB17DB"/>
    <w:rsid w:val="00BB1849"/>
    <w:rsid w:val="00BB4C1B"/>
    <w:rsid w:val="00BC2CBE"/>
    <w:rsid w:val="00BC3940"/>
    <w:rsid w:val="00BC74F5"/>
    <w:rsid w:val="00BD439E"/>
    <w:rsid w:val="00BE12B2"/>
    <w:rsid w:val="00BF0404"/>
    <w:rsid w:val="00BF0CC8"/>
    <w:rsid w:val="00BF76BF"/>
    <w:rsid w:val="00C02CA2"/>
    <w:rsid w:val="00C039CC"/>
    <w:rsid w:val="00C04DD8"/>
    <w:rsid w:val="00C146E5"/>
    <w:rsid w:val="00C17926"/>
    <w:rsid w:val="00C24C68"/>
    <w:rsid w:val="00C31347"/>
    <w:rsid w:val="00C36191"/>
    <w:rsid w:val="00C40B94"/>
    <w:rsid w:val="00C43D72"/>
    <w:rsid w:val="00C52F52"/>
    <w:rsid w:val="00C56763"/>
    <w:rsid w:val="00C57406"/>
    <w:rsid w:val="00C623B4"/>
    <w:rsid w:val="00C6413D"/>
    <w:rsid w:val="00C65A3F"/>
    <w:rsid w:val="00C72074"/>
    <w:rsid w:val="00C74E8B"/>
    <w:rsid w:val="00C75BDC"/>
    <w:rsid w:val="00C81EB7"/>
    <w:rsid w:val="00C8202C"/>
    <w:rsid w:val="00C8273C"/>
    <w:rsid w:val="00C87366"/>
    <w:rsid w:val="00C95BE3"/>
    <w:rsid w:val="00CA0B6C"/>
    <w:rsid w:val="00CA1589"/>
    <w:rsid w:val="00CA2B78"/>
    <w:rsid w:val="00CA798C"/>
    <w:rsid w:val="00CB3F2A"/>
    <w:rsid w:val="00CB7453"/>
    <w:rsid w:val="00CC0AA6"/>
    <w:rsid w:val="00CC0E1D"/>
    <w:rsid w:val="00CC69B2"/>
    <w:rsid w:val="00CC7B8D"/>
    <w:rsid w:val="00CD4800"/>
    <w:rsid w:val="00CD6383"/>
    <w:rsid w:val="00CD7E3B"/>
    <w:rsid w:val="00CE2668"/>
    <w:rsid w:val="00CE45CB"/>
    <w:rsid w:val="00CF330D"/>
    <w:rsid w:val="00CF7636"/>
    <w:rsid w:val="00D12ED3"/>
    <w:rsid w:val="00D20206"/>
    <w:rsid w:val="00D2543F"/>
    <w:rsid w:val="00D30C87"/>
    <w:rsid w:val="00D30EA4"/>
    <w:rsid w:val="00D3216B"/>
    <w:rsid w:val="00D40DFA"/>
    <w:rsid w:val="00D417A9"/>
    <w:rsid w:val="00D5484F"/>
    <w:rsid w:val="00D66450"/>
    <w:rsid w:val="00D712F4"/>
    <w:rsid w:val="00D771A8"/>
    <w:rsid w:val="00D93F92"/>
    <w:rsid w:val="00DA0FF4"/>
    <w:rsid w:val="00DB2551"/>
    <w:rsid w:val="00DB31BE"/>
    <w:rsid w:val="00DB488B"/>
    <w:rsid w:val="00DB6E0E"/>
    <w:rsid w:val="00DD2307"/>
    <w:rsid w:val="00DD3736"/>
    <w:rsid w:val="00DD79F6"/>
    <w:rsid w:val="00DF39E6"/>
    <w:rsid w:val="00DF6F15"/>
    <w:rsid w:val="00E0488D"/>
    <w:rsid w:val="00E12851"/>
    <w:rsid w:val="00E312E1"/>
    <w:rsid w:val="00E4085C"/>
    <w:rsid w:val="00E441F5"/>
    <w:rsid w:val="00E52BA9"/>
    <w:rsid w:val="00E52CF8"/>
    <w:rsid w:val="00E6133C"/>
    <w:rsid w:val="00E65A87"/>
    <w:rsid w:val="00E80CF7"/>
    <w:rsid w:val="00E80E06"/>
    <w:rsid w:val="00E81C4C"/>
    <w:rsid w:val="00E82032"/>
    <w:rsid w:val="00E846B0"/>
    <w:rsid w:val="00E9005B"/>
    <w:rsid w:val="00E903CD"/>
    <w:rsid w:val="00E940F0"/>
    <w:rsid w:val="00E94A00"/>
    <w:rsid w:val="00EA00BF"/>
    <w:rsid w:val="00EA0CAE"/>
    <w:rsid w:val="00EA3110"/>
    <w:rsid w:val="00EA6771"/>
    <w:rsid w:val="00EC1D54"/>
    <w:rsid w:val="00EC79A2"/>
    <w:rsid w:val="00ED32A9"/>
    <w:rsid w:val="00ED40BD"/>
    <w:rsid w:val="00ED5F42"/>
    <w:rsid w:val="00EE3B41"/>
    <w:rsid w:val="00EE62DF"/>
    <w:rsid w:val="00EF001E"/>
    <w:rsid w:val="00EF300E"/>
    <w:rsid w:val="00EF340D"/>
    <w:rsid w:val="00F03170"/>
    <w:rsid w:val="00F035D2"/>
    <w:rsid w:val="00F03AA6"/>
    <w:rsid w:val="00F05208"/>
    <w:rsid w:val="00F063CC"/>
    <w:rsid w:val="00F135F2"/>
    <w:rsid w:val="00F23A47"/>
    <w:rsid w:val="00F33F08"/>
    <w:rsid w:val="00F34801"/>
    <w:rsid w:val="00F35DE0"/>
    <w:rsid w:val="00F3790B"/>
    <w:rsid w:val="00F46983"/>
    <w:rsid w:val="00F474D1"/>
    <w:rsid w:val="00F53B97"/>
    <w:rsid w:val="00F63E69"/>
    <w:rsid w:val="00F64306"/>
    <w:rsid w:val="00F74BBF"/>
    <w:rsid w:val="00F83748"/>
    <w:rsid w:val="00F87B2A"/>
    <w:rsid w:val="00F90F85"/>
    <w:rsid w:val="00F930B4"/>
    <w:rsid w:val="00F951F7"/>
    <w:rsid w:val="00FA40BD"/>
    <w:rsid w:val="00FB2111"/>
    <w:rsid w:val="00FB401C"/>
    <w:rsid w:val="00FB4044"/>
    <w:rsid w:val="00FB5471"/>
    <w:rsid w:val="00FB5A6C"/>
    <w:rsid w:val="00FC4759"/>
    <w:rsid w:val="00FC5135"/>
    <w:rsid w:val="00FC53DC"/>
    <w:rsid w:val="00FD00F1"/>
    <w:rsid w:val="00FD615B"/>
    <w:rsid w:val="00FE2BDF"/>
    <w:rsid w:val="00FE6608"/>
    <w:rsid w:val="00FF12EE"/>
    <w:rsid w:val="00FF45EB"/>
    <w:rsid w:val="00FF521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1D68"/>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jc w:val="center"/>
      <w:outlineLvl w:val="2"/>
    </w:pPr>
    <w:rPr>
      <w:rFonts w:ascii="Times New Roman" w:hAnsi="Times New Roman"/>
      <w:b/>
      <w:sz w:val="28"/>
      <w:szCs w:val="28"/>
    </w:rPr>
  </w:style>
  <w:style w:type="paragraph" w:styleId="4">
    <w:name w:val="heading 4"/>
    <w:basedOn w:val="a"/>
    <w:next w:val="a"/>
    <w:link w:val="40"/>
    <w:uiPriority w:val="9"/>
    <w:semiHidden/>
    <w:unhideWhenUsed/>
    <w:qFormat/>
    <w:rsid w:val="0096250A"/>
    <w:pPr>
      <w:keepNext/>
      <w:spacing w:line="720" w:lineRule="auto"/>
      <w:outlineLvl w:val="3"/>
    </w:pPr>
    <w:rPr>
      <w:rFonts w:ascii="Cambria"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unhideWhenUsed/>
    <w:pPr>
      <w:tabs>
        <w:tab w:val="center" w:pos="4153"/>
        <w:tab w:val="right" w:pos="8306"/>
      </w:tabs>
      <w:snapToGrid w:val="0"/>
    </w:pPr>
    <w:rPr>
      <w:sz w:val="20"/>
      <w:szCs w:val="20"/>
    </w:rPr>
  </w:style>
  <w:style w:type="character" w:customStyle="1" w:styleId="a5">
    <w:name w:val="字元"/>
    <w:rPr>
      <w:kern w:val="2"/>
    </w:rPr>
  </w:style>
  <w:style w:type="paragraph" w:styleId="a6">
    <w:name w:val="footer"/>
    <w:basedOn w:val="a"/>
    <w:unhideWhenUsed/>
    <w:pPr>
      <w:tabs>
        <w:tab w:val="center" w:pos="4153"/>
        <w:tab w:val="right" w:pos="8306"/>
      </w:tabs>
      <w:snapToGrid w:val="0"/>
    </w:pPr>
    <w:rPr>
      <w:sz w:val="20"/>
      <w:szCs w:val="20"/>
    </w:rPr>
  </w:style>
  <w:style w:type="character" w:customStyle="1" w:styleId="a7">
    <w:name w:val="字元"/>
    <w:rPr>
      <w:kern w:val="2"/>
    </w:rPr>
  </w:style>
  <w:style w:type="character" w:customStyle="1" w:styleId="a8">
    <w:name w:val="字元"/>
    <w:rPr>
      <w:rFonts w:ascii="Times New Roman" w:hAnsi="Times New Roman"/>
      <w:b/>
      <w:sz w:val="22"/>
      <w:lang w:val="en-US" w:eastAsia="en-US" w:bidi="ar-SA"/>
    </w:rPr>
  </w:style>
  <w:style w:type="paragraph" w:styleId="a0">
    <w:name w:val="Body Text"/>
    <w:link w:val="a9"/>
    <w:semiHidden/>
    <w:pPr>
      <w:spacing w:after="240"/>
      <w:jc w:val="both"/>
    </w:pPr>
    <w:rPr>
      <w:rFonts w:ascii="Times New Roman" w:hAnsi="Times New Roman"/>
      <w:sz w:val="22"/>
      <w:lang w:eastAsia="en-US"/>
    </w:rPr>
  </w:style>
  <w:style w:type="character" w:customStyle="1" w:styleId="aa">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rFonts w:ascii="Times New Roman" w:hAnsi="Times New Roman"/>
      <w:i/>
      <w:kern w:val="0"/>
      <w:sz w:val="22"/>
      <w:szCs w:val="20"/>
      <w:lang w:eastAsia="en-US"/>
    </w:rPr>
  </w:style>
  <w:style w:type="character" w:styleId="ab">
    <w:name w:val="page number"/>
    <w:basedOn w:val="a1"/>
    <w:semiHidden/>
  </w:style>
  <w:style w:type="paragraph" w:styleId="ac">
    <w:name w:val="footnote text"/>
    <w:basedOn w:val="a"/>
    <w:semiHidden/>
    <w:pPr>
      <w:widowControl/>
    </w:pPr>
    <w:rPr>
      <w:rFonts w:ascii="Arial" w:hAnsi="Arial"/>
      <w:kern w:val="0"/>
      <w:sz w:val="18"/>
      <w:szCs w:val="20"/>
      <w:lang w:eastAsia="en-US"/>
    </w:rPr>
  </w:style>
  <w:style w:type="character" w:customStyle="1" w:styleId="ad">
    <w:name w:val="字元"/>
    <w:semiHidden/>
    <w:rPr>
      <w:rFonts w:ascii="Arial" w:hAnsi="Arial"/>
      <w:sz w:val="18"/>
      <w:lang w:eastAsia="en-US"/>
    </w:rPr>
  </w:style>
  <w:style w:type="character" w:styleId="ae">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af">
    <w:name w:val="List Paragraph"/>
    <w:basedOn w:val="a"/>
    <w:qFormat/>
    <w:pPr>
      <w:ind w:leftChars="200" w:left="480"/>
    </w:pPr>
  </w:style>
  <w:style w:type="character" w:styleId="af0">
    <w:name w:val="annotation reference"/>
    <w:semiHidden/>
    <w:rPr>
      <w:sz w:val="18"/>
      <w:szCs w:val="18"/>
    </w:rPr>
  </w:style>
  <w:style w:type="paragraph" w:styleId="af1">
    <w:name w:val="annotation text"/>
    <w:basedOn w:val="a"/>
    <w:semiHidden/>
  </w:style>
  <w:style w:type="paragraph" w:customStyle="1" w:styleId="10">
    <w:name w:val="註解主旨1"/>
    <w:basedOn w:val="af1"/>
    <w:next w:val="af1"/>
    <w:semiHidden/>
    <w:rPr>
      <w:b/>
      <w:bCs/>
    </w:rPr>
  </w:style>
  <w:style w:type="paragraph" w:customStyle="1" w:styleId="11">
    <w:name w:val="註解方塊文字1"/>
    <w:basedOn w:val="a"/>
    <w:semiHidden/>
    <w:rPr>
      <w:rFonts w:ascii="Arial" w:hAnsi="Arial"/>
      <w:sz w:val="18"/>
      <w:szCs w:val="18"/>
    </w:rPr>
  </w:style>
  <w:style w:type="paragraph" w:customStyle="1" w:styleId="Style1">
    <w:name w:val="Style1"/>
    <w:basedOn w:val="a"/>
    <w:pPr>
      <w:widowControl/>
    </w:pPr>
    <w:rPr>
      <w:rFonts w:ascii="Times New Roman" w:hAnsi="Times New Roman"/>
      <w:kern w:val="0"/>
      <w:szCs w:val="20"/>
      <w:lang w:val="en-GB" w:eastAsia="en-US"/>
    </w:rPr>
  </w:style>
  <w:style w:type="paragraph" w:styleId="12">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2">
    <w:name w:val="Hyperlink"/>
    <w:semiHidden/>
    <w:rPr>
      <w:color w:val="0000FF"/>
      <w:u w:val="single"/>
    </w:rPr>
  </w:style>
  <w:style w:type="paragraph" w:styleId="af3">
    <w:name w:val="Title"/>
    <w:basedOn w:val="a"/>
    <w:qFormat/>
    <w:pPr>
      <w:widowControl/>
      <w:jc w:val="center"/>
    </w:pPr>
    <w:rPr>
      <w:rFonts w:ascii="Times New Roman" w:hAnsi="Times New Roman"/>
      <w:b/>
      <w:bCs/>
      <w:kern w:val="0"/>
      <w:sz w:val="32"/>
      <w:szCs w:val="24"/>
      <w:lang w:eastAsia="en-US"/>
    </w:rPr>
  </w:style>
  <w:style w:type="character" w:styleId="af4">
    <w:name w:val="Strong"/>
    <w:uiPriority w:val="22"/>
    <w:qFormat/>
    <w:rPr>
      <w:b/>
      <w:bCs/>
    </w:rPr>
  </w:style>
  <w:style w:type="character" w:customStyle="1" w:styleId="shorttext">
    <w:name w:val="short_text"/>
    <w:basedOn w:val="a1"/>
  </w:style>
  <w:style w:type="character" w:customStyle="1" w:styleId="af5">
    <w:name w:val="頁尾 字元"/>
    <w:rPr>
      <w:rFonts w:eastAsia="SimSun"/>
      <w:kern w:val="2"/>
      <w:lang w:eastAsia="zh-CN"/>
    </w:rPr>
  </w:style>
  <w:style w:type="table" w:styleId="af6">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9">
    <w:name w:val="本文 字元"/>
    <w:link w:val="a0"/>
    <w:semiHidden/>
    <w:rsid w:val="00CA1589"/>
    <w:rPr>
      <w:rFonts w:ascii="Times New Roman" w:hAnsi="Times New Roman"/>
      <w:sz w:val="22"/>
      <w:lang w:eastAsia="en-US"/>
    </w:rPr>
  </w:style>
  <w:style w:type="character" w:customStyle="1" w:styleId="13">
    <w:name w:val="未解析的提及1"/>
    <w:basedOn w:val="a1"/>
    <w:uiPriority w:val="99"/>
    <w:semiHidden/>
    <w:unhideWhenUsed/>
    <w:rsid w:val="000D3340"/>
    <w:rPr>
      <w:color w:val="605E5C"/>
      <w:shd w:val="clear" w:color="auto" w:fill="E1DFDD"/>
    </w:rPr>
  </w:style>
  <w:style w:type="paragraph" w:styleId="HTML">
    <w:name w:val="HTML Preformatted"/>
    <w:basedOn w:val="a"/>
    <w:link w:val="HTML0"/>
    <w:uiPriority w:val="99"/>
    <w:unhideWhenUsed/>
    <w:rsid w:val="004C3BB6"/>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rPr>
  </w:style>
  <w:style w:type="character" w:customStyle="1" w:styleId="HTML0">
    <w:name w:val="HTML 預設格式 字元"/>
    <w:basedOn w:val="a1"/>
    <w:link w:val="HTML"/>
    <w:uiPriority w:val="99"/>
    <w:rsid w:val="004C3BB6"/>
    <w:rPr>
      <w:rFonts w:ascii="Courier New" w:eastAsia="Times New Roman" w:hAnsi="Courier New" w:cs="Courier New"/>
    </w:rPr>
  </w:style>
  <w:style w:type="paragraph" w:styleId="af7">
    <w:name w:val="Revision"/>
    <w:hidden/>
    <w:uiPriority w:val="99"/>
    <w:semiHidden/>
    <w:rsid w:val="00C72074"/>
    <w:rPr>
      <w:kern w:val="2"/>
      <w:sz w:val="24"/>
      <w:szCs w:val="22"/>
    </w:rPr>
  </w:style>
  <w:style w:type="paragraph" w:styleId="af8">
    <w:name w:val="Balloon Text"/>
    <w:basedOn w:val="a"/>
    <w:link w:val="af9"/>
    <w:uiPriority w:val="99"/>
    <w:semiHidden/>
    <w:unhideWhenUsed/>
    <w:rsid w:val="009B094E"/>
    <w:rPr>
      <w:rFonts w:asciiTheme="majorHAnsi" w:eastAsiaTheme="majorEastAsia" w:hAnsiTheme="majorHAnsi" w:cstheme="majorBidi"/>
      <w:sz w:val="18"/>
      <w:szCs w:val="18"/>
    </w:rPr>
  </w:style>
  <w:style w:type="character" w:customStyle="1" w:styleId="af9">
    <w:name w:val="註解方塊文字 字元"/>
    <w:basedOn w:val="a1"/>
    <w:link w:val="af8"/>
    <w:uiPriority w:val="99"/>
    <w:semiHidden/>
    <w:rsid w:val="009B094E"/>
    <w:rPr>
      <w:rFonts w:asciiTheme="majorHAnsi" w:eastAsiaTheme="majorEastAsia" w:hAnsiTheme="majorHAnsi" w:cstheme="majorBidi"/>
      <w:kern w:val="2"/>
      <w:sz w:val="18"/>
      <w:szCs w:val="18"/>
    </w:rPr>
  </w:style>
  <w:style w:type="character" w:styleId="afa">
    <w:name w:val="Emphasis"/>
    <w:basedOn w:val="a1"/>
    <w:uiPriority w:val="20"/>
    <w:qFormat/>
    <w:rsid w:val="00245CCC"/>
    <w:rPr>
      <w:i/>
      <w:iCs/>
    </w:rPr>
  </w:style>
  <w:style w:type="character" w:customStyle="1" w:styleId="22">
    <w:name w:val="未解析的提及2"/>
    <w:basedOn w:val="a1"/>
    <w:uiPriority w:val="99"/>
    <w:semiHidden/>
    <w:unhideWhenUsed/>
    <w:rsid w:val="00C56763"/>
    <w:rPr>
      <w:color w:val="605E5C"/>
      <w:shd w:val="clear" w:color="auto" w:fill="E1DFDD"/>
    </w:rPr>
  </w:style>
  <w:style w:type="character" w:styleId="afb">
    <w:name w:val="Unresolved Mention"/>
    <w:basedOn w:val="a1"/>
    <w:uiPriority w:val="99"/>
    <w:semiHidden/>
    <w:unhideWhenUsed/>
    <w:rsid w:val="00421B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514769">
      <w:bodyDiv w:val="1"/>
      <w:marLeft w:val="0"/>
      <w:marRight w:val="0"/>
      <w:marTop w:val="0"/>
      <w:marBottom w:val="0"/>
      <w:divBdr>
        <w:top w:val="none" w:sz="0" w:space="0" w:color="auto"/>
        <w:left w:val="none" w:sz="0" w:space="0" w:color="auto"/>
        <w:bottom w:val="none" w:sz="0" w:space="0" w:color="auto"/>
        <w:right w:val="none" w:sz="0" w:space="0" w:color="auto"/>
      </w:divBdr>
    </w:div>
    <w:div w:id="150566006">
      <w:bodyDiv w:val="1"/>
      <w:marLeft w:val="0"/>
      <w:marRight w:val="0"/>
      <w:marTop w:val="0"/>
      <w:marBottom w:val="0"/>
      <w:divBdr>
        <w:top w:val="none" w:sz="0" w:space="0" w:color="auto"/>
        <w:left w:val="none" w:sz="0" w:space="0" w:color="auto"/>
        <w:bottom w:val="none" w:sz="0" w:space="0" w:color="auto"/>
        <w:right w:val="none" w:sz="0" w:space="0" w:color="auto"/>
      </w:divBdr>
    </w:div>
    <w:div w:id="191848586">
      <w:bodyDiv w:val="1"/>
      <w:marLeft w:val="0"/>
      <w:marRight w:val="0"/>
      <w:marTop w:val="0"/>
      <w:marBottom w:val="0"/>
      <w:divBdr>
        <w:top w:val="none" w:sz="0" w:space="0" w:color="auto"/>
        <w:left w:val="none" w:sz="0" w:space="0" w:color="auto"/>
        <w:bottom w:val="none" w:sz="0" w:space="0" w:color="auto"/>
        <w:right w:val="none" w:sz="0" w:space="0" w:color="auto"/>
      </w:divBdr>
    </w:div>
    <w:div w:id="262954864">
      <w:bodyDiv w:val="1"/>
      <w:marLeft w:val="0"/>
      <w:marRight w:val="0"/>
      <w:marTop w:val="0"/>
      <w:marBottom w:val="0"/>
      <w:divBdr>
        <w:top w:val="none" w:sz="0" w:space="0" w:color="auto"/>
        <w:left w:val="none" w:sz="0" w:space="0" w:color="auto"/>
        <w:bottom w:val="none" w:sz="0" w:space="0" w:color="auto"/>
        <w:right w:val="none" w:sz="0" w:space="0" w:color="auto"/>
      </w:divBdr>
    </w:div>
    <w:div w:id="289094159">
      <w:bodyDiv w:val="1"/>
      <w:marLeft w:val="0"/>
      <w:marRight w:val="0"/>
      <w:marTop w:val="0"/>
      <w:marBottom w:val="0"/>
      <w:divBdr>
        <w:top w:val="none" w:sz="0" w:space="0" w:color="auto"/>
        <w:left w:val="none" w:sz="0" w:space="0" w:color="auto"/>
        <w:bottom w:val="none" w:sz="0" w:space="0" w:color="auto"/>
        <w:right w:val="none" w:sz="0" w:space="0" w:color="auto"/>
      </w:divBdr>
    </w:div>
    <w:div w:id="307629857">
      <w:bodyDiv w:val="1"/>
      <w:marLeft w:val="0"/>
      <w:marRight w:val="0"/>
      <w:marTop w:val="0"/>
      <w:marBottom w:val="0"/>
      <w:divBdr>
        <w:top w:val="none" w:sz="0" w:space="0" w:color="auto"/>
        <w:left w:val="none" w:sz="0" w:space="0" w:color="auto"/>
        <w:bottom w:val="none" w:sz="0" w:space="0" w:color="auto"/>
        <w:right w:val="none" w:sz="0" w:space="0" w:color="auto"/>
      </w:divBdr>
    </w:div>
    <w:div w:id="321664122">
      <w:bodyDiv w:val="1"/>
      <w:marLeft w:val="0"/>
      <w:marRight w:val="0"/>
      <w:marTop w:val="0"/>
      <w:marBottom w:val="0"/>
      <w:divBdr>
        <w:top w:val="none" w:sz="0" w:space="0" w:color="auto"/>
        <w:left w:val="none" w:sz="0" w:space="0" w:color="auto"/>
        <w:bottom w:val="none" w:sz="0" w:space="0" w:color="auto"/>
        <w:right w:val="none" w:sz="0" w:space="0" w:color="auto"/>
      </w:divBdr>
    </w:div>
    <w:div w:id="339814087">
      <w:bodyDiv w:val="1"/>
      <w:marLeft w:val="0"/>
      <w:marRight w:val="0"/>
      <w:marTop w:val="0"/>
      <w:marBottom w:val="0"/>
      <w:divBdr>
        <w:top w:val="none" w:sz="0" w:space="0" w:color="auto"/>
        <w:left w:val="none" w:sz="0" w:space="0" w:color="auto"/>
        <w:bottom w:val="none" w:sz="0" w:space="0" w:color="auto"/>
        <w:right w:val="none" w:sz="0" w:space="0" w:color="auto"/>
      </w:divBdr>
    </w:div>
    <w:div w:id="340667113">
      <w:bodyDiv w:val="1"/>
      <w:marLeft w:val="0"/>
      <w:marRight w:val="0"/>
      <w:marTop w:val="0"/>
      <w:marBottom w:val="0"/>
      <w:divBdr>
        <w:top w:val="none" w:sz="0" w:space="0" w:color="auto"/>
        <w:left w:val="none" w:sz="0" w:space="0" w:color="auto"/>
        <w:bottom w:val="none" w:sz="0" w:space="0" w:color="auto"/>
        <w:right w:val="none" w:sz="0" w:space="0" w:color="auto"/>
      </w:divBdr>
    </w:div>
    <w:div w:id="397214240">
      <w:bodyDiv w:val="1"/>
      <w:marLeft w:val="0"/>
      <w:marRight w:val="0"/>
      <w:marTop w:val="0"/>
      <w:marBottom w:val="0"/>
      <w:divBdr>
        <w:top w:val="none" w:sz="0" w:space="0" w:color="auto"/>
        <w:left w:val="none" w:sz="0" w:space="0" w:color="auto"/>
        <w:bottom w:val="none" w:sz="0" w:space="0" w:color="auto"/>
        <w:right w:val="none" w:sz="0" w:space="0" w:color="auto"/>
      </w:divBdr>
    </w:div>
    <w:div w:id="399131557">
      <w:bodyDiv w:val="1"/>
      <w:marLeft w:val="0"/>
      <w:marRight w:val="0"/>
      <w:marTop w:val="0"/>
      <w:marBottom w:val="0"/>
      <w:divBdr>
        <w:top w:val="none" w:sz="0" w:space="0" w:color="auto"/>
        <w:left w:val="none" w:sz="0" w:space="0" w:color="auto"/>
        <w:bottom w:val="none" w:sz="0" w:space="0" w:color="auto"/>
        <w:right w:val="none" w:sz="0" w:space="0" w:color="auto"/>
      </w:divBdr>
    </w:div>
    <w:div w:id="403139294">
      <w:bodyDiv w:val="1"/>
      <w:marLeft w:val="0"/>
      <w:marRight w:val="0"/>
      <w:marTop w:val="0"/>
      <w:marBottom w:val="0"/>
      <w:divBdr>
        <w:top w:val="none" w:sz="0" w:space="0" w:color="auto"/>
        <w:left w:val="none" w:sz="0" w:space="0" w:color="auto"/>
        <w:bottom w:val="none" w:sz="0" w:space="0" w:color="auto"/>
        <w:right w:val="none" w:sz="0" w:space="0" w:color="auto"/>
      </w:divBdr>
    </w:div>
    <w:div w:id="424880483">
      <w:bodyDiv w:val="1"/>
      <w:marLeft w:val="0"/>
      <w:marRight w:val="0"/>
      <w:marTop w:val="0"/>
      <w:marBottom w:val="0"/>
      <w:divBdr>
        <w:top w:val="none" w:sz="0" w:space="0" w:color="auto"/>
        <w:left w:val="none" w:sz="0" w:space="0" w:color="auto"/>
        <w:bottom w:val="none" w:sz="0" w:space="0" w:color="auto"/>
        <w:right w:val="none" w:sz="0" w:space="0" w:color="auto"/>
      </w:divBdr>
    </w:div>
    <w:div w:id="444934299">
      <w:bodyDiv w:val="1"/>
      <w:marLeft w:val="0"/>
      <w:marRight w:val="0"/>
      <w:marTop w:val="0"/>
      <w:marBottom w:val="0"/>
      <w:divBdr>
        <w:top w:val="none" w:sz="0" w:space="0" w:color="auto"/>
        <w:left w:val="none" w:sz="0" w:space="0" w:color="auto"/>
        <w:bottom w:val="none" w:sz="0" w:space="0" w:color="auto"/>
        <w:right w:val="none" w:sz="0" w:space="0" w:color="auto"/>
      </w:divBdr>
    </w:div>
    <w:div w:id="445347714">
      <w:bodyDiv w:val="1"/>
      <w:marLeft w:val="0"/>
      <w:marRight w:val="0"/>
      <w:marTop w:val="0"/>
      <w:marBottom w:val="0"/>
      <w:divBdr>
        <w:top w:val="none" w:sz="0" w:space="0" w:color="auto"/>
        <w:left w:val="none" w:sz="0" w:space="0" w:color="auto"/>
        <w:bottom w:val="none" w:sz="0" w:space="0" w:color="auto"/>
        <w:right w:val="none" w:sz="0" w:space="0" w:color="auto"/>
      </w:divBdr>
    </w:div>
    <w:div w:id="473841538">
      <w:bodyDiv w:val="1"/>
      <w:marLeft w:val="0"/>
      <w:marRight w:val="0"/>
      <w:marTop w:val="0"/>
      <w:marBottom w:val="0"/>
      <w:divBdr>
        <w:top w:val="none" w:sz="0" w:space="0" w:color="auto"/>
        <w:left w:val="none" w:sz="0" w:space="0" w:color="auto"/>
        <w:bottom w:val="none" w:sz="0" w:space="0" w:color="auto"/>
        <w:right w:val="none" w:sz="0" w:space="0" w:color="auto"/>
      </w:divBdr>
    </w:div>
    <w:div w:id="480193059">
      <w:bodyDiv w:val="1"/>
      <w:marLeft w:val="0"/>
      <w:marRight w:val="0"/>
      <w:marTop w:val="0"/>
      <w:marBottom w:val="0"/>
      <w:divBdr>
        <w:top w:val="none" w:sz="0" w:space="0" w:color="auto"/>
        <w:left w:val="none" w:sz="0" w:space="0" w:color="auto"/>
        <w:bottom w:val="none" w:sz="0" w:space="0" w:color="auto"/>
        <w:right w:val="none" w:sz="0" w:space="0" w:color="auto"/>
      </w:divBdr>
    </w:div>
    <w:div w:id="514928151">
      <w:bodyDiv w:val="1"/>
      <w:marLeft w:val="0"/>
      <w:marRight w:val="0"/>
      <w:marTop w:val="0"/>
      <w:marBottom w:val="0"/>
      <w:divBdr>
        <w:top w:val="none" w:sz="0" w:space="0" w:color="auto"/>
        <w:left w:val="none" w:sz="0" w:space="0" w:color="auto"/>
        <w:bottom w:val="none" w:sz="0" w:space="0" w:color="auto"/>
        <w:right w:val="none" w:sz="0" w:space="0" w:color="auto"/>
      </w:divBdr>
    </w:div>
    <w:div w:id="525100537">
      <w:bodyDiv w:val="1"/>
      <w:marLeft w:val="0"/>
      <w:marRight w:val="0"/>
      <w:marTop w:val="0"/>
      <w:marBottom w:val="0"/>
      <w:divBdr>
        <w:top w:val="none" w:sz="0" w:space="0" w:color="auto"/>
        <w:left w:val="none" w:sz="0" w:space="0" w:color="auto"/>
        <w:bottom w:val="none" w:sz="0" w:space="0" w:color="auto"/>
        <w:right w:val="none" w:sz="0" w:space="0" w:color="auto"/>
      </w:divBdr>
    </w:div>
    <w:div w:id="598222205">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82918019">
      <w:bodyDiv w:val="1"/>
      <w:marLeft w:val="0"/>
      <w:marRight w:val="0"/>
      <w:marTop w:val="0"/>
      <w:marBottom w:val="0"/>
      <w:divBdr>
        <w:top w:val="none" w:sz="0" w:space="0" w:color="auto"/>
        <w:left w:val="none" w:sz="0" w:space="0" w:color="auto"/>
        <w:bottom w:val="none" w:sz="0" w:space="0" w:color="auto"/>
        <w:right w:val="none" w:sz="0" w:space="0" w:color="auto"/>
      </w:divBdr>
    </w:div>
    <w:div w:id="786197670">
      <w:bodyDiv w:val="1"/>
      <w:marLeft w:val="0"/>
      <w:marRight w:val="0"/>
      <w:marTop w:val="0"/>
      <w:marBottom w:val="0"/>
      <w:divBdr>
        <w:top w:val="none" w:sz="0" w:space="0" w:color="auto"/>
        <w:left w:val="none" w:sz="0" w:space="0" w:color="auto"/>
        <w:bottom w:val="none" w:sz="0" w:space="0" w:color="auto"/>
        <w:right w:val="none" w:sz="0" w:space="0" w:color="auto"/>
      </w:divBdr>
    </w:div>
    <w:div w:id="828402917">
      <w:bodyDiv w:val="1"/>
      <w:marLeft w:val="0"/>
      <w:marRight w:val="0"/>
      <w:marTop w:val="0"/>
      <w:marBottom w:val="0"/>
      <w:divBdr>
        <w:top w:val="none" w:sz="0" w:space="0" w:color="auto"/>
        <w:left w:val="none" w:sz="0" w:space="0" w:color="auto"/>
        <w:bottom w:val="none" w:sz="0" w:space="0" w:color="auto"/>
        <w:right w:val="none" w:sz="0" w:space="0" w:color="auto"/>
      </w:divBdr>
    </w:div>
    <w:div w:id="870652041">
      <w:bodyDiv w:val="1"/>
      <w:marLeft w:val="0"/>
      <w:marRight w:val="0"/>
      <w:marTop w:val="0"/>
      <w:marBottom w:val="0"/>
      <w:divBdr>
        <w:top w:val="none" w:sz="0" w:space="0" w:color="auto"/>
        <w:left w:val="none" w:sz="0" w:space="0" w:color="auto"/>
        <w:bottom w:val="none" w:sz="0" w:space="0" w:color="auto"/>
        <w:right w:val="none" w:sz="0" w:space="0" w:color="auto"/>
      </w:divBdr>
    </w:div>
    <w:div w:id="901988796">
      <w:bodyDiv w:val="1"/>
      <w:marLeft w:val="0"/>
      <w:marRight w:val="0"/>
      <w:marTop w:val="0"/>
      <w:marBottom w:val="0"/>
      <w:divBdr>
        <w:top w:val="none" w:sz="0" w:space="0" w:color="auto"/>
        <w:left w:val="none" w:sz="0" w:space="0" w:color="auto"/>
        <w:bottom w:val="none" w:sz="0" w:space="0" w:color="auto"/>
        <w:right w:val="none" w:sz="0" w:space="0" w:color="auto"/>
      </w:divBdr>
    </w:div>
    <w:div w:id="912544707">
      <w:bodyDiv w:val="1"/>
      <w:marLeft w:val="0"/>
      <w:marRight w:val="0"/>
      <w:marTop w:val="0"/>
      <w:marBottom w:val="0"/>
      <w:divBdr>
        <w:top w:val="none" w:sz="0" w:space="0" w:color="auto"/>
        <w:left w:val="none" w:sz="0" w:space="0" w:color="auto"/>
        <w:bottom w:val="none" w:sz="0" w:space="0" w:color="auto"/>
        <w:right w:val="none" w:sz="0" w:space="0" w:color="auto"/>
      </w:divBdr>
    </w:div>
    <w:div w:id="965889880">
      <w:bodyDiv w:val="1"/>
      <w:marLeft w:val="0"/>
      <w:marRight w:val="0"/>
      <w:marTop w:val="0"/>
      <w:marBottom w:val="0"/>
      <w:divBdr>
        <w:top w:val="none" w:sz="0" w:space="0" w:color="auto"/>
        <w:left w:val="none" w:sz="0" w:space="0" w:color="auto"/>
        <w:bottom w:val="none" w:sz="0" w:space="0" w:color="auto"/>
        <w:right w:val="none" w:sz="0" w:space="0" w:color="auto"/>
      </w:divBdr>
    </w:div>
    <w:div w:id="967903941">
      <w:bodyDiv w:val="1"/>
      <w:marLeft w:val="0"/>
      <w:marRight w:val="0"/>
      <w:marTop w:val="0"/>
      <w:marBottom w:val="0"/>
      <w:divBdr>
        <w:top w:val="none" w:sz="0" w:space="0" w:color="auto"/>
        <w:left w:val="none" w:sz="0" w:space="0" w:color="auto"/>
        <w:bottom w:val="none" w:sz="0" w:space="0" w:color="auto"/>
        <w:right w:val="none" w:sz="0" w:space="0" w:color="auto"/>
      </w:divBdr>
    </w:div>
    <w:div w:id="983119634">
      <w:bodyDiv w:val="1"/>
      <w:marLeft w:val="0"/>
      <w:marRight w:val="0"/>
      <w:marTop w:val="0"/>
      <w:marBottom w:val="0"/>
      <w:divBdr>
        <w:top w:val="none" w:sz="0" w:space="0" w:color="auto"/>
        <w:left w:val="none" w:sz="0" w:space="0" w:color="auto"/>
        <w:bottom w:val="none" w:sz="0" w:space="0" w:color="auto"/>
        <w:right w:val="none" w:sz="0" w:space="0" w:color="auto"/>
      </w:divBdr>
    </w:div>
    <w:div w:id="1013460201">
      <w:bodyDiv w:val="1"/>
      <w:marLeft w:val="0"/>
      <w:marRight w:val="0"/>
      <w:marTop w:val="0"/>
      <w:marBottom w:val="0"/>
      <w:divBdr>
        <w:top w:val="none" w:sz="0" w:space="0" w:color="auto"/>
        <w:left w:val="none" w:sz="0" w:space="0" w:color="auto"/>
        <w:bottom w:val="none" w:sz="0" w:space="0" w:color="auto"/>
        <w:right w:val="none" w:sz="0" w:space="0" w:color="auto"/>
      </w:divBdr>
    </w:div>
    <w:div w:id="1023047336">
      <w:bodyDiv w:val="1"/>
      <w:marLeft w:val="0"/>
      <w:marRight w:val="0"/>
      <w:marTop w:val="0"/>
      <w:marBottom w:val="0"/>
      <w:divBdr>
        <w:top w:val="none" w:sz="0" w:space="0" w:color="auto"/>
        <w:left w:val="none" w:sz="0" w:space="0" w:color="auto"/>
        <w:bottom w:val="none" w:sz="0" w:space="0" w:color="auto"/>
        <w:right w:val="none" w:sz="0" w:space="0" w:color="auto"/>
      </w:divBdr>
    </w:div>
    <w:div w:id="1074158764">
      <w:bodyDiv w:val="1"/>
      <w:marLeft w:val="0"/>
      <w:marRight w:val="0"/>
      <w:marTop w:val="0"/>
      <w:marBottom w:val="0"/>
      <w:divBdr>
        <w:top w:val="none" w:sz="0" w:space="0" w:color="auto"/>
        <w:left w:val="none" w:sz="0" w:space="0" w:color="auto"/>
        <w:bottom w:val="none" w:sz="0" w:space="0" w:color="auto"/>
        <w:right w:val="none" w:sz="0" w:space="0" w:color="auto"/>
      </w:divBdr>
    </w:div>
    <w:div w:id="1127704217">
      <w:bodyDiv w:val="1"/>
      <w:marLeft w:val="0"/>
      <w:marRight w:val="0"/>
      <w:marTop w:val="0"/>
      <w:marBottom w:val="0"/>
      <w:divBdr>
        <w:top w:val="none" w:sz="0" w:space="0" w:color="auto"/>
        <w:left w:val="none" w:sz="0" w:space="0" w:color="auto"/>
        <w:bottom w:val="none" w:sz="0" w:space="0" w:color="auto"/>
        <w:right w:val="none" w:sz="0" w:space="0" w:color="auto"/>
      </w:divBdr>
    </w:div>
    <w:div w:id="1162936321">
      <w:bodyDiv w:val="1"/>
      <w:marLeft w:val="0"/>
      <w:marRight w:val="0"/>
      <w:marTop w:val="0"/>
      <w:marBottom w:val="0"/>
      <w:divBdr>
        <w:top w:val="none" w:sz="0" w:space="0" w:color="auto"/>
        <w:left w:val="none" w:sz="0" w:space="0" w:color="auto"/>
        <w:bottom w:val="none" w:sz="0" w:space="0" w:color="auto"/>
        <w:right w:val="none" w:sz="0" w:space="0" w:color="auto"/>
      </w:divBdr>
    </w:div>
    <w:div w:id="1209874846">
      <w:bodyDiv w:val="1"/>
      <w:marLeft w:val="0"/>
      <w:marRight w:val="0"/>
      <w:marTop w:val="0"/>
      <w:marBottom w:val="0"/>
      <w:divBdr>
        <w:top w:val="none" w:sz="0" w:space="0" w:color="auto"/>
        <w:left w:val="none" w:sz="0" w:space="0" w:color="auto"/>
        <w:bottom w:val="none" w:sz="0" w:space="0" w:color="auto"/>
        <w:right w:val="none" w:sz="0" w:space="0" w:color="auto"/>
      </w:divBdr>
    </w:div>
    <w:div w:id="1385135764">
      <w:bodyDiv w:val="1"/>
      <w:marLeft w:val="0"/>
      <w:marRight w:val="0"/>
      <w:marTop w:val="0"/>
      <w:marBottom w:val="0"/>
      <w:divBdr>
        <w:top w:val="none" w:sz="0" w:space="0" w:color="auto"/>
        <w:left w:val="none" w:sz="0" w:space="0" w:color="auto"/>
        <w:bottom w:val="none" w:sz="0" w:space="0" w:color="auto"/>
        <w:right w:val="none" w:sz="0" w:space="0" w:color="auto"/>
      </w:divBdr>
    </w:div>
    <w:div w:id="1393891398">
      <w:bodyDiv w:val="1"/>
      <w:marLeft w:val="0"/>
      <w:marRight w:val="0"/>
      <w:marTop w:val="0"/>
      <w:marBottom w:val="0"/>
      <w:divBdr>
        <w:top w:val="none" w:sz="0" w:space="0" w:color="auto"/>
        <w:left w:val="none" w:sz="0" w:space="0" w:color="auto"/>
        <w:bottom w:val="none" w:sz="0" w:space="0" w:color="auto"/>
        <w:right w:val="none" w:sz="0" w:space="0" w:color="auto"/>
      </w:divBdr>
    </w:div>
    <w:div w:id="1397127457">
      <w:bodyDiv w:val="1"/>
      <w:marLeft w:val="0"/>
      <w:marRight w:val="0"/>
      <w:marTop w:val="0"/>
      <w:marBottom w:val="0"/>
      <w:divBdr>
        <w:top w:val="none" w:sz="0" w:space="0" w:color="auto"/>
        <w:left w:val="none" w:sz="0" w:space="0" w:color="auto"/>
        <w:bottom w:val="none" w:sz="0" w:space="0" w:color="auto"/>
        <w:right w:val="none" w:sz="0" w:space="0" w:color="auto"/>
      </w:divBdr>
    </w:div>
    <w:div w:id="1397897105">
      <w:bodyDiv w:val="1"/>
      <w:marLeft w:val="0"/>
      <w:marRight w:val="0"/>
      <w:marTop w:val="0"/>
      <w:marBottom w:val="0"/>
      <w:divBdr>
        <w:top w:val="none" w:sz="0" w:space="0" w:color="auto"/>
        <w:left w:val="none" w:sz="0" w:space="0" w:color="auto"/>
        <w:bottom w:val="none" w:sz="0" w:space="0" w:color="auto"/>
        <w:right w:val="none" w:sz="0" w:space="0" w:color="auto"/>
      </w:divBdr>
    </w:div>
    <w:div w:id="1452898466">
      <w:bodyDiv w:val="1"/>
      <w:marLeft w:val="0"/>
      <w:marRight w:val="0"/>
      <w:marTop w:val="0"/>
      <w:marBottom w:val="0"/>
      <w:divBdr>
        <w:top w:val="none" w:sz="0" w:space="0" w:color="auto"/>
        <w:left w:val="none" w:sz="0" w:space="0" w:color="auto"/>
        <w:bottom w:val="none" w:sz="0" w:space="0" w:color="auto"/>
        <w:right w:val="none" w:sz="0" w:space="0" w:color="auto"/>
      </w:divBdr>
    </w:div>
    <w:div w:id="1470317228">
      <w:bodyDiv w:val="1"/>
      <w:marLeft w:val="0"/>
      <w:marRight w:val="0"/>
      <w:marTop w:val="0"/>
      <w:marBottom w:val="0"/>
      <w:divBdr>
        <w:top w:val="none" w:sz="0" w:space="0" w:color="auto"/>
        <w:left w:val="none" w:sz="0" w:space="0" w:color="auto"/>
        <w:bottom w:val="none" w:sz="0" w:space="0" w:color="auto"/>
        <w:right w:val="none" w:sz="0" w:space="0" w:color="auto"/>
      </w:divBdr>
    </w:div>
    <w:div w:id="1479808757">
      <w:bodyDiv w:val="1"/>
      <w:marLeft w:val="0"/>
      <w:marRight w:val="0"/>
      <w:marTop w:val="0"/>
      <w:marBottom w:val="0"/>
      <w:divBdr>
        <w:top w:val="none" w:sz="0" w:space="0" w:color="auto"/>
        <w:left w:val="none" w:sz="0" w:space="0" w:color="auto"/>
        <w:bottom w:val="none" w:sz="0" w:space="0" w:color="auto"/>
        <w:right w:val="none" w:sz="0" w:space="0" w:color="auto"/>
      </w:divBdr>
    </w:div>
    <w:div w:id="1507674858">
      <w:bodyDiv w:val="1"/>
      <w:marLeft w:val="0"/>
      <w:marRight w:val="0"/>
      <w:marTop w:val="0"/>
      <w:marBottom w:val="0"/>
      <w:divBdr>
        <w:top w:val="none" w:sz="0" w:space="0" w:color="auto"/>
        <w:left w:val="none" w:sz="0" w:space="0" w:color="auto"/>
        <w:bottom w:val="none" w:sz="0" w:space="0" w:color="auto"/>
        <w:right w:val="none" w:sz="0" w:space="0" w:color="auto"/>
      </w:divBdr>
    </w:div>
    <w:div w:id="1543319753">
      <w:bodyDiv w:val="1"/>
      <w:marLeft w:val="0"/>
      <w:marRight w:val="0"/>
      <w:marTop w:val="0"/>
      <w:marBottom w:val="0"/>
      <w:divBdr>
        <w:top w:val="none" w:sz="0" w:space="0" w:color="auto"/>
        <w:left w:val="none" w:sz="0" w:space="0" w:color="auto"/>
        <w:bottom w:val="none" w:sz="0" w:space="0" w:color="auto"/>
        <w:right w:val="none" w:sz="0" w:space="0" w:color="auto"/>
      </w:divBdr>
    </w:div>
    <w:div w:id="1574661475">
      <w:bodyDiv w:val="1"/>
      <w:marLeft w:val="0"/>
      <w:marRight w:val="0"/>
      <w:marTop w:val="0"/>
      <w:marBottom w:val="0"/>
      <w:divBdr>
        <w:top w:val="none" w:sz="0" w:space="0" w:color="auto"/>
        <w:left w:val="none" w:sz="0" w:space="0" w:color="auto"/>
        <w:bottom w:val="none" w:sz="0" w:space="0" w:color="auto"/>
        <w:right w:val="none" w:sz="0" w:space="0" w:color="auto"/>
      </w:divBdr>
    </w:div>
    <w:div w:id="1582324745">
      <w:bodyDiv w:val="1"/>
      <w:marLeft w:val="0"/>
      <w:marRight w:val="0"/>
      <w:marTop w:val="0"/>
      <w:marBottom w:val="0"/>
      <w:divBdr>
        <w:top w:val="none" w:sz="0" w:space="0" w:color="auto"/>
        <w:left w:val="none" w:sz="0" w:space="0" w:color="auto"/>
        <w:bottom w:val="none" w:sz="0" w:space="0" w:color="auto"/>
        <w:right w:val="none" w:sz="0" w:space="0" w:color="auto"/>
      </w:divBdr>
    </w:div>
    <w:div w:id="1604805322">
      <w:bodyDiv w:val="1"/>
      <w:marLeft w:val="0"/>
      <w:marRight w:val="0"/>
      <w:marTop w:val="0"/>
      <w:marBottom w:val="0"/>
      <w:divBdr>
        <w:top w:val="none" w:sz="0" w:space="0" w:color="auto"/>
        <w:left w:val="none" w:sz="0" w:space="0" w:color="auto"/>
        <w:bottom w:val="none" w:sz="0" w:space="0" w:color="auto"/>
        <w:right w:val="none" w:sz="0" w:space="0" w:color="auto"/>
      </w:divBdr>
    </w:div>
    <w:div w:id="1627348059">
      <w:bodyDiv w:val="1"/>
      <w:marLeft w:val="0"/>
      <w:marRight w:val="0"/>
      <w:marTop w:val="0"/>
      <w:marBottom w:val="0"/>
      <w:divBdr>
        <w:top w:val="none" w:sz="0" w:space="0" w:color="auto"/>
        <w:left w:val="none" w:sz="0" w:space="0" w:color="auto"/>
        <w:bottom w:val="none" w:sz="0" w:space="0" w:color="auto"/>
        <w:right w:val="none" w:sz="0" w:space="0" w:color="auto"/>
      </w:divBdr>
      <w:divsChild>
        <w:div w:id="1144851418">
          <w:marLeft w:val="0"/>
          <w:marRight w:val="0"/>
          <w:marTop w:val="0"/>
          <w:marBottom w:val="0"/>
          <w:divBdr>
            <w:top w:val="single" w:sz="2" w:space="0" w:color="E3E3E3"/>
            <w:left w:val="single" w:sz="2" w:space="0" w:color="E3E3E3"/>
            <w:bottom w:val="single" w:sz="2" w:space="0" w:color="E3E3E3"/>
            <w:right w:val="single" w:sz="2" w:space="0" w:color="E3E3E3"/>
          </w:divBdr>
          <w:divsChild>
            <w:div w:id="1051076025">
              <w:marLeft w:val="0"/>
              <w:marRight w:val="0"/>
              <w:marTop w:val="0"/>
              <w:marBottom w:val="0"/>
              <w:divBdr>
                <w:top w:val="single" w:sz="2" w:space="0" w:color="E3E3E3"/>
                <w:left w:val="single" w:sz="2" w:space="0" w:color="E3E3E3"/>
                <w:bottom w:val="single" w:sz="2" w:space="0" w:color="E3E3E3"/>
                <w:right w:val="single" w:sz="2" w:space="0" w:color="E3E3E3"/>
              </w:divBdr>
              <w:divsChild>
                <w:div w:id="802307955">
                  <w:marLeft w:val="0"/>
                  <w:marRight w:val="0"/>
                  <w:marTop w:val="0"/>
                  <w:marBottom w:val="0"/>
                  <w:divBdr>
                    <w:top w:val="single" w:sz="2" w:space="0" w:color="E3E3E3"/>
                    <w:left w:val="single" w:sz="2" w:space="0" w:color="E3E3E3"/>
                    <w:bottom w:val="single" w:sz="2" w:space="0" w:color="E3E3E3"/>
                    <w:right w:val="single" w:sz="2" w:space="0" w:color="E3E3E3"/>
                  </w:divBdr>
                  <w:divsChild>
                    <w:div w:id="141119682">
                      <w:marLeft w:val="0"/>
                      <w:marRight w:val="0"/>
                      <w:marTop w:val="0"/>
                      <w:marBottom w:val="0"/>
                      <w:divBdr>
                        <w:top w:val="single" w:sz="2" w:space="0" w:color="E3E3E3"/>
                        <w:left w:val="single" w:sz="2" w:space="0" w:color="E3E3E3"/>
                        <w:bottom w:val="single" w:sz="2" w:space="0" w:color="E3E3E3"/>
                        <w:right w:val="single" w:sz="2" w:space="0" w:color="E3E3E3"/>
                      </w:divBdr>
                      <w:divsChild>
                        <w:div w:id="418478566">
                          <w:marLeft w:val="0"/>
                          <w:marRight w:val="0"/>
                          <w:marTop w:val="0"/>
                          <w:marBottom w:val="0"/>
                          <w:divBdr>
                            <w:top w:val="single" w:sz="2" w:space="0" w:color="E3E3E3"/>
                            <w:left w:val="single" w:sz="2" w:space="0" w:color="E3E3E3"/>
                            <w:bottom w:val="single" w:sz="2" w:space="0" w:color="E3E3E3"/>
                            <w:right w:val="single" w:sz="2" w:space="0" w:color="E3E3E3"/>
                          </w:divBdr>
                          <w:divsChild>
                            <w:div w:id="1228028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63613069">
          <w:marLeft w:val="0"/>
          <w:marRight w:val="0"/>
          <w:marTop w:val="0"/>
          <w:marBottom w:val="0"/>
          <w:divBdr>
            <w:top w:val="single" w:sz="2" w:space="0" w:color="E3E3E3"/>
            <w:left w:val="single" w:sz="2" w:space="0" w:color="E3E3E3"/>
            <w:bottom w:val="single" w:sz="2" w:space="0" w:color="E3E3E3"/>
            <w:right w:val="single" w:sz="2" w:space="0" w:color="E3E3E3"/>
          </w:divBdr>
          <w:divsChild>
            <w:div w:id="913389922">
              <w:marLeft w:val="0"/>
              <w:marRight w:val="0"/>
              <w:marTop w:val="0"/>
              <w:marBottom w:val="0"/>
              <w:divBdr>
                <w:top w:val="single" w:sz="2" w:space="0" w:color="E3E3E3"/>
                <w:left w:val="single" w:sz="2" w:space="0" w:color="E3E3E3"/>
                <w:bottom w:val="single" w:sz="2" w:space="0" w:color="E3E3E3"/>
                <w:right w:val="single" w:sz="2" w:space="0" w:color="E3E3E3"/>
              </w:divBdr>
            </w:div>
            <w:div w:id="1446466749">
              <w:marLeft w:val="0"/>
              <w:marRight w:val="0"/>
              <w:marTop w:val="0"/>
              <w:marBottom w:val="0"/>
              <w:divBdr>
                <w:top w:val="single" w:sz="2" w:space="0" w:color="E3E3E3"/>
                <w:left w:val="single" w:sz="2" w:space="0" w:color="E3E3E3"/>
                <w:bottom w:val="single" w:sz="2" w:space="0" w:color="E3E3E3"/>
                <w:right w:val="single" w:sz="2" w:space="0" w:color="E3E3E3"/>
              </w:divBdr>
              <w:divsChild>
                <w:div w:id="52965915">
                  <w:marLeft w:val="0"/>
                  <w:marRight w:val="0"/>
                  <w:marTop w:val="0"/>
                  <w:marBottom w:val="0"/>
                  <w:divBdr>
                    <w:top w:val="single" w:sz="2" w:space="0" w:color="E3E3E3"/>
                    <w:left w:val="single" w:sz="2" w:space="0" w:color="E3E3E3"/>
                    <w:bottom w:val="single" w:sz="2" w:space="0" w:color="E3E3E3"/>
                    <w:right w:val="single" w:sz="2" w:space="0" w:color="E3E3E3"/>
                  </w:divBdr>
                  <w:divsChild>
                    <w:div w:id="1087070004">
                      <w:marLeft w:val="0"/>
                      <w:marRight w:val="0"/>
                      <w:marTop w:val="0"/>
                      <w:marBottom w:val="0"/>
                      <w:divBdr>
                        <w:top w:val="single" w:sz="2" w:space="0" w:color="E3E3E3"/>
                        <w:left w:val="single" w:sz="2" w:space="0" w:color="E3E3E3"/>
                        <w:bottom w:val="single" w:sz="2" w:space="0" w:color="E3E3E3"/>
                        <w:right w:val="single" w:sz="2" w:space="0" w:color="E3E3E3"/>
                      </w:divBdr>
                      <w:divsChild>
                        <w:div w:id="1141651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68551387">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2073139">
      <w:bodyDiv w:val="1"/>
      <w:marLeft w:val="0"/>
      <w:marRight w:val="0"/>
      <w:marTop w:val="0"/>
      <w:marBottom w:val="0"/>
      <w:divBdr>
        <w:top w:val="none" w:sz="0" w:space="0" w:color="auto"/>
        <w:left w:val="none" w:sz="0" w:space="0" w:color="auto"/>
        <w:bottom w:val="none" w:sz="0" w:space="0" w:color="auto"/>
        <w:right w:val="none" w:sz="0" w:space="0" w:color="auto"/>
      </w:divBdr>
    </w:div>
    <w:div w:id="1808278822">
      <w:bodyDiv w:val="1"/>
      <w:marLeft w:val="0"/>
      <w:marRight w:val="0"/>
      <w:marTop w:val="0"/>
      <w:marBottom w:val="0"/>
      <w:divBdr>
        <w:top w:val="none" w:sz="0" w:space="0" w:color="auto"/>
        <w:left w:val="none" w:sz="0" w:space="0" w:color="auto"/>
        <w:bottom w:val="none" w:sz="0" w:space="0" w:color="auto"/>
        <w:right w:val="none" w:sz="0" w:space="0" w:color="auto"/>
      </w:divBdr>
    </w:div>
    <w:div w:id="1817800183">
      <w:bodyDiv w:val="1"/>
      <w:marLeft w:val="0"/>
      <w:marRight w:val="0"/>
      <w:marTop w:val="0"/>
      <w:marBottom w:val="0"/>
      <w:divBdr>
        <w:top w:val="none" w:sz="0" w:space="0" w:color="auto"/>
        <w:left w:val="none" w:sz="0" w:space="0" w:color="auto"/>
        <w:bottom w:val="none" w:sz="0" w:space="0" w:color="auto"/>
        <w:right w:val="none" w:sz="0" w:space="0" w:color="auto"/>
      </w:divBdr>
    </w:div>
    <w:div w:id="1854026773">
      <w:bodyDiv w:val="1"/>
      <w:marLeft w:val="0"/>
      <w:marRight w:val="0"/>
      <w:marTop w:val="0"/>
      <w:marBottom w:val="0"/>
      <w:divBdr>
        <w:top w:val="none" w:sz="0" w:space="0" w:color="auto"/>
        <w:left w:val="none" w:sz="0" w:space="0" w:color="auto"/>
        <w:bottom w:val="none" w:sz="0" w:space="0" w:color="auto"/>
        <w:right w:val="none" w:sz="0" w:space="0" w:color="auto"/>
      </w:divBdr>
    </w:div>
    <w:div w:id="1874920102">
      <w:bodyDiv w:val="1"/>
      <w:marLeft w:val="0"/>
      <w:marRight w:val="0"/>
      <w:marTop w:val="0"/>
      <w:marBottom w:val="0"/>
      <w:divBdr>
        <w:top w:val="none" w:sz="0" w:space="0" w:color="auto"/>
        <w:left w:val="none" w:sz="0" w:space="0" w:color="auto"/>
        <w:bottom w:val="none" w:sz="0" w:space="0" w:color="auto"/>
        <w:right w:val="none" w:sz="0" w:space="0" w:color="auto"/>
      </w:divBdr>
    </w:div>
    <w:div w:id="1883595624">
      <w:bodyDiv w:val="1"/>
      <w:marLeft w:val="0"/>
      <w:marRight w:val="0"/>
      <w:marTop w:val="0"/>
      <w:marBottom w:val="0"/>
      <w:divBdr>
        <w:top w:val="none" w:sz="0" w:space="0" w:color="auto"/>
        <w:left w:val="none" w:sz="0" w:space="0" w:color="auto"/>
        <w:bottom w:val="none" w:sz="0" w:space="0" w:color="auto"/>
        <w:right w:val="none" w:sz="0" w:space="0" w:color="auto"/>
      </w:divBdr>
    </w:div>
    <w:div w:id="1989748628">
      <w:bodyDiv w:val="1"/>
      <w:marLeft w:val="0"/>
      <w:marRight w:val="0"/>
      <w:marTop w:val="0"/>
      <w:marBottom w:val="0"/>
      <w:divBdr>
        <w:top w:val="none" w:sz="0" w:space="0" w:color="auto"/>
        <w:left w:val="none" w:sz="0" w:space="0" w:color="auto"/>
        <w:bottom w:val="none" w:sz="0" w:space="0" w:color="auto"/>
        <w:right w:val="none" w:sz="0" w:space="0" w:color="auto"/>
      </w:divBdr>
    </w:div>
    <w:div w:id="1994403357">
      <w:bodyDiv w:val="1"/>
      <w:marLeft w:val="0"/>
      <w:marRight w:val="0"/>
      <w:marTop w:val="0"/>
      <w:marBottom w:val="0"/>
      <w:divBdr>
        <w:top w:val="none" w:sz="0" w:space="0" w:color="auto"/>
        <w:left w:val="none" w:sz="0" w:space="0" w:color="auto"/>
        <w:bottom w:val="none" w:sz="0" w:space="0" w:color="auto"/>
        <w:right w:val="none" w:sz="0" w:space="0" w:color="auto"/>
      </w:divBdr>
    </w:div>
    <w:div w:id="2013144843">
      <w:bodyDiv w:val="1"/>
      <w:marLeft w:val="0"/>
      <w:marRight w:val="0"/>
      <w:marTop w:val="0"/>
      <w:marBottom w:val="0"/>
      <w:divBdr>
        <w:top w:val="none" w:sz="0" w:space="0" w:color="auto"/>
        <w:left w:val="none" w:sz="0" w:space="0" w:color="auto"/>
        <w:bottom w:val="none" w:sz="0" w:space="0" w:color="auto"/>
        <w:right w:val="none" w:sz="0" w:space="0" w:color="auto"/>
      </w:divBdr>
    </w:div>
    <w:div w:id="2061902934">
      <w:bodyDiv w:val="1"/>
      <w:marLeft w:val="0"/>
      <w:marRight w:val="0"/>
      <w:marTop w:val="0"/>
      <w:marBottom w:val="0"/>
      <w:divBdr>
        <w:top w:val="none" w:sz="0" w:space="0" w:color="auto"/>
        <w:left w:val="none" w:sz="0" w:space="0" w:color="auto"/>
        <w:bottom w:val="none" w:sz="0" w:space="0" w:color="auto"/>
        <w:right w:val="none" w:sz="0" w:space="0" w:color="auto"/>
      </w:divBdr>
    </w:div>
    <w:div w:id="2094423750">
      <w:bodyDiv w:val="1"/>
      <w:marLeft w:val="0"/>
      <w:marRight w:val="0"/>
      <w:marTop w:val="0"/>
      <w:marBottom w:val="0"/>
      <w:divBdr>
        <w:top w:val="none" w:sz="0" w:space="0" w:color="auto"/>
        <w:left w:val="none" w:sz="0" w:space="0" w:color="auto"/>
        <w:bottom w:val="none" w:sz="0" w:space="0" w:color="auto"/>
        <w:right w:val="none" w:sz="0" w:space="0" w:color="auto"/>
      </w:divBdr>
    </w:div>
    <w:div w:id="2108891568">
      <w:bodyDiv w:val="1"/>
      <w:marLeft w:val="0"/>
      <w:marRight w:val="0"/>
      <w:marTop w:val="0"/>
      <w:marBottom w:val="0"/>
      <w:divBdr>
        <w:top w:val="none" w:sz="0" w:space="0" w:color="auto"/>
        <w:left w:val="none" w:sz="0" w:space="0" w:color="auto"/>
        <w:bottom w:val="none" w:sz="0" w:space="0" w:color="auto"/>
        <w:right w:val="none" w:sz="0" w:space="0" w:color="auto"/>
      </w:divBdr>
    </w:div>
    <w:div w:id="212830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footer" Target="footer2.xml"/><Relationship Id="rId19" Type="http://schemas.openxmlformats.org/officeDocument/2006/relationships/hyperlink" Target="https://doi.org/10.2139/ssrn.342918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00F392-775B-4B74-8E16-E99667AD3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Pages>
  <Words>6619</Words>
  <Characters>37730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44261</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d19515</cp:lastModifiedBy>
  <cp:revision>18</cp:revision>
  <cp:lastPrinted>2010-07-30T07:51:00Z</cp:lastPrinted>
  <dcterms:created xsi:type="dcterms:W3CDTF">2024-02-28T03:15:00Z</dcterms:created>
  <dcterms:modified xsi:type="dcterms:W3CDTF">2024-03-10T06:36:00Z</dcterms:modified>
</cp:coreProperties>
</file>