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370ED" w14:textId="77777777" w:rsidR="00862C6C" w:rsidRDefault="00862C6C"/>
    <w:p w14:paraId="48D00B9D" w14:textId="77777777" w:rsidR="00862C6C" w:rsidRDefault="00862C6C"/>
    <w:p w14:paraId="705A65DE" w14:textId="77777777" w:rsidR="00862C6C" w:rsidRDefault="00862C6C"/>
    <w:p w14:paraId="68251FA5" w14:textId="77777777" w:rsidR="009A0416" w:rsidRDefault="009A0416"/>
    <w:p w14:paraId="5B915278" w14:textId="70546E8C" w:rsidR="009A0416" w:rsidRDefault="00B32206" w:rsidP="00B32206">
      <w:pPr>
        <w:jc w:val="center"/>
      </w:pPr>
      <w:r>
        <w:rPr>
          <w:noProof/>
          <w:lang w:val="en-US" w:eastAsia="en-US"/>
        </w:rPr>
        <w:drawing>
          <wp:inline distT="0" distB="0" distL="0" distR="0" wp14:anchorId="7221ECDD" wp14:editId="2E24530B">
            <wp:extent cx="3857625" cy="1748308"/>
            <wp:effectExtent l="0" t="0" r="0" b="4445"/>
            <wp:docPr id="724788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5049" cy="1765269"/>
                    </a:xfrm>
                    <a:prstGeom prst="rect">
                      <a:avLst/>
                    </a:prstGeom>
                    <a:noFill/>
                  </pic:spPr>
                </pic:pic>
              </a:graphicData>
            </a:graphic>
          </wp:inline>
        </w:drawing>
      </w:r>
    </w:p>
    <w:p w14:paraId="36878B16" w14:textId="49AC0EEE" w:rsidR="00B32206" w:rsidRPr="00B32206" w:rsidRDefault="00B32206" w:rsidP="00B32206">
      <w:pPr>
        <w:jc w:val="center"/>
        <w:rPr>
          <w:b/>
          <w:bCs/>
          <w:lang w:val="en-IN"/>
        </w:rPr>
      </w:pPr>
      <w:r w:rsidRPr="00B32206">
        <w:rPr>
          <w:b/>
          <w:bCs/>
          <w:lang w:val="en-IN"/>
        </w:rPr>
        <w:t>Programme:</w:t>
      </w:r>
      <w:r>
        <w:rPr>
          <w:b/>
          <w:bCs/>
          <w:lang w:val="en-IN"/>
        </w:rPr>
        <w:t xml:space="preserve"> </w:t>
      </w:r>
      <w:r w:rsidRPr="00B32206">
        <w:rPr>
          <w:lang w:val="en-IN"/>
        </w:rPr>
        <w:t>Master of Business Administration</w:t>
      </w:r>
    </w:p>
    <w:p w14:paraId="6C8211D3" w14:textId="7EC05906" w:rsidR="00B32206" w:rsidRPr="00B32206" w:rsidRDefault="00B32206" w:rsidP="00B32206">
      <w:pPr>
        <w:jc w:val="center"/>
        <w:rPr>
          <w:b/>
          <w:bCs/>
          <w:lang w:val="en-IN"/>
        </w:rPr>
      </w:pPr>
      <w:r w:rsidRPr="00B32206">
        <w:rPr>
          <w:b/>
          <w:bCs/>
          <w:lang w:val="en-IN"/>
        </w:rPr>
        <w:t>Module:</w:t>
      </w:r>
      <w:r>
        <w:rPr>
          <w:b/>
          <w:bCs/>
          <w:lang w:val="en-IN"/>
        </w:rPr>
        <w:t xml:space="preserve"> </w:t>
      </w:r>
      <w:r w:rsidRPr="00B32206">
        <w:rPr>
          <w:lang w:val="en-IN"/>
        </w:rPr>
        <w:t>International Business Concepts</w:t>
      </w:r>
      <w:bookmarkStart w:id="0" w:name="_GoBack"/>
      <w:bookmarkEnd w:id="0"/>
    </w:p>
    <w:p w14:paraId="7F66FA9D" w14:textId="69D0D555" w:rsidR="00B32206" w:rsidRPr="00B32206" w:rsidRDefault="00B32206" w:rsidP="00B32206">
      <w:pPr>
        <w:jc w:val="center"/>
        <w:rPr>
          <w:b/>
          <w:bCs/>
          <w:lang w:val="en-IN"/>
        </w:rPr>
      </w:pPr>
      <w:r w:rsidRPr="00B32206">
        <w:rPr>
          <w:b/>
          <w:bCs/>
          <w:lang w:val="en-IN"/>
        </w:rPr>
        <w:t>Module Code:</w:t>
      </w:r>
      <w:r>
        <w:rPr>
          <w:b/>
          <w:bCs/>
          <w:lang w:val="en-IN"/>
        </w:rPr>
        <w:t xml:space="preserve"> </w:t>
      </w:r>
      <w:r w:rsidRPr="00B32206">
        <w:rPr>
          <w:lang w:val="en-IN"/>
        </w:rPr>
        <w:t>LCMB7034</w:t>
      </w:r>
    </w:p>
    <w:p w14:paraId="79EAD2CB" w14:textId="7211C469" w:rsidR="00B32206" w:rsidRPr="00B32206" w:rsidRDefault="00B32206" w:rsidP="00B32206">
      <w:pPr>
        <w:jc w:val="center"/>
        <w:rPr>
          <w:b/>
          <w:bCs/>
          <w:lang w:val="en-IN"/>
        </w:rPr>
      </w:pPr>
      <w:r w:rsidRPr="00B32206">
        <w:rPr>
          <w:b/>
          <w:bCs/>
          <w:lang w:val="en-IN"/>
        </w:rPr>
        <w:t>Title:</w:t>
      </w:r>
      <w:r>
        <w:rPr>
          <w:b/>
          <w:bCs/>
          <w:lang w:val="en-IN"/>
        </w:rPr>
        <w:t xml:space="preserve"> </w:t>
      </w:r>
      <w:r w:rsidRPr="00B32206">
        <w:rPr>
          <w:lang w:val="en-IN"/>
        </w:rPr>
        <w:t>Individual Report</w:t>
      </w:r>
    </w:p>
    <w:p w14:paraId="31C60BA4" w14:textId="10A45E68" w:rsidR="00B32206" w:rsidRPr="00B32206" w:rsidRDefault="00B32206" w:rsidP="00B32206">
      <w:pPr>
        <w:jc w:val="center"/>
        <w:rPr>
          <w:b/>
          <w:bCs/>
          <w:lang w:val="en-IN"/>
        </w:rPr>
      </w:pPr>
      <w:r w:rsidRPr="00B32206">
        <w:rPr>
          <w:b/>
          <w:bCs/>
          <w:lang w:val="en-IN"/>
        </w:rPr>
        <w:t>Lecturer:</w:t>
      </w:r>
      <w:r>
        <w:rPr>
          <w:b/>
          <w:bCs/>
          <w:lang w:val="en-IN"/>
        </w:rPr>
        <w:t xml:space="preserve"> </w:t>
      </w:r>
      <w:r w:rsidR="0019033C">
        <w:rPr>
          <w:lang w:val="en-IN"/>
        </w:rPr>
        <w:t xml:space="preserve">  </w:t>
      </w:r>
      <w:proofErr w:type="gramStart"/>
      <w:r w:rsidR="00E472C4">
        <w:rPr>
          <w:lang w:val="en-IN"/>
        </w:rPr>
        <w:t xml:space="preserve">S  </w:t>
      </w:r>
      <w:proofErr w:type="spellStart"/>
      <w:r w:rsidR="00E472C4">
        <w:rPr>
          <w:lang w:val="en-IN"/>
        </w:rPr>
        <w:t>Mansoob</w:t>
      </w:r>
      <w:proofErr w:type="spellEnd"/>
      <w:proofErr w:type="gramEnd"/>
      <w:r w:rsidR="00E472C4">
        <w:rPr>
          <w:lang w:val="en-IN"/>
        </w:rPr>
        <w:t xml:space="preserve"> </w:t>
      </w:r>
      <w:proofErr w:type="spellStart"/>
      <w:r w:rsidR="00E472C4">
        <w:rPr>
          <w:lang w:val="en-IN"/>
        </w:rPr>
        <w:t>Murshed</w:t>
      </w:r>
      <w:proofErr w:type="spellEnd"/>
    </w:p>
    <w:p w14:paraId="04A3C081" w14:textId="2E5AAE60" w:rsidR="00B32206" w:rsidRPr="00B32206" w:rsidRDefault="00B32206" w:rsidP="00B32206">
      <w:pPr>
        <w:jc w:val="center"/>
        <w:rPr>
          <w:b/>
          <w:bCs/>
          <w:lang w:val="en-IN"/>
        </w:rPr>
      </w:pPr>
      <w:r w:rsidRPr="00B32206">
        <w:rPr>
          <w:b/>
          <w:bCs/>
          <w:lang w:val="en-IN"/>
        </w:rPr>
        <w:t>Student Name:</w:t>
      </w:r>
      <w:r>
        <w:rPr>
          <w:b/>
          <w:bCs/>
          <w:lang w:val="en-IN"/>
        </w:rPr>
        <w:t xml:space="preserve"> </w:t>
      </w:r>
      <w:proofErr w:type="spellStart"/>
      <w:r w:rsidRPr="00B32206">
        <w:rPr>
          <w:lang w:val="en-IN"/>
        </w:rPr>
        <w:t>Shubham</w:t>
      </w:r>
      <w:proofErr w:type="spellEnd"/>
      <w:r w:rsidRPr="00B32206">
        <w:rPr>
          <w:lang w:val="en-IN"/>
        </w:rPr>
        <w:t xml:space="preserve"> </w:t>
      </w:r>
      <w:proofErr w:type="spellStart"/>
      <w:r w:rsidRPr="00B32206">
        <w:rPr>
          <w:lang w:val="en-IN"/>
        </w:rPr>
        <w:t>Karanwal</w:t>
      </w:r>
      <w:proofErr w:type="spellEnd"/>
    </w:p>
    <w:p w14:paraId="01BCD215" w14:textId="25DA87F8" w:rsidR="00B32206" w:rsidRPr="00B32206" w:rsidRDefault="00B32206" w:rsidP="00B32206">
      <w:pPr>
        <w:jc w:val="center"/>
        <w:rPr>
          <w:b/>
          <w:bCs/>
          <w:lang w:val="en-IN"/>
        </w:rPr>
      </w:pPr>
      <w:r w:rsidRPr="00B32206">
        <w:rPr>
          <w:b/>
          <w:bCs/>
          <w:lang w:val="en-IN"/>
        </w:rPr>
        <w:t>Student ID:</w:t>
      </w:r>
      <w:r>
        <w:rPr>
          <w:b/>
          <w:bCs/>
          <w:lang w:val="en-IN"/>
        </w:rPr>
        <w:t xml:space="preserve"> </w:t>
      </w:r>
      <w:r w:rsidRPr="00B32206">
        <w:rPr>
          <w:lang w:val="en-IN"/>
        </w:rPr>
        <w:t>2504766</w:t>
      </w:r>
    </w:p>
    <w:p w14:paraId="3A9BC845" w14:textId="2CAE5F4C" w:rsidR="00B32206" w:rsidRPr="00B32206" w:rsidRDefault="00B32206" w:rsidP="00B32206">
      <w:pPr>
        <w:jc w:val="center"/>
        <w:rPr>
          <w:b/>
          <w:bCs/>
          <w:lang w:val="en-IN"/>
        </w:rPr>
      </w:pPr>
      <w:r w:rsidRPr="00B32206">
        <w:rPr>
          <w:b/>
          <w:bCs/>
          <w:lang w:val="en-IN"/>
        </w:rPr>
        <w:t>Submission Date:</w:t>
      </w:r>
      <w:r>
        <w:rPr>
          <w:b/>
          <w:bCs/>
          <w:lang w:val="en-IN"/>
        </w:rPr>
        <w:t xml:space="preserve"> </w:t>
      </w:r>
      <w:r w:rsidRPr="00B32206">
        <w:rPr>
          <w:lang w:val="en-IN"/>
        </w:rPr>
        <w:t>20/03/2026</w:t>
      </w:r>
    </w:p>
    <w:p w14:paraId="3AF32F52" w14:textId="77777777" w:rsidR="00B32206" w:rsidRDefault="00B32206" w:rsidP="00B32206">
      <w:pPr>
        <w:jc w:val="center"/>
      </w:pPr>
    </w:p>
    <w:p w14:paraId="6A607FA4" w14:textId="77777777" w:rsidR="009A0416" w:rsidRDefault="009A0416"/>
    <w:p w14:paraId="5702DBB3" w14:textId="7FDF3CE1" w:rsidR="00862C6C" w:rsidRDefault="00862C6C" w:rsidP="00B32206">
      <w:pPr>
        <w:jc w:val="center"/>
      </w:pPr>
    </w:p>
    <w:p w14:paraId="23B34B27" w14:textId="77777777" w:rsidR="00862C6C" w:rsidRDefault="00862C6C"/>
    <w:p w14:paraId="3056EAF0" w14:textId="77777777" w:rsidR="00862C6C" w:rsidRDefault="00862C6C"/>
    <w:p w14:paraId="117FD5E1" w14:textId="0D9A436E" w:rsidR="00862C6C" w:rsidRDefault="00862C6C" w:rsidP="00CE587A">
      <w:pPr>
        <w:jc w:val="center"/>
      </w:pPr>
    </w:p>
    <w:p w14:paraId="703CC04C" w14:textId="77777777" w:rsidR="00862C6C" w:rsidRDefault="00862C6C"/>
    <w:p w14:paraId="661BC30C" w14:textId="77777777" w:rsidR="00862C6C" w:rsidRDefault="00862C6C"/>
    <w:p w14:paraId="59BCDBF4" w14:textId="77777777" w:rsidR="006B50E4" w:rsidRDefault="006B50E4"/>
    <w:p w14:paraId="1E21032E" w14:textId="77777777" w:rsidR="006B50E4" w:rsidRDefault="006B50E4">
      <w:r>
        <w:br w:type="page"/>
      </w:r>
    </w:p>
    <w:sdt>
      <w:sdtPr>
        <w:rPr>
          <w:rFonts w:ascii="Arial" w:eastAsia="Arial" w:hAnsi="Arial" w:cs="Arial"/>
          <w:color w:val="auto"/>
          <w:sz w:val="24"/>
          <w:szCs w:val="24"/>
          <w:lang w:val="en" w:eastAsia="en-IN"/>
        </w:rPr>
        <w:id w:val="324098362"/>
        <w:docPartObj>
          <w:docPartGallery w:val="Table of Contents"/>
          <w:docPartUnique/>
        </w:docPartObj>
      </w:sdtPr>
      <w:sdtEndPr>
        <w:rPr>
          <w:b/>
          <w:bCs/>
          <w:noProof/>
        </w:rPr>
      </w:sdtEndPr>
      <w:sdtContent>
        <w:p w14:paraId="6A7996FC" w14:textId="757CE15A" w:rsidR="006B50E4" w:rsidRPr="006B50E4" w:rsidRDefault="006B50E4" w:rsidP="006B50E4">
          <w:pPr>
            <w:pStyle w:val="TOCHeading"/>
            <w:spacing w:line="360" w:lineRule="auto"/>
            <w:jc w:val="center"/>
            <w:rPr>
              <w:rFonts w:ascii="Arial" w:hAnsi="Arial" w:cs="Arial"/>
              <w:b/>
              <w:bCs/>
              <w:color w:val="000000" w:themeColor="text1"/>
              <w:sz w:val="28"/>
              <w:szCs w:val="28"/>
            </w:rPr>
          </w:pPr>
          <w:r w:rsidRPr="006B50E4">
            <w:rPr>
              <w:rFonts w:ascii="Arial" w:hAnsi="Arial" w:cs="Arial"/>
              <w:b/>
              <w:bCs/>
              <w:color w:val="000000" w:themeColor="text1"/>
              <w:sz w:val="28"/>
              <w:szCs w:val="28"/>
            </w:rPr>
            <w:t>Table of Contents</w:t>
          </w:r>
        </w:p>
        <w:p w14:paraId="088CB43C" w14:textId="29BBB91C" w:rsidR="006B50E4" w:rsidRDefault="006B50E4">
          <w:pPr>
            <w:pStyle w:val="TOC1"/>
            <w:tabs>
              <w:tab w:val="right" w:leader="dot" w:pos="9350"/>
            </w:tabs>
            <w:rPr>
              <w:noProof/>
            </w:rPr>
          </w:pPr>
          <w:r>
            <w:fldChar w:fldCharType="begin"/>
          </w:r>
          <w:r>
            <w:instrText xml:space="preserve"> TOC \o "1-3" \h \z \u </w:instrText>
          </w:r>
          <w:r>
            <w:fldChar w:fldCharType="separate"/>
          </w:r>
          <w:hyperlink w:anchor="_Toc224541746" w:history="1">
            <w:r w:rsidRPr="00137B85">
              <w:rPr>
                <w:rStyle w:val="Hyperlink"/>
                <w:noProof/>
              </w:rPr>
              <w:t>Section 1: International Industry Report</w:t>
            </w:r>
            <w:r>
              <w:rPr>
                <w:noProof/>
                <w:webHidden/>
              </w:rPr>
              <w:tab/>
            </w:r>
            <w:r>
              <w:rPr>
                <w:noProof/>
                <w:webHidden/>
              </w:rPr>
              <w:fldChar w:fldCharType="begin"/>
            </w:r>
            <w:r>
              <w:rPr>
                <w:noProof/>
                <w:webHidden/>
              </w:rPr>
              <w:instrText xml:space="preserve"> PAGEREF _Toc224541746 \h </w:instrText>
            </w:r>
            <w:r>
              <w:rPr>
                <w:noProof/>
                <w:webHidden/>
              </w:rPr>
            </w:r>
            <w:r>
              <w:rPr>
                <w:noProof/>
                <w:webHidden/>
              </w:rPr>
              <w:fldChar w:fldCharType="separate"/>
            </w:r>
            <w:r>
              <w:rPr>
                <w:noProof/>
                <w:webHidden/>
              </w:rPr>
              <w:t>3</w:t>
            </w:r>
            <w:r>
              <w:rPr>
                <w:noProof/>
                <w:webHidden/>
              </w:rPr>
              <w:fldChar w:fldCharType="end"/>
            </w:r>
          </w:hyperlink>
        </w:p>
        <w:p w14:paraId="18EB1CD8" w14:textId="57738AA1" w:rsidR="006B50E4" w:rsidRDefault="005B0A80">
          <w:pPr>
            <w:pStyle w:val="TOC2"/>
            <w:tabs>
              <w:tab w:val="right" w:leader="dot" w:pos="9350"/>
            </w:tabs>
            <w:rPr>
              <w:noProof/>
            </w:rPr>
          </w:pPr>
          <w:hyperlink w:anchor="_Toc224541747" w:history="1">
            <w:r w:rsidR="006B50E4" w:rsidRPr="00137B85">
              <w:rPr>
                <w:rStyle w:val="Hyperlink"/>
                <w:noProof/>
              </w:rPr>
              <w:t>Introduction to the report</w:t>
            </w:r>
            <w:r w:rsidR="006B50E4">
              <w:rPr>
                <w:noProof/>
                <w:webHidden/>
              </w:rPr>
              <w:tab/>
            </w:r>
            <w:r w:rsidR="006B50E4">
              <w:rPr>
                <w:noProof/>
                <w:webHidden/>
              </w:rPr>
              <w:fldChar w:fldCharType="begin"/>
            </w:r>
            <w:r w:rsidR="006B50E4">
              <w:rPr>
                <w:noProof/>
                <w:webHidden/>
              </w:rPr>
              <w:instrText xml:space="preserve"> PAGEREF _Toc224541747 \h </w:instrText>
            </w:r>
            <w:r w:rsidR="006B50E4">
              <w:rPr>
                <w:noProof/>
                <w:webHidden/>
              </w:rPr>
            </w:r>
            <w:r w:rsidR="006B50E4">
              <w:rPr>
                <w:noProof/>
                <w:webHidden/>
              </w:rPr>
              <w:fldChar w:fldCharType="separate"/>
            </w:r>
            <w:r w:rsidR="006B50E4">
              <w:rPr>
                <w:noProof/>
                <w:webHidden/>
              </w:rPr>
              <w:t>3</w:t>
            </w:r>
            <w:r w:rsidR="006B50E4">
              <w:rPr>
                <w:noProof/>
                <w:webHidden/>
              </w:rPr>
              <w:fldChar w:fldCharType="end"/>
            </w:r>
          </w:hyperlink>
        </w:p>
        <w:p w14:paraId="0EBE430B" w14:textId="60DBD895" w:rsidR="006B50E4" w:rsidRDefault="005B0A80">
          <w:pPr>
            <w:pStyle w:val="TOC2"/>
            <w:tabs>
              <w:tab w:val="right" w:leader="dot" w:pos="9350"/>
            </w:tabs>
            <w:rPr>
              <w:noProof/>
            </w:rPr>
          </w:pPr>
          <w:hyperlink w:anchor="_Toc224541748" w:history="1">
            <w:r w:rsidR="006B50E4" w:rsidRPr="00137B85">
              <w:rPr>
                <w:rStyle w:val="Hyperlink"/>
                <w:noProof/>
              </w:rPr>
              <w:t>Industry and Country Overview</w:t>
            </w:r>
            <w:r w:rsidR="006B50E4">
              <w:rPr>
                <w:noProof/>
                <w:webHidden/>
              </w:rPr>
              <w:tab/>
            </w:r>
            <w:r w:rsidR="006B50E4">
              <w:rPr>
                <w:noProof/>
                <w:webHidden/>
              </w:rPr>
              <w:fldChar w:fldCharType="begin"/>
            </w:r>
            <w:r w:rsidR="006B50E4">
              <w:rPr>
                <w:noProof/>
                <w:webHidden/>
              </w:rPr>
              <w:instrText xml:space="preserve"> PAGEREF _Toc224541748 \h </w:instrText>
            </w:r>
            <w:r w:rsidR="006B50E4">
              <w:rPr>
                <w:noProof/>
                <w:webHidden/>
              </w:rPr>
            </w:r>
            <w:r w:rsidR="006B50E4">
              <w:rPr>
                <w:noProof/>
                <w:webHidden/>
              </w:rPr>
              <w:fldChar w:fldCharType="separate"/>
            </w:r>
            <w:r w:rsidR="006B50E4">
              <w:rPr>
                <w:noProof/>
                <w:webHidden/>
              </w:rPr>
              <w:t>3</w:t>
            </w:r>
            <w:r w:rsidR="006B50E4">
              <w:rPr>
                <w:noProof/>
                <w:webHidden/>
              </w:rPr>
              <w:fldChar w:fldCharType="end"/>
            </w:r>
          </w:hyperlink>
        </w:p>
        <w:p w14:paraId="341EB5CB" w14:textId="366AC259" w:rsidR="006B50E4" w:rsidRDefault="005B0A80">
          <w:pPr>
            <w:pStyle w:val="TOC2"/>
            <w:tabs>
              <w:tab w:val="right" w:leader="dot" w:pos="9350"/>
            </w:tabs>
            <w:rPr>
              <w:noProof/>
            </w:rPr>
          </w:pPr>
          <w:hyperlink w:anchor="_Toc224541749" w:history="1">
            <w:r w:rsidR="006B50E4" w:rsidRPr="00137B85">
              <w:rPr>
                <w:rStyle w:val="Hyperlink"/>
                <w:noProof/>
              </w:rPr>
              <w:t>Porter’s Diamond Model</w:t>
            </w:r>
            <w:r w:rsidR="006B50E4">
              <w:rPr>
                <w:noProof/>
                <w:webHidden/>
              </w:rPr>
              <w:tab/>
            </w:r>
            <w:r w:rsidR="006B50E4">
              <w:rPr>
                <w:noProof/>
                <w:webHidden/>
              </w:rPr>
              <w:fldChar w:fldCharType="begin"/>
            </w:r>
            <w:r w:rsidR="006B50E4">
              <w:rPr>
                <w:noProof/>
                <w:webHidden/>
              </w:rPr>
              <w:instrText xml:space="preserve"> PAGEREF _Toc224541749 \h </w:instrText>
            </w:r>
            <w:r w:rsidR="006B50E4">
              <w:rPr>
                <w:noProof/>
                <w:webHidden/>
              </w:rPr>
            </w:r>
            <w:r w:rsidR="006B50E4">
              <w:rPr>
                <w:noProof/>
                <w:webHidden/>
              </w:rPr>
              <w:fldChar w:fldCharType="separate"/>
            </w:r>
            <w:r w:rsidR="006B50E4">
              <w:rPr>
                <w:noProof/>
                <w:webHidden/>
              </w:rPr>
              <w:t>5</w:t>
            </w:r>
            <w:r w:rsidR="006B50E4">
              <w:rPr>
                <w:noProof/>
                <w:webHidden/>
              </w:rPr>
              <w:fldChar w:fldCharType="end"/>
            </w:r>
          </w:hyperlink>
        </w:p>
        <w:p w14:paraId="1930FA73" w14:textId="1E5EBBB2" w:rsidR="006B50E4" w:rsidRDefault="005B0A80">
          <w:pPr>
            <w:pStyle w:val="TOC2"/>
            <w:tabs>
              <w:tab w:val="right" w:leader="dot" w:pos="9350"/>
            </w:tabs>
            <w:rPr>
              <w:noProof/>
            </w:rPr>
          </w:pPr>
          <w:hyperlink w:anchor="_Toc224541750" w:history="1">
            <w:r w:rsidR="006B50E4" w:rsidRPr="00137B85">
              <w:rPr>
                <w:rStyle w:val="Hyperlink"/>
                <w:noProof/>
              </w:rPr>
              <w:t>MNC Analysis</w:t>
            </w:r>
            <w:r w:rsidR="006B50E4">
              <w:rPr>
                <w:noProof/>
                <w:webHidden/>
              </w:rPr>
              <w:tab/>
            </w:r>
            <w:r w:rsidR="006B50E4">
              <w:rPr>
                <w:noProof/>
                <w:webHidden/>
              </w:rPr>
              <w:fldChar w:fldCharType="begin"/>
            </w:r>
            <w:r w:rsidR="006B50E4">
              <w:rPr>
                <w:noProof/>
                <w:webHidden/>
              </w:rPr>
              <w:instrText xml:space="preserve"> PAGEREF _Toc224541750 \h </w:instrText>
            </w:r>
            <w:r w:rsidR="006B50E4">
              <w:rPr>
                <w:noProof/>
                <w:webHidden/>
              </w:rPr>
            </w:r>
            <w:r w:rsidR="006B50E4">
              <w:rPr>
                <w:noProof/>
                <w:webHidden/>
              </w:rPr>
              <w:fldChar w:fldCharType="separate"/>
            </w:r>
            <w:r w:rsidR="006B50E4">
              <w:rPr>
                <w:noProof/>
                <w:webHidden/>
              </w:rPr>
              <w:t>7</w:t>
            </w:r>
            <w:r w:rsidR="006B50E4">
              <w:rPr>
                <w:noProof/>
                <w:webHidden/>
              </w:rPr>
              <w:fldChar w:fldCharType="end"/>
            </w:r>
          </w:hyperlink>
        </w:p>
        <w:p w14:paraId="0704CF1E" w14:textId="1FD61552" w:rsidR="006B50E4" w:rsidRDefault="005B0A80">
          <w:pPr>
            <w:pStyle w:val="TOC2"/>
            <w:tabs>
              <w:tab w:val="right" w:leader="dot" w:pos="9350"/>
            </w:tabs>
            <w:rPr>
              <w:noProof/>
            </w:rPr>
          </w:pPr>
          <w:hyperlink w:anchor="_Toc224541751" w:history="1">
            <w:r w:rsidR="006B50E4" w:rsidRPr="00137B85">
              <w:rPr>
                <w:rStyle w:val="Hyperlink"/>
                <w:noProof/>
              </w:rPr>
              <w:t>Conclusion to the report</w:t>
            </w:r>
            <w:r w:rsidR="006B50E4">
              <w:rPr>
                <w:noProof/>
                <w:webHidden/>
              </w:rPr>
              <w:tab/>
            </w:r>
            <w:r w:rsidR="006B50E4">
              <w:rPr>
                <w:noProof/>
                <w:webHidden/>
              </w:rPr>
              <w:fldChar w:fldCharType="begin"/>
            </w:r>
            <w:r w:rsidR="006B50E4">
              <w:rPr>
                <w:noProof/>
                <w:webHidden/>
              </w:rPr>
              <w:instrText xml:space="preserve"> PAGEREF _Toc224541751 \h </w:instrText>
            </w:r>
            <w:r w:rsidR="006B50E4">
              <w:rPr>
                <w:noProof/>
                <w:webHidden/>
              </w:rPr>
            </w:r>
            <w:r w:rsidR="006B50E4">
              <w:rPr>
                <w:noProof/>
                <w:webHidden/>
              </w:rPr>
              <w:fldChar w:fldCharType="separate"/>
            </w:r>
            <w:r w:rsidR="006B50E4">
              <w:rPr>
                <w:noProof/>
                <w:webHidden/>
              </w:rPr>
              <w:t>15</w:t>
            </w:r>
            <w:r w:rsidR="006B50E4">
              <w:rPr>
                <w:noProof/>
                <w:webHidden/>
              </w:rPr>
              <w:fldChar w:fldCharType="end"/>
            </w:r>
          </w:hyperlink>
        </w:p>
        <w:p w14:paraId="5E8A745C" w14:textId="60676757" w:rsidR="006B50E4" w:rsidRDefault="005B0A80">
          <w:pPr>
            <w:pStyle w:val="TOC1"/>
            <w:tabs>
              <w:tab w:val="right" w:leader="dot" w:pos="9350"/>
            </w:tabs>
            <w:rPr>
              <w:noProof/>
            </w:rPr>
          </w:pPr>
          <w:hyperlink w:anchor="_Toc224541752" w:history="1">
            <w:r w:rsidR="006B50E4" w:rsidRPr="00137B85">
              <w:rPr>
                <w:rStyle w:val="Hyperlink"/>
                <w:noProof/>
              </w:rPr>
              <w:t>Section 2: Reflective Account</w:t>
            </w:r>
            <w:r w:rsidR="006B50E4">
              <w:rPr>
                <w:noProof/>
                <w:webHidden/>
              </w:rPr>
              <w:tab/>
            </w:r>
            <w:r w:rsidR="006B50E4">
              <w:rPr>
                <w:noProof/>
                <w:webHidden/>
              </w:rPr>
              <w:fldChar w:fldCharType="begin"/>
            </w:r>
            <w:r w:rsidR="006B50E4">
              <w:rPr>
                <w:noProof/>
                <w:webHidden/>
              </w:rPr>
              <w:instrText xml:space="preserve"> PAGEREF _Toc224541752 \h </w:instrText>
            </w:r>
            <w:r w:rsidR="006B50E4">
              <w:rPr>
                <w:noProof/>
                <w:webHidden/>
              </w:rPr>
            </w:r>
            <w:r w:rsidR="006B50E4">
              <w:rPr>
                <w:noProof/>
                <w:webHidden/>
              </w:rPr>
              <w:fldChar w:fldCharType="separate"/>
            </w:r>
            <w:r w:rsidR="006B50E4">
              <w:rPr>
                <w:noProof/>
                <w:webHidden/>
              </w:rPr>
              <w:t>16</w:t>
            </w:r>
            <w:r w:rsidR="006B50E4">
              <w:rPr>
                <w:noProof/>
                <w:webHidden/>
              </w:rPr>
              <w:fldChar w:fldCharType="end"/>
            </w:r>
          </w:hyperlink>
        </w:p>
        <w:p w14:paraId="009ECBB0" w14:textId="2D35B44B" w:rsidR="006B50E4" w:rsidRDefault="005B0A80">
          <w:pPr>
            <w:pStyle w:val="TOC1"/>
            <w:tabs>
              <w:tab w:val="right" w:leader="dot" w:pos="9350"/>
            </w:tabs>
            <w:rPr>
              <w:noProof/>
            </w:rPr>
          </w:pPr>
          <w:hyperlink w:anchor="_Toc224541753" w:history="1">
            <w:r w:rsidR="006B50E4" w:rsidRPr="00137B85">
              <w:rPr>
                <w:rStyle w:val="Hyperlink"/>
                <w:noProof/>
              </w:rPr>
              <w:t>Reference</w:t>
            </w:r>
            <w:r w:rsidR="006B50E4">
              <w:rPr>
                <w:noProof/>
                <w:webHidden/>
              </w:rPr>
              <w:tab/>
            </w:r>
            <w:r w:rsidR="006B50E4">
              <w:rPr>
                <w:noProof/>
                <w:webHidden/>
              </w:rPr>
              <w:fldChar w:fldCharType="begin"/>
            </w:r>
            <w:r w:rsidR="006B50E4">
              <w:rPr>
                <w:noProof/>
                <w:webHidden/>
              </w:rPr>
              <w:instrText xml:space="preserve"> PAGEREF _Toc224541753 \h </w:instrText>
            </w:r>
            <w:r w:rsidR="006B50E4">
              <w:rPr>
                <w:noProof/>
                <w:webHidden/>
              </w:rPr>
            </w:r>
            <w:r w:rsidR="006B50E4">
              <w:rPr>
                <w:noProof/>
                <w:webHidden/>
              </w:rPr>
              <w:fldChar w:fldCharType="separate"/>
            </w:r>
            <w:r w:rsidR="006B50E4">
              <w:rPr>
                <w:noProof/>
                <w:webHidden/>
              </w:rPr>
              <w:t>19</w:t>
            </w:r>
            <w:r w:rsidR="006B50E4">
              <w:rPr>
                <w:noProof/>
                <w:webHidden/>
              </w:rPr>
              <w:fldChar w:fldCharType="end"/>
            </w:r>
          </w:hyperlink>
        </w:p>
        <w:p w14:paraId="55A231A3" w14:textId="00526F1A" w:rsidR="006B50E4" w:rsidRDefault="006B50E4">
          <w:r>
            <w:rPr>
              <w:b/>
              <w:bCs/>
              <w:noProof/>
            </w:rPr>
            <w:fldChar w:fldCharType="end"/>
          </w:r>
        </w:p>
      </w:sdtContent>
    </w:sdt>
    <w:p w14:paraId="5216A150" w14:textId="3D4F168D" w:rsidR="00862C6C" w:rsidRDefault="005B0A80">
      <w:r>
        <w:br w:type="page"/>
      </w:r>
    </w:p>
    <w:p w14:paraId="493760DD" w14:textId="77777777" w:rsidR="00862C6C" w:rsidRDefault="005B0A80">
      <w:pPr>
        <w:pStyle w:val="Heading1"/>
      </w:pPr>
      <w:bookmarkStart w:id="1" w:name="_67833y8h2cty" w:colFirst="0" w:colLast="0"/>
      <w:bookmarkStart w:id="2" w:name="_Toc224541746"/>
      <w:bookmarkEnd w:id="1"/>
      <w:r>
        <w:lastRenderedPageBreak/>
        <w:t>Section 1: International Industry Report</w:t>
      </w:r>
      <w:bookmarkEnd w:id="2"/>
    </w:p>
    <w:p w14:paraId="6C8BE037" w14:textId="77777777" w:rsidR="00862C6C" w:rsidRDefault="005B0A80">
      <w:pPr>
        <w:pStyle w:val="Heading2"/>
      </w:pPr>
      <w:bookmarkStart w:id="3" w:name="_rvls8da47qsr" w:colFirst="0" w:colLast="0"/>
      <w:bookmarkStart w:id="4" w:name="_Toc224541747"/>
      <w:bookmarkEnd w:id="3"/>
      <w:r>
        <w:t>In</w:t>
      </w:r>
      <w:r>
        <w:t>troduction to the report</w:t>
      </w:r>
      <w:bookmarkEnd w:id="4"/>
      <w:r>
        <w:t xml:space="preserve"> </w:t>
      </w:r>
    </w:p>
    <w:p w14:paraId="4D258754" w14:textId="77777777" w:rsidR="00862C6C" w:rsidRDefault="005B0A80">
      <w:r>
        <w:t>The automotive sector of the German economy is still the heart of the domestic economy as it accounts about 5% of the total Gross Domestic Product. The present report is a thorough investigation of the sector, which is a global co</w:t>
      </w:r>
      <w:r>
        <w:t>ntender in excellence in engineering and research-intensive innovation. The diamond model created by Michael Porter is used to critically analyze the competitiveness of the industry to determine the national advantages that have enabled the industry to rem</w:t>
      </w:r>
      <w:r>
        <w:t>ain the benchmark in the industry. In addition, this paper analyzes the operational achievement of Tesla Inc., a major foreign multinational organization that was founded in the German market. The report examines the impact of external environments and ele</w:t>
      </w:r>
      <w:r>
        <w:t>ctromobility transition on international business strategies by examining the political, economic, and cultural environment in this complex environment.</w:t>
      </w:r>
    </w:p>
    <w:p w14:paraId="33C58A57" w14:textId="77777777" w:rsidR="00862C6C" w:rsidRDefault="005B0A80">
      <w:pPr>
        <w:pStyle w:val="Heading2"/>
      </w:pPr>
      <w:bookmarkStart w:id="5" w:name="_nmkvunq7uaa8" w:colFirst="0" w:colLast="0"/>
      <w:bookmarkStart w:id="6" w:name="_Toc224541748"/>
      <w:bookmarkEnd w:id="5"/>
      <w:r>
        <w:t>Industry and Country Overview</w:t>
      </w:r>
      <w:bookmarkEnd w:id="6"/>
      <w:r>
        <w:t xml:space="preserve"> </w:t>
      </w:r>
    </w:p>
    <w:p w14:paraId="3C5909DE" w14:textId="77777777" w:rsidR="00862C6C" w:rsidRDefault="005B0A80">
      <w:pPr>
        <w:rPr>
          <w:b/>
          <w:bCs/>
          <w:i/>
          <w:iCs/>
        </w:rPr>
      </w:pPr>
      <w:r>
        <w:rPr>
          <w:b/>
          <w:bCs/>
          <w:i/>
          <w:iCs/>
        </w:rPr>
        <w:t>Economic Significance and Background</w:t>
      </w:r>
    </w:p>
    <w:p w14:paraId="3EDC5075" w14:textId="77777777" w:rsidR="00862C6C" w:rsidRDefault="005B0A80">
      <w:r>
        <w:t xml:space="preserve">German automotive industry is the </w:t>
      </w:r>
      <w:r>
        <w:t>driving force of the national economy taking about 5 percent of the Gross Domestic Product of Germany (Storm and Schröder, 2025). In 2024, the industry generated a total turnover amounting to EUR536.1 billion with domestic sales amounting to EUR164 billion</w:t>
      </w:r>
      <w:r>
        <w:t xml:space="preserve"> (</w:t>
      </w:r>
      <w:proofErr w:type="spellStart"/>
      <w:r>
        <w:t>Verband</w:t>
      </w:r>
      <w:proofErr w:type="spellEnd"/>
      <w:r>
        <w:t xml:space="preserve"> der </w:t>
      </w:r>
      <w:proofErr w:type="spellStart"/>
      <w:r>
        <w:t>Automobilindustrie</w:t>
      </w:r>
      <w:proofErr w:type="spellEnd"/>
      <w:r>
        <w:t>, 2026). The industry is historically known as an area of engineering quality and world-best research facilities that are based in a central location in Europe and enables complicated commerce and logistics. In spite of thes</w:t>
      </w:r>
      <w:r>
        <w:t>e advantages, the industry was struggling in a difficult environment in 2025 because of the lack of growth in the domestic market and expensive energy prices. However, a mid-recovery is predicted in the year 2026 and the number of registrations is projecte</w:t>
      </w:r>
      <w:r>
        <w:t>d to increase by almost 5% as the new replacement cycles start in the fleet market (</w:t>
      </w:r>
      <w:proofErr w:type="spellStart"/>
      <w:r>
        <w:t>Gnap</w:t>
      </w:r>
      <w:proofErr w:type="spellEnd"/>
      <w:r>
        <w:t xml:space="preserve"> </w:t>
      </w:r>
      <w:r>
        <w:rPr>
          <w:i/>
          <w:iCs/>
        </w:rPr>
        <w:t xml:space="preserve">et al., </w:t>
      </w:r>
      <w:r>
        <w:t>2024). The contextual significance of the industry is further supported by the fact that it is a part of an entire value chain that is being facilitated by 158</w:t>
      </w:r>
      <w:r>
        <w:t>,000 highly trained research and development staff that lead the shift to software-driven vehicles and other drive technologies.</w:t>
      </w:r>
    </w:p>
    <w:p w14:paraId="250764EF" w14:textId="77777777" w:rsidR="00862C6C" w:rsidRDefault="005B0A80">
      <w:pPr>
        <w:rPr>
          <w:b/>
          <w:bCs/>
          <w:i/>
          <w:iCs/>
        </w:rPr>
      </w:pPr>
      <w:r>
        <w:rPr>
          <w:b/>
          <w:bCs/>
          <w:i/>
          <w:iCs/>
        </w:rPr>
        <w:t>Global Export Leadership, Scope, and Size</w:t>
      </w:r>
    </w:p>
    <w:p w14:paraId="27B7E2CB" w14:textId="77777777" w:rsidR="00862C6C" w:rsidRDefault="005B0A80">
      <w:r>
        <w:lastRenderedPageBreak/>
        <w:t xml:space="preserve">Germany is the largest production and sales market in Europe and manufactures around </w:t>
      </w:r>
      <w:r>
        <w:t>4.07 million passenger cars in 2024 (Germany Trade &amp; Invest, 2026). The industry is not limited to domestic boundaries with the 70% of total revenues being earned by the export markets, those being the United States and China. In 2024, the automotive expor</w:t>
      </w:r>
      <w:r>
        <w:t>ts amounted to EUR372.2 billion, which constituted 23.8% of total German exports and was the largest product group in the trade portfolio of the country (Export Genius, 2025). The sector continues to have high employment levels with direct support of 772,9</w:t>
      </w:r>
      <w:r>
        <w:t xml:space="preserve">00 employees in 2024 and indirectly employment of 2.5 million more jobs based on its vast material input connections with the suppliers. Moreover, Germany has established itself as the second largest electric vehicle manufacturing center in the world with </w:t>
      </w:r>
      <w:r>
        <w:t>1.35 million passenger electric vehicles being produced in 2024 alone (Reuters, 2026).</w:t>
      </w:r>
    </w:p>
    <w:p w14:paraId="5484418A" w14:textId="77777777" w:rsidR="00862C6C" w:rsidRDefault="005B0A80">
      <w:pPr>
        <w:rPr>
          <w:b/>
          <w:bCs/>
          <w:i/>
          <w:iCs/>
        </w:rPr>
      </w:pPr>
      <w:r>
        <w:rPr>
          <w:b/>
          <w:bCs/>
          <w:i/>
          <w:iCs/>
        </w:rPr>
        <w:t>Strategic Positioning and Competitive Landscape</w:t>
      </w:r>
    </w:p>
    <w:p w14:paraId="70D32305" w14:textId="77777777" w:rsidR="00862C6C" w:rsidRDefault="005B0A80">
      <w:r>
        <w:t xml:space="preserve">The competition situation is </w:t>
      </w:r>
      <w:proofErr w:type="spellStart"/>
      <w:r>
        <w:t>characterised</w:t>
      </w:r>
      <w:proofErr w:type="spellEnd"/>
      <w:r>
        <w:t xml:space="preserve"> by the presence of domestic leaders in the market, including Volkswagen, Merce</w:t>
      </w:r>
      <w:r>
        <w:t xml:space="preserve">des-Benz, and BMW, with all of them holding the top three positions in 2025. With a market share of 19.6% it is the market leader concentrating on high-volume sales and an expending electric portfolio, including VW Golf and ID.7 (Volkswagen Group, 2025). </w:t>
      </w:r>
      <w:proofErr w:type="spellStart"/>
      <w:r>
        <w:t>M</w:t>
      </w:r>
      <w:r>
        <w:t>ercedesBenz</w:t>
      </w:r>
      <w:proofErr w:type="spellEnd"/>
      <w:r>
        <w:t xml:space="preserve"> and BMW fight within the high-end market, with BMW showing a high level of resilience in 2025 with high sales growth rates in the European and American markets, behind Mercedes-Benz in the overall number of domestic registrations. Tactically, s</w:t>
      </w:r>
      <w:r>
        <w:t>uch companies are shifting more towards the high-end segment in order to cushion their profits against the increasing production cost and competition by Chinese brands such as BYD (Aguirregabiria, 2022). As domestic brands become competitive in terms of ha</w:t>
      </w:r>
      <w:r>
        <w:t>rdware and mechanical labor, there is the strategic pressure on them by foreign multinationals such as Tesla, which, although faced by a 48% reduction of sales in 2025, still manages to break the established order with their emphasis on software integratio</w:t>
      </w:r>
      <w:r>
        <w:t>n and the development cycle. This competition compels the German producers to speed up their digitalization projects to retain their high-quality brand loyalty which, at the moment, is enabling them to secure a price premium of up to 20% above the non-prem</w:t>
      </w:r>
      <w:r>
        <w:t>ium players.</w:t>
      </w:r>
    </w:p>
    <w:p w14:paraId="6EF3797D" w14:textId="77777777" w:rsidR="00862C6C" w:rsidRDefault="005B0A80">
      <w:pPr>
        <w:pStyle w:val="Heading2"/>
      </w:pPr>
      <w:bookmarkStart w:id="7" w:name="_ejcvsc6tmfjr" w:colFirst="0" w:colLast="0"/>
      <w:bookmarkStart w:id="8" w:name="_Toc224541749"/>
      <w:bookmarkEnd w:id="7"/>
      <w:r>
        <w:lastRenderedPageBreak/>
        <w:t>Porter’s Diamond Model</w:t>
      </w:r>
      <w:bookmarkEnd w:id="8"/>
      <w:r>
        <w:t xml:space="preserve"> </w:t>
      </w:r>
    </w:p>
    <w:p w14:paraId="0D88A839" w14:textId="77777777" w:rsidR="00862C6C" w:rsidRDefault="005B0A80">
      <w:r>
        <w:t>The national advantage of the German automotive industry is most competent, according to the Diamond Model of Michael Porter, that refers to four determinants that are interrelated. Diamond Model shows why some countrie</w:t>
      </w:r>
      <w:r>
        <w:t>s can be successful on the global level in a particular area through analysis of the domestic environment where companies would compete (</w:t>
      </w:r>
      <w:proofErr w:type="spellStart"/>
      <w:r>
        <w:t>Lehene</w:t>
      </w:r>
      <w:proofErr w:type="spellEnd"/>
      <w:r>
        <w:t>, 2024). This model is appropriate to the automotive industry in Germany, where conditions of factors of producti</w:t>
      </w:r>
      <w:r>
        <w:t>on, the conditions of demand, the related industries, and the strategy adopted by firms forms a self-perpetuating cycle of quality and innovativeness.</w:t>
      </w:r>
    </w:p>
    <w:p w14:paraId="4EAA5744" w14:textId="77777777" w:rsidR="00862C6C" w:rsidRDefault="005B0A80">
      <w:pPr>
        <w:rPr>
          <w:b/>
          <w:bCs/>
          <w:i/>
          <w:iCs/>
        </w:rPr>
      </w:pPr>
      <w:r>
        <w:rPr>
          <w:b/>
          <w:bCs/>
          <w:i/>
          <w:iCs/>
        </w:rPr>
        <w:t>Factor Conditions</w:t>
      </w:r>
    </w:p>
    <w:p w14:paraId="77E2AD42" w14:textId="77777777" w:rsidR="00862C6C" w:rsidRDefault="005B0A80">
      <w:r>
        <w:t xml:space="preserve">Germany has a high level of </w:t>
      </w:r>
      <w:proofErr w:type="spellStart"/>
      <w:r>
        <w:t>specialised</w:t>
      </w:r>
      <w:proofErr w:type="spellEnd"/>
      <w:r>
        <w:t xml:space="preserve"> factors conditions which offer a complex base o</w:t>
      </w:r>
      <w:r>
        <w:t>n the automotive manufacturing (Yeung, 2024). These advanced factors are developed as a result of long-lasting investment in human resource and infrastructure, unlike basic factors, raw materials. The first one is the German Dual Education System, with whi</w:t>
      </w:r>
      <w:r>
        <w:t>ch the classroom education is integrated with the industrial apprenticeship (Yue, 2026). This guarantees the provision of in-flow of highly skilled technicians and engineers with extensive practical experience of complex mechanical systems. Moreover, the c</w:t>
      </w:r>
      <w:r>
        <w:t xml:space="preserve">ountry also has a huge concentration of research centers of global standards, including the Fraunhofer Society, which directly cooperate with manufacturers on the latest technologies, including solid-state batteries and autonomous driving. These are </w:t>
      </w:r>
      <w:proofErr w:type="spellStart"/>
      <w:r>
        <w:t>specia</w:t>
      </w:r>
      <w:r>
        <w:t>lised</w:t>
      </w:r>
      <w:proofErr w:type="spellEnd"/>
      <w:r>
        <w:t xml:space="preserve"> factors which can hardly be reproduced by international competitors and this presents a permanent barrier to entry and high value production platform.</w:t>
      </w:r>
    </w:p>
    <w:p w14:paraId="4E1DA9D9" w14:textId="77777777" w:rsidR="00862C6C" w:rsidRDefault="005B0A80">
      <w:pPr>
        <w:rPr>
          <w:b/>
          <w:bCs/>
          <w:i/>
          <w:iCs/>
        </w:rPr>
      </w:pPr>
      <w:r>
        <w:rPr>
          <w:b/>
          <w:bCs/>
          <w:i/>
          <w:iCs/>
        </w:rPr>
        <w:t>Demand Conditions</w:t>
      </w:r>
    </w:p>
    <w:p w14:paraId="6309C0D2" w14:textId="77777777" w:rsidR="00862C6C" w:rsidRDefault="005B0A80">
      <w:r>
        <w:t>The domestic demand nature in Germany is an effective stimulus to global competit</w:t>
      </w:r>
      <w:r>
        <w:t>iveness in the industry. German consumers are infamously picky and high end customers, usually focusing on speedy performance, safety and oil political efficiency (Sachs, 2023). The lack of general speed limits in parts of the Autobahn places a domestic ni</w:t>
      </w:r>
      <w:r>
        <w:t xml:space="preserve">che need on the vehicles that can be stable and safe in extreme speed. It is this pressure of the home market that compels German companies such as BMW and Porsche to be innovative at all times and ensure high standards of quality. Thus, the </w:t>
      </w:r>
      <w:r>
        <w:lastRenderedPageBreak/>
        <w:t xml:space="preserve">vehicles that </w:t>
      </w:r>
      <w:r>
        <w:t>meet the high demands of the German population tend to be very popular in overseas markets because they are regarded as the ultimate in terms of engineering reliability and prestige.</w:t>
      </w:r>
    </w:p>
    <w:p w14:paraId="08373413" w14:textId="77777777" w:rsidR="00862C6C" w:rsidRDefault="005B0A80">
      <w:pPr>
        <w:rPr>
          <w:b/>
          <w:bCs/>
          <w:i/>
          <w:iCs/>
        </w:rPr>
      </w:pPr>
      <w:r>
        <w:rPr>
          <w:b/>
          <w:bCs/>
          <w:i/>
          <w:iCs/>
        </w:rPr>
        <w:t>Related and Supporting Industries</w:t>
      </w:r>
    </w:p>
    <w:p w14:paraId="48D57313" w14:textId="77777777" w:rsidR="00862C6C" w:rsidRDefault="005B0A80">
      <w:r>
        <w:t xml:space="preserve">Another major predictor of the success </w:t>
      </w:r>
      <w:r>
        <w:t xml:space="preserve">of Germany is the existence of related and supporting industries that are of world lead. The automotive industry is not a vacuum and it is backed by a so-called cluster of </w:t>
      </w:r>
      <w:proofErr w:type="spellStart"/>
      <w:r>
        <w:t>specialised</w:t>
      </w:r>
      <w:proofErr w:type="spellEnd"/>
      <w:r>
        <w:t xml:space="preserve"> suppliers like Bosch, Continental, and ZF Friedrichshafen (Boewe and Sch</w:t>
      </w:r>
      <w:r>
        <w:t xml:space="preserve">ulten, 2023). These companies themselves are the world leaders and give German car producers the opportunity to receive the latest components in the field of electronics, </w:t>
      </w:r>
      <w:proofErr w:type="spellStart"/>
      <w:r>
        <w:t>tyres</w:t>
      </w:r>
      <w:proofErr w:type="spellEnd"/>
      <w:r>
        <w:t xml:space="preserve"> and transmission systems. These suppliers are geographically near each other, w</w:t>
      </w:r>
      <w:r>
        <w:t xml:space="preserve">hich enables manufacturing on a just-in-time basis and allows fostering a culture of collaborative innovation. It is this ecosystem that has </w:t>
      </w:r>
      <w:proofErr w:type="spellStart"/>
      <w:r>
        <w:t>optimised</w:t>
      </w:r>
      <w:proofErr w:type="spellEnd"/>
      <w:r>
        <w:t xml:space="preserve"> the entire value chain so that the risks related to the disruption of the global supply chain are </w:t>
      </w:r>
      <w:proofErr w:type="spellStart"/>
      <w:r>
        <w:t>minimis</w:t>
      </w:r>
      <w:r>
        <w:t>ed</w:t>
      </w:r>
      <w:proofErr w:type="spellEnd"/>
      <w:r>
        <w:t xml:space="preserve"> and that new technologies are easily incorporated into the design of the vehicles.</w:t>
      </w:r>
    </w:p>
    <w:p w14:paraId="3FAC8641" w14:textId="77777777" w:rsidR="00862C6C" w:rsidRDefault="005B0A80">
      <w:pPr>
        <w:rPr>
          <w:b/>
          <w:bCs/>
          <w:i/>
          <w:iCs/>
        </w:rPr>
      </w:pPr>
      <w:r>
        <w:rPr>
          <w:b/>
          <w:bCs/>
          <w:i/>
          <w:iCs/>
        </w:rPr>
        <w:t>Firm Strategy, Structure, and Rivalry</w:t>
      </w:r>
    </w:p>
    <w:p w14:paraId="58A74A19" w14:textId="77777777" w:rsidR="00862C6C" w:rsidRDefault="005B0A80">
      <w:r>
        <w:t xml:space="preserve">The last pillar of the Diamond Model is related to the terms of the formation of companies, their structuring, and management, as </w:t>
      </w:r>
      <w:r>
        <w:t>well as domestic competition. In Germany, motion is marked by severe domestic competitiveness among the classic names in the automotive sector such as Mercedes-Benz, Audi, and Volkswagen (Dias, 2024). This is not just competition on the price, but rather o</w:t>
      </w:r>
      <w:r>
        <w:t>n the technological excellence, brand heritage. This kind of intense local competition does not allow complacency and forces the firms to search the international markets in order to increase their size. Moreover, German business cultures tend to place a f</w:t>
      </w:r>
      <w:r>
        <w:t>ocus on long-term stability and building of engineering excellence rather than focusing on financial benefits in the short term, which enables companies to make massive investments in long-term development of new vehicle platforms.</w:t>
      </w:r>
    </w:p>
    <w:p w14:paraId="24D27CCC" w14:textId="77777777" w:rsidR="00862C6C" w:rsidRDefault="005B0A80">
      <w:pPr>
        <w:rPr>
          <w:b/>
          <w:bCs/>
          <w:i/>
          <w:iCs/>
        </w:rPr>
      </w:pPr>
      <w:r>
        <w:rPr>
          <w:b/>
          <w:bCs/>
          <w:i/>
          <w:iCs/>
        </w:rPr>
        <w:t>The Role of Government a</w:t>
      </w:r>
      <w:r>
        <w:rPr>
          <w:b/>
          <w:bCs/>
          <w:i/>
          <w:iCs/>
        </w:rPr>
        <w:t>nd Chance</w:t>
      </w:r>
    </w:p>
    <w:p w14:paraId="3A0A5E2C" w14:textId="77777777" w:rsidR="00862C6C" w:rsidRDefault="005B0A80">
      <w:r>
        <w:t xml:space="preserve">Although they are not the fundamental determinants, the German diamond is also affected by the government policy and chance events. It is historically known that the German government has been a major contributor to the industry in terms of </w:t>
      </w:r>
      <w:r>
        <w:lastRenderedPageBreak/>
        <w:t>inves</w:t>
      </w:r>
      <w:r>
        <w:t>tments in infrastructure and subsidies to research on the development of so-called green technologies. The environmental laws in the European Union have served as an equivalent of a challenger forcing companies to be the first in the world to implement ele</w:t>
      </w:r>
      <w:r>
        <w:t>ctric vehicles in order to evade huge penalties (Rezaei, 2025). The industry has been compelled by chance events like the global change in energy prices or emergence of the digital giants of software to change its mechanical orientation towards software de</w:t>
      </w:r>
      <w:r>
        <w:t>fined mobility.</w:t>
      </w:r>
    </w:p>
    <w:p w14:paraId="3ACBA370" w14:textId="77777777" w:rsidR="00862C6C" w:rsidRDefault="005B0A80">
      <w:r>
        <w:t xml:space="preserve">Thus, the German automotive industry is competitive in the world not because of one specific variable but due to the systematic collaboration between a high-competency and talented workforce, a challenging consumer base, an established and </w:t>
      </w:r>
      <w:r>
        <w:t>strong supplier base, and the existence of intense competition within Germany. This diamond establishes a strong environment within which German companies are able to retain their expertise in the high-end automobile industry despite the fluctuations of th</w:t>
      </w:r>
      <w:r>
        <w:t>e global economy.</w:t>
      </w:r>
    </w:p>
    <w:p w14:paraId="3149D748" w14:textId="77777777" w:rsidR="00862C6C" w:rsidRDefault="005B0A80">
      <w:pPr>
        <w:pStyle w:val="Heading2"/>
      </w:pPr>
      <w:bookmarkStart w:id="9" w:name="_nxzqwesfp7tn" w:colFirst="0" w:colLast="0"/>
      <w:bookmarkStart w:id="10" w:name="_Toc224541750"/>
      <w:bookmarkEnd w:id="9"/>
      <w:r>
        <w:t>MNC Analysis</w:t>
      </w:r>
      <w:bookmarkEnd w:id="10"/>
      <w:r>
        <w:t xml:space="preserve"> </w:t>
      </w:r>
    </w:p>
    <w:p w14:paraId="78D4A597" w14:textId="77777777" w:rsidR="00862C6C" w:rsidRDefault="005B0A80">
      <w:pPr>
        <w:rPr>
          <w:b/>
          <w:bCs/>
          <w:i/>
          <w:iCs/>
        </w:rPr>
      </w:pPr>
      <w:r>
        <w:rPr>
          <w:b/>
          <w:bCs/>
          <w:i/>
          <w:iCs/>
        </w:rPr>
        <w:t>Critical Evaluation of Tesla Inc. in the German Market</w:t>
      </w:r>
    </w:p>
    <w:p w14:paraId="10E19A27" w14:textId="77777777" w:rsidR="00862C6C" w:rsidRDefault="005B0A80">
      <w:r>
        <w:t>Tesla Inc. is a major disruptive threat in the German industrial environment, which is confronting the traditional power of the long-standing automotive giants (</w:t>
      </w:r>
      <w:proofErr w:type="spellStart"/>
      <w:r>
        <w:t>EVBooste</w:t>
      </w:r>
      <w:r>
        <w:t>rs</w:t>
      </w:r>
      <w:proofErr w:type="spellEnd"/>
      <w:r>
        <w:t>, 2023). With its inaugural European manufacturing base, Giga Berlin, in Brandenburg, the company has entrenched itself in a location that has been known to have high standards in engineering and supply chain advancement. But such assimilation into a con</w:t>
      </w:r>
      <w:r>
        <w:t>ventional industrial heavyweight has its own special problems which go beyond mere entry into the market. Critical assessment of the German market demonstrates that it is a very complicated environment, in which the political attempts to electrify it are f</w:t>
      </w:r>
      <w:r>
        <w:t>requently received with the regulatory obstacles and bureaucratic sluggishness. As the German government supports the development of green energy, the local administration procedures and environmentalist movements have often conflicted with Tesla to expand</w:t>
      </w:r>
      <w:r>
        <w:t xml:space="preserve"> its business in Germany, which is a typical example of the global corporate acceleration and the local institutional control.</w:t>
      </w:r>
    </w:p>
    <w:p w14:paraId="39E38D3B" w14:textId="77777777" w:rsidR="00862C6C" w:rsidRDefault="005B0A80">
      <w:r>
        <w:t>Moreover, the economic and social aspect of the German market requires a fragile strategic approach on Tesla (Molnár, 2026). On t</w:t>
      </w:r>
      <w:r>
        <w:t xml:space="preserve">he economic front, the company has to </w:t>
      </w:r>
      <w:r>
        <w:lastRenderedPageBreak/>
        <w:t>contend with a high-cost environment that is marked by high prices of energy and high labor costs. Tesla does not experience this in its business in other parts of the world; the company has a well-organized and strong</w:t>
      </w:r>
      <w:r>
        <w:t xml:space="preserve"> </w:t>
      </w:r>
      <w:proofErr w:type="spellStart"/>
      <w:r>
        <w:t>labour</w:t>
      </w:r>
      <w:proofErr w:type="spellEnd"/>
      <w:r>
        <w:t xml:space="preserve"> force led by trade unions like IG Metall. The cultural gap between the fast silicon- valley management culture at Tesla and the co-determination approach at Germany has resulted in repeated industrial conflicts. In the social aspect, the brand is i</w:t>
      </w:r>
      <w:r>
        <w:t>n line with the environmental values of the German population, but at the same time it has to break a long-established consumer loyalty to local brands of heritage such as Mercedes-Benz and BMW. To maintain its competitive advantage, Tesla should prove tha</w:t>
      </w:r>
      <w:r>
        <w:t>t it is able to balance its technological invention and strict quality requirements and social demands of the German people. In the end, the success of the company would be determined by how it can transform itself into a foreign competitor, a company more</w:t>
      </w:r>
      <w:r>
        <w:t xml:space="preserve"> heavily integrated locally and respectful of the subtle legal and cultural nuances of the German car culture.</w:t>
      </w:r>
    </w:p>
    <w:p w14:paraId="69ADD9B6" w14:textId="77777777" w:rsidR="00862C6C" w:rsidRDefault="005B0A80">
      <w:pPr>
        <w:rPr>
          <w:b/>
          <w:bCs/>
          <w:color w:val="000000"/>
          <w:sz w:val="26"/>
          <w:szCs w:val="26"/>
        </w:rPr>
      </w:pPr>
      <w:r>
        <w:rPr>
          <w:b/>
          <w:bCs/>
          <w:i/>
          <w:iCs/>
        </w:rPr>
        <w:t>PESTLE Analysis</w:t>
      </w:r>
    </w:p>
    <w:tbl>
      <w:tblPr>
        <w:tblStyle w:val="a"/>
        <w:tblW w:w="93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10"/>
        <w:gridCol w:w="3725"/>
        <w:gridCol w:w="3680"/>
      </w:tblGrid>
      <w:tr w:rsidR="00862C6C" w14:paraId="2378CF4D" w14:textId="77777777">
        <w:trPr>
          <w:trHeight w:val="530"/>
        </w:trPr>
        <w:tc>
          <w:tcPr>
            <w:tcW w:w="19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860DAF" w14:textId="77777777" w:rsidR="00862C6C" w:rsidRDefault="005B0A80">
            <w:pPr>
              <w:jc w:val="center"/>
              <w:rPr>
                <w:b/>
                <w:bCs/>
              </w:rPr>
            </w:pPr>
            <w:r>
              <w:rPr>
                <w:b/>
                <w:bCs/>
              </w:rPr>
              <w:t>Category</w:t>
            </w:r>
          </w:p>
        </w:tc>
        <w:tc>
          <w:tcPr>
            <w:tcW w:w="37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C7C200" w14:textId="77777777" w:rsidR="00862C6C" w:rsidRDefault="005B0A80">
            <w:pPr>
              <w:jc w:val="center"/>
              <w:rPr>
                <w:b/>
                <w:bCs/>
              </w:rPr>
            </w:pPr>
            <w:r>
              <w:rPr>
                <w:b/>
                <w:bCs/>
              </w:rPr>
              <w:t>Key Factors</w:t>
            </w:r>
          </w:p>
        </w:tc>
        <w:tc>
          <w:tcPr>
            <w:tcW w:w="3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6A4228" w14:textId="77777777" w:rsidR="00862C6C" w:rsidRDefault="005B0A80">
            <w:pPr>
              <w:jc w:val="center"/>
              <w:rPr>
                <w:b/>
                <w:bCs/>
              </w:rPr>
            </w:pPr>
            <w:r>
              <w:rPr>
                <w:b/>
                <w:bCs/>
              </w:rPr>
              <w:t>Strategic Impact on Tesla</w:t>
            </w:r>
          </w:p>
        </w:tc>
      </w:tr>
      <w:tr w:rsidR="00862C6C" w14:paraId="1694FD31" w14:textId="77777777">
        <w:trPr>
          <w:trHeight w:val="1625"/>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B57D7C" w14:textId="77777777" w:rsidR="00862C6C" w:rsidRDefault="005B0A80">
            <w:r>
              <w:t>Political</w:t>
            </w:r>
          </w:p>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9BE6F3" w14:textId="77777777" w:rsidR="00862C6C" w:rsidRDefault="005B0A80">
            <w:pPr>
              <w:numPr>
                <w:ilvl w:val="0"/>
                <w:numId w:val="2"/>
              </w:numPr>
            </w:pPr>
            <w:r>
              <w:t xml:space="preserve">Government Subsidies: Planned federal subsidies for electric passenger </w:t>
            </w:r>
            <w:r>
              <w:t>cars (aiming for 1 million new registrations in 2026).</w:t>
            </w:r>
          </w:p>
          <w:p w14:paraId="3CF7B725" w14:textId="77777777" w:rsidR="00862C6C" w:rsidRDefault="005B0A80">
            <w:pPr>
              <w:numPr>
                <w:ilvl w:val="0"/>
                <w:numId w:val="2"/>
              </w:numPr>
            </w:pPr>
            <w:r>
              <w:t>Geopolitical Tensions: US-threatened 10% tariffs on German goods and ongoing US-China trade friction (Singh, 2025).</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9C922" w14:textId="77777777" w:rsidR="00862C6C" w:rsidRDefault="005B0A80">
            <w:r>
              <w:t>Opportunity: Boosts sales momentum for the Model 3 and Model Y as private and fleet b</w:t>
            </w:r>
            <w:r>
              <w:t>uyers seek financial incentives.</w:t>
            </w:r>
          </w:p>
          <w:p w14:paraId="71E5C3C9" w14:textId="77777777" w:rsidR="00862C6C" w:rsidRDefault="005B0A80">
            <w:r>
              <w:t>Threat: Risks disrupting the global supply chain for parts and increasing the cost of vehicles exported from Giga Berlin.</w:t>
            </w:r>
          </w:p>
        </w:tc>
      </w:tr>
      <w:tr w:rsidR="00862C6C" w14:paraId="23163F5E"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C20E59"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AD6C75"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26B5B8" w14:textId="77777777" w:rsidR="00862C6C" w:rsidRDefault="00862C6C">
            <w:pPr>
              <w:spacing w:line="240" w:lineRule="auto"/>
            </w:pPr>
          </w:p>
        </w:tc>
      </w:tr>
      <w:tr w:rsidR="00862C6C" w14:paraId="7BD47F95" w14:textId="77777777">
        <w:trPr>
          <w:trHeight w:val="1625"/>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89C5CD" w14:textId="77777777" w:rsidR="00862C6C" w:rsidRDefault="005B0A80">
            <w:r>
              <w:lastRenderedPageBreak/>
              <w:t>Economic</w:t>
            </w:r>
          </w:p>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761C57" w14:textId="77777777" w:rsidR="00862C6C" w:rsidRDefault="005B0A80">
            <w:pPr>
              <w:numPr>
                <w:ilvl w:val="0"/>
                <w:numId w:val="1"/>
              </w:numPr>
            </w:pPr>
            <w:r>
              <w:t>Market Stagnation: Forecasted growth of only 2% to 5% in the German market as consumers</w:t>
            </w:r>
            <w:r>
              <w:t xml:space="preserve"> rebuild savings after high inflation (</w:t>
            </w:r>
            <w:proofErr w:type="spellStart"/>
            <w:r>
              <w:t>Nabernegg</w:t>
            </w:r>
            <w:proofErr w:type="spellEnd"/>
            <w:r>
              <w:t>, 2024).</w:t>
            </w:r>
          </w:p>
          <w:p w14:paraId="2D2A31C3" w14:textId="77777777" w:rsidR="00862C6C" w:rsidRDefault="005B0A80">
            <w:pPr>
              <w:numPr>
                <w:ilvl w:val="0"/>
                <w:numId w:val="1"/>
              </w:numPr>
            </w:pPr>
            <w:r>
              <w:t>Energy Costs: High electricity prices in Germany impact both manufacturing overheads and the "total cost of ownership" for EV users.</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3DEEE" w14:textId="77777777" w:rsidR="00862C6C" w:rsidRDefault="005B0A80">
            <w:r>
              <w:t>Threat: Limits the rapid scaling of production capacity at Giga Be</w:t>
            </w:r>
            <w:r>
              <w:t>rlin due to cautious consumer spending on high-ticket items.</w:t>
            </w:r>
          </w:p>
          <w:p w14:paraId="634C292D" w14:textId="77777777" w:rsidR="00862C6C" w:rsidRDefault="005B0A80">
            <w:r>
              <w:t>Threat: May drive potential customers back to used internal combustion engine (ICE) vehicles if charging costs remain high.</w:t>
            </w:r>
          </w:p>
        </w:tc>
      </w:tr>
      <w:tr w:rsidR="00862C6C" w14:paraId="25D4927A"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2F67F9"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48437"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40F3C5" w14:textId="77777777" w:rsidR="00862C6C" w:rsidRDefault="00862C6C">
            <w:pPr>
              <w:spacing w:line="240" w:lineRule="auto"/>
            </w:pPr>
          </w:p>
        </w:tc>
      </w:tr>
      <w:tr w:rsidR="00862C6C" w14:paraId="15441F52" w14:textId="77777777">
        <w:trPr>
          <w:trHeight w:val="1910"/>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0417DA" w14:textId="77777777" w:rsidR="00862C6C" w:rsidRDefault="005B0A80">
            <w:r>
              <w:t>Social</w:t>
            </w:r>
          </w:p>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13F59E" w14:textId="77777777" w:rsidR="00862C6C" w:rsidRDefault="005B0A80">
            <w:pPr>
              <w:numPr>
                <w:ilvl w:val="0"/>
                <w:numId w:val="3"/>
              </w:numPr>
            </w:pPr>
            <w:r>
              <w:t>Sustainability Shift: Increasing preference for sustainable</w:t>
            </w:r>
            <w:r>
              <w:t xml:space="preserve"> brands, with 66% of global consumers willing to pay more for green products.</w:t>
            </w:r>
          </w:p>
          <w:p w14:paraId="4FC265B2" w14:textId="77777777" w:rsidR="00862C6C" w:rsidRDefault="005B0A80">
            <w:pPr>
              <w:numPr>
                <w:ilvl w:val="0"/>
                <w:numId w:val="3"/>
              </w:numPr>
            </w:pPr>
            <w:r>
              <w:t>Labor Culture Frictions: Cultural divide between Tesla’s fast-paced management and the German "co-determination" labor model.</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43973" w14:textId="77777777" w:rsidR="00862C6C" w:rsidRDefault="005B0A80">
            <w:r>
              <w:t xml:space="preserve">Opportunity: Strengthens Tesla's brand equity as a </w:t>
            </w:r>
            <w:r>
              <w:t>mission-driven company compared to traditional manufacturers transitionally pivoting to EVs.</w:t>
            </w:r>
          </w:p>
          <w:p w14:paraId="55DCDE2C" w14:textId="77777777" w:rsidR="00862C6C" w:rsidRDefault="005B0A80">
            <w:r>
              <w:t>Threat: High absenteeism and recurring disputes with IG Metall can lead to production shutdowns and negative public sentiment.</w:t>
            </w:r>
          </w:p>
        </w:tc>
      </w:tr>
      <w:tr w:rsidR="00862C6C" w14:paraId="2538A7BB"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723E64"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D0659C"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D6DF13" w14:textId="77777777" w:rsidR="00862C6C" w:rsidRDefault="00862C6C">
            <w:pPr>
              <w:spacing w:line="240" w:lineRule="auto"/>
            </w:pPr>
          </w:p>
        </w:tc>
      </w:tr>
      <w:tr w:rsidR="00862C6C" w14:paraId="4D94CAEB" w14:textId="77777777">
        <w:trPr>
          <w:trHeight w:val="1625"/>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8783E2" w14:textId="77777777" w:rsidR="00862C6C" w:rsidRDefault="005B0A80">
            <w:r>
              <w:lastRenderedPageBreak/>
              <w:t>Technological</w:t>
            </w:r>
          </w:p>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DB2B80" w14:textId="77777777" w:rsidR="00862C6C" w:rsidRDefault="005B0A80">
            <w:pPr>
              <w:numPr>
                <w:ilvl w:val="0"/>
                <w:numId w:val="4"/>
              </w:numPr>
            </w:pPr>
            <w:r>
              <w:t>AI and Software Focus: Shift toward "Software-Defined Vehicles" (SDV) and the integration of AI-powered digital twins in manufacturing.</w:t>
            </w:r>
          </w:p>
          <w:p w14:paraId="2920A265" w14:textId="77777777" w:rsidR="00862C6C" w:rsidRDefault="005B0A80">
            <w:pPr>
              <w:numPr>
                <w:ilvl w:val="0"/>
                <w:numId w:val="4"/>
              </w:numPr>
            </w:pPr>
            <w:r>
              <w:t>Cybersecurity Homologation: New 2026 requirements for strict validation of vehicle electronic systems and software updat</w:t>
            </w:r>
            <w:r>
              <w:t>e security (</w:t>
            </w:r>
            <w:proofErr w:type="spellStart"/>
            <w:r>
              <w:t>Alhabib</w:t>
            </w:r>
            <w:proofErr w:type="spellEnd"/>
            <w:r>
              <w:t xml:space="preserve"> and </w:t>
            </w:r>
            <w:proofErr w:type="spellStart"/>
            <w:r>
              <w:t>Yadav</w:t>
            </w:r>
            <w:proofErr w:type="spellEnd"/>
            <w:r>
              <w:t>, 2025).</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2CED0" w14:textId="77777777" w:rsidR="00862C6C" w:rsidRDefault="005B0A80">
            <w:r>
              <w:t>Opportunity: Tesla’s expertise in Over-the-Air (OTA) updates and autonomous driving software provides a significant competitive lead.</w:t>
            </w:r>
          </w:p>
          <w:p w14:paraId="5AC4DE66" w14:textId="77777777" w:rsidR="00862C6C" w:rsidRDefault="005B0A80">
            <w:r>
              <w:t>Threat: Increased compliance costs and the need for rigorous type-approval testing b</w:t>
            </w:r>
            <w:r>
              <w:t>efore launching new software features.</w:t>
            </w:r>
          </w:p>
        </w:tc>
      </w:tr>
      <w:tr w:rsidR="00862C6C" w14:paraId="0DB72B9F"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39675F"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3F84BA"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D3858C" w14:textId="77777777" w:rsidR="00862C6C" w:rsidRDefault="00862C6C">
            <w:pPr>
              <w:spacing w:line="240" w:lineRule="auto"/>
            </w:pPr>
          </w:p>
        </w:tc>
      </w:tr>
      <w:tr w:rsidR="00862C6C" w14:paraId="303B2F4B" w14:textId="77777777">
        <w:trPr>
          <w:trHeight w:val="1625"/>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112B7B" w14:textId="77777777" w:rsidR="00862C6C" w:rsidRDefault="005B0A80">
            <w:r>
              <w:t>Legal</w:t>
            </w:r>
          </w:p>
          <w:p w14:paraId="78BDFAC7" w14:textId="77777777" w:rsidR="00862C6C" w:rsidRDefault="00862C6C"/>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A901E" w14:textId="77777777" w:rsidR="00862C6C" w:rsidRDefault="005B0A80">
            <w:pPr>
              <w:numPr>
                <w:ilvl w:val="0"/>
                <w:numId w:val="6"/>
              </w:numPr>
            </w:pPr>
            <w:r>
              <w:t>EU Data Act (2026): New rules mandating that manufacturers share vehicle-generated data with third-party service providers (LKQ Europe, 2025).</w:t>
            </w:r>
          </w:p>
          <w:p w14:paraId="6687910F" w14:textId="77777777" w:rsidR="00862C6C" w:rsidRDefault="005B0A80">
            <w:pPr>
              <w:numPr>
                <w:ilvl w:val="0"/>
                <w:numId w:val="6"/>
              </w:numPr>
            </w:pPr>
            <w:r>
              <w:t xml:space="preserve">Revised Product Liability Directive: Extends manufacturer </w:t>
            </w:r>
            <w:r>
              <w:t>liability to include software defects, inadequate updates, and data corruption.</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D4D532" w14:textId="77777777" w:rsidR="00862C6C" w:rsidRDefault="005B0A80">
            <w:r>
              <w:t>Threat: Challenges Tesla's proprietary data ecosystem and forces transparency with independent repair shops and insurers.</w:t>
            </w:r>
          </w:p>
          <w:p w14:paraId="7503DCD1" w14:textId="77777777" w:rsidR="00862C6C" w:rsidRDefault="005B0A80">
            <w:r>
              <w:t>Threat: Creates higher legal risks for "Full Self-Driv</w:t>
            </w:r>
            <w:r>
              <w:t>ing" (FSD) beta features and increases potential litigation costs in the EU.</w:t>
            </w:r>
          </w:p>
        </w:tc>
      </w:tr>
      <w:tr w:rsidR="00862C6C" w14:paraId="26370BC8"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22357"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62AB4E"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529BFD" w14:textId="77777777" w:rsidR="00862C6C" w:rsidRDefault="00862C6C">
            <w:pPr>
              <w:spacing w:line="240" w:lineRule="auto"/>
            </w:pPr>
          </w:p>
        </w:tc>
      </w:tr>
      <w:tr w:rsidR="00862C6C" w14:paraId="2DA60EA2" w14:textId="77777777">
        <w:trPr>
          <w:trHeight w:val="1625"/>
        </w:trPr>
        <w:tc>
          <w:tcPr>
            <w:tcW w:w="191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CBCD73" w14:textId="77777777" w:rsidR="00862C6C" w:rsidRDefault="005B0A80">
            <w:r>
              <w:lastRenderedPageBreak/>
              <w:t>Environmental</w:t>
            </w:r>
          </w:p>
        </w:tc>
        <w:tc>
          <w:tcPr>
            <w:tcW w:w="3725"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58DCB" w14:textId="77777777" w:rsidR="00862C6C" w:rsidRDefault="005B0A80">
            <w:pPr>
              <w:numPr>
                <w:ilvl w:val="0"/>
                <w:numId w:val="5"/>
              </w:numPr>
            </w:pPr>
            <w:r>
              <w:t>EU Automotive Package (2026): Stricter CO2 emission performance standards and corporate fleet "greening" targets.</w:t>
            </w:r>
          </w:p>
          <w:p w14:paraId="5D6D767E" w14:textId="77777777" w:rsidR="00862C6C" w:rsidRDefault="005B0A80">
            <w:pPr>
              <w:numPr>
                <w:ilvl w:val="0"/>
                <w:numId w:val="5"/>
              </w:numPr>
            </w:pPr>
            <w:r>
              <w:t xml:space="preserve">Circular Economy Mandates: New regulations </w:t>
            </w:r>
            <w:r>
              <w:t>regarding battery recycling, sustainable raw material sourcing, and "green steel" usage.</w:t>
            </w:r>
          </w:p>
        </w:tc>
        <w:tc>
          <w:tcPr>
            <w:tcW w:w="368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67A021" w14:textId="77777777" w:rsidR="00862C6C" w:rsidRDefault="005B0A80">
            <w:r>
              <w:t>Opportunity: Forces corporate fleets (60% of the market) to adopt zero-emission vehicles, driving massive demand for Tesla’s fleet solutions.</w:t>
            </w:r>
          </w:p>
          <w:p w14:paraId="61770274" w14:textId="77777777" w:rsidR="00862C6C" w:rsidRDefault="005B0A80">
            <w:r>
              <w:t>Threat: Requires signific</w:t>
            </w:r>
            <w:r>
              <w:t>ant investment in supply chain mapping and the adaptation of manufacturing processes to meet ESG reporting goals.</w:t>
            </w:r>
          </w:p>
        </w:tc>
      </w:tr>
      <w:tr w:rsidR="00862C6C" w14:paraId="745EE603" w14:textId="77777777">
        <w:trPr>
          <w:trHeight w:val="1625"/>
        </w:trPr>
        <w:tc>
          <w:tcPr>
            <w:tcW w:w="191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8C254E" w14:textId="77777777" w:rsidR="00862C6C" w:rsidRDefault="00862C6C">
            <w:pPr>
              <w:spacing w:line="240" w:lineRule="auto"/>
            </w:pPr>
          </w:p>
        </w:tc>
        <w:tc>
          <w:tcPr>
            <w:tcW w:w="372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8013FA" w14:textId="77777777" w:rsidR="00862C6C" w:rsidRDefault="00862C6C">
            <w:pPr>
              <w:spacing w:line="240" w:lineRule="auto"/>
            </w:pPr>
          </w:p>
        </w:tc>
        <w:tc>
          <w:tcPr>
            <w:tcW w:w="368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B3437" w14:textId="77777777" w:rsidR="00862C6C" w:rsidRDefault="00862C6C">
            <w:pPr>
              <w:spacing w:line="240" w:lineRule="auto"/>
            </w:pPr>
          </w:p>
        </w:tc>
      </w:tr>
    </w:tbl>
    <w:p w14:paraId="77AAFE97" w14:textId="77777777" w:rsidR="00862C6C" w:rsidRDefault="005B0A80">
      <w:pPr>
        <w:jc w:val="center"/>
        <w:rPr>
          <w:b/>
          <w:bCs/>
          <w:i/>
          <w:iCs/>
        </w:rPr>
      </w:pPr>
      <w:r>
        <w:rPr>
          <w:b/>
          <w:bCs/>
          <w:i/>
          <w:iCs/>
        </w:rPr>
        <w:t>Table 1: PESTLE Analysis Table for Tesla Inc. in Germany (2025–2026)</w:t>
      </w:r>
    </w:p>
    <w:p w14:paraId="75F5F0A5" w14:textId="77777777" w:rsidR="00862C6C" w:rsidRDefault="005B0A80">
      <w:r>
        <w:t xml:space="preserve">This analysis will appraise the macro-environment forces affecting </w:t>
      </w:r>
      <w:r>
        <w:t>Tesla operations in Germany in terms of strategic operations. This discussion will look at the political, economic, social, technological, legal, and environmental environments to find out how appealing the market is in general with regards to the challeng</w:t>
      </w:r>
      <w:r>
        <w:t>es that might arise in the market.</w:t>
      </w:r>
    </w:p>
    <w:p w14:paraId="771DEBA4" w14:textId="77777777" w:rsidR="00862C6C" w:rsidRDefault="005B0A80">
      <w:pPr>
        <w:rPr>
          <w:b/>
          <w:bCs/>
          <w:i/>
          <w:iCs/>
        </w:rPr>
      </w:pPr>
      <w:r>
        <w:rPr>
          <w:b/>
          <w:bCs/>
          <w:i/>
          <w:iCs/>
        </w:rPr>
        <w:t>Political and Economic Environment</w:t>
      </w:r>
    </w:p>
    <w:p w14:paraId="51E5DC9A" w14:textId="77777777" w:rsidR="00862C6C" w:rsidRDefault="005B0A80">
      <w:r>
        <w:t xml:space="preserve">The political situation in Germany is now characterized by the strict adherence to the idea of </w:t>
      </w:r>
      <w:proofErr w:type="spellStart"/>
      <w:r>
        <w:t>decarbonisation</w:t>
      </w:r>
      <w:proofErr w:type="spellEnd"/>
      <w:r>
        <w:t xml:space="preserve"> of the transport market. The federal policies are </w:t>
      </w:r>
      <w:proofErr w:type="spellStart"/>
      <w:r>
        <w:t>inline</w:t>
      </w:r>
      <w:proofErr w:type="spellEnd"/>
      <w:r>
        <w:t xml:space="preserve"> with the European </w:t>
      </w:r>
      <w:r>
        <w:t>Union requirements that seek full adoption of zero-emission vehicles by the mid-decade to come (Wojtaszek, 2025). Such requirements offer a level regulatory playing field to Tesla since the government remains to give fiscal support and subsidies to promote</w:t>
      </w:r>
      <w:r>
        <w:t xml:space="preserve"> the use of battery electric cars. This political backing is crucial to continue the sales momentum of the Model 3 and Model Y in a competitive market in Europe. Nevertheless, politics does not run smoothly. The long procedures of bureaucracy and influence</w:t>
      </w:r>
      <w:r>
        <w:t xml:space="preserve"> of the local administrative authorities can be a major setback on the process of expansion of industry. Although the central government spurred fast industrial development, Tesla will have to deal with a complicated network of local policies and </w:t>
      </w:r>
      <w:r>
        <w:lastRenderedPageBreak/>
        <w:t xml:space="preserve">approval </w:t>
      </w:r>
      <w:r>
        <w:t>of plans that can slow down the rate of production expansion at Giga Berlin plant.</w:t>
      </w:r>
    </w:p>
    <w:p w14:paraId="7A4CDAAE" w14:textId="77777777" w:rsidR="00862C6C" w:rsidRDefault="005B0A80">
      <w:r>
        <w:t>The 2026 economic climate will provide a more apprehensive future of the automotive industry. Germany has been facing stagnation in its economic growth, and its consumers ha</w:t>
      </w:r>
      <w:r>
        <w:t>ve been affected by the low level of consumer confidence caused by the high interest rates and continuous inflation (</w:t>
      </w:r>
      <w:proofErr w:type="spellStart"/>
      <w:r>
        <w:t>Urrehman</w:t>
      </w:r>
      <w:proofErr w:type="spellEnd"/>
      <w:r>
        <w:t xml:space="preserve"> </w:t>
      </w:r>
      <w:proofErr w:type="spellStart"/>
      <w:r>
        <w:t>Akhtar</w:t>
      </w:r>
      <w:proofErr w:type="spellEnd"/>
      <w:r>
        <w:t>, 2022). These aspects lower the buying capacity of middle classes and many families put the purchase of high-end electric v</w:t>
      </w:r>
      <w:r>
        <w:t>ehicles as a second-tier task. Also, the manufacturing cost in Germany is not very low as it is correlated to high energy costs and significant labor expenses. Even though Tesla applies high-level automation to reduce these costs, the macroeconomic competi</w:t>
      </w:r>
      <w:r>
        <w:t>tiveness of the country is put into question due to these overheads. The domestic manufacturers and new entrants with the Asian market are also increasing in the market, competing with each other over a limited group of buyers (Porter, 2023). Such stiff co</w:t>
      </w:r>
      <w:r>
        <w:t>mpetition in the economy puts downward pressure on the prices and Tesla has to strike a balance between its premium branding and the necessity of volume expansion to keep the factory running at efficiency.</w:t>
      </w:r>
    </w:p>
    <w:p w14:paraId="716E4423" w14:textId="77777777" w:rsidR="00862C6C" w:rsidRDefault="005B0A80">
      <w:pPr>
        <w:rPr>
          <w:b/>
          <w:bCs/>
          <w:i/>
          <w:iCs/>
        </w:rPr>
      </w:pPr>
      <w:r>
        <w:rPr>
          <w:b/>
          <w:bCs/>
          <w:i/>
          <w:iCs/>
        </w:rPr>
        <w:t>Social and Cultural Integration</w:t>
      </w:r>
    </w:p>
    <w:p w14:paraId="2E38E788" w14:textId="77777777" w:rsidR="00862C6C" w:rsidRDefault="005B0A80">
      <w:r>
        <w:t>The social factors</w:t>
      </w:r>
      <w:r>
        <w:t xml:space="preserve"> have a dual impact on determining the success of Tesla in the German market. The culture of Tesla and environmental ethics of a significant part of the German population is close to the mission of this company. Consumer behavior is largely motivated by th</w:t>
      </w:r>
      <w:r>
        <w:t>e idea of sustainability, and the brand has a profitable quality as one that pioneered in clean technology (</w:t>
      </w:r>
      <w:proofErr w:type="spellStart"/>
      <w:r>
        <w:t>Theocharis</w:t>
      </w:r>
      <w:proofErr w:type="spellEnd"/>
      <w:r>
        <w:t xml:space="preserve"> and </w:t>
      </w:r>
      <w:proofErr w:type="spellStart"/>
      <w:r>
        <w:t>Tsekouropoulos</w:t>
      </w:r>
      <w:proofErr w:type="spellEnd"/>
      <w:r>
        <w:t>, 2025). This good social image is enabling the company to get high motivation talent and develop a brand customer base</w:t>
      </w:r>
      <w:r>
        <w:t>. However, there are great cultural challenges that the company experiences in relation to its handling of labor relations. German model of industrialization is constructed on the basis of co-determination, in which workers and the management would work to</w:t>
      </w:r>
      <w:r>
        <w:t>gether in the form of formal works councils and trade unions (</w:t>
      </w:r>
      <w:proofErr w:type="spellStart"/>
      <w:r>
        <w:t>Hertwig</w:t>
      </w:r>
      <w:proofErr w:type="spellEnd"/>
      <w:r>
        <w:t xml:space="preserve"> and </w:t>
      </w:r>
      <w:proofErr w:type="spellStart"/>
      <w:r>
        <w:t>Thünken</w:t>
      </w:r>
      <w:proofErr w:type="spellEnd"/>
      <w:r>
        <w:t>, 2026). Tesla is more inclined to flexible and top-down management style that has caused numerous conflicts with systematic labor unions like IG Metall.</w:t>
      </w:r>
    </w:p>
    <w:p w14:paraId="581706C6" w14:textId="77777777" w:rsidR="00862C6C" w:rsidRDefault="005B0A80">
      <w:r>
        <w:lastRenderedPageBreak/>
        <w:t>These social tensions</w:t>
      </w:r>
      <w:r>
        <w:t xml:space="preserve"> do not just represent internal management problems; it affects the opinion of the population and the brand image. The presence of high-profile payroll and working conditions controversies may turn socially conscious consumers off, since fair labor practic</w:t>
      </w:r>
      <w:r>
        <w:t>es are of importance to them as much as environmental sustainability. The company will have to strike a balance between local employment and agility traditions and its innovative requirements to attain long-term cultural integration. Moreover, strong attac</w:t>
      </w:r>
      <w:r>
        <w:t>hment of German consumers to the local heritage brands is an obstacle that is difficult to overcome (Meyner and Garcia Junior, 2025). Such brands as Mercedes-Benz and BMW have a huge social status and are associated with high-quality builds. To conquer thi</w:t>
      </w:r>
      <w:r>
        <w:t>s bias of country of origin Tesla must prove its ability to maintain high standards of service and manufacturing to show that they can compete with the traditional masters of automotive engineering.</w:t>
      </w:r>
    </w:p>
    <w:p w14:paraId="066BC6E1" w14:textId="77777777" w:rsidR="00862C6C" w:rsidRDefault="005B0A80">
      <w:pPr>
        <w:rPr>
          <w:b/>
          <w:bCs/>
          <w:i/>
          <w:iCs/>
        </w:rPr>
      </w:pPr>
      <w:r>
        <w:rPr>
          <w:b/>
          <w:bCs/>
          <w:i/>
          <w:iCs/>
        </w:rPr>
        <w:t>Technological Advancement and Innovation</w:t>
      </w:r>
    </w:p>
    <w:p w14:paraId="6FB95D42" w14:textId="77777777" w:rsidR="00862C6C" w:rsidRDefault="005B0A80">
      <w:r>
        <w:t>The technologica</w:t>
      </w:r>
      <w:r>
        <w:t>l aspects are the strongest competitive strength of Tesla in Germany. Germany is an international center of the automotive research and development, which gives Tesla a complex system of suppliers and engineering skills (Felser and Wynn, 2023). The trend i</w:t>
      </w:r>
      <w:r>
        <w:t>n favor of software-defined vehicles is right into the strengths of the company on artificial intelligence and over-the-air updates. Having a manufacturing facility in Brandenburg, the company will be able to cooperate with local research centers to perfec</w:t>
      </w:r>
      <w:r>
        <w:t xml:space="preserve">t battery chemistry and autonomous driving algorithms. Such technological ecosystem is </w:t>
      </w:r>
      <w:proofErr w:type="gramStart"/>
      <w:r>
        <w:t>a culture of constant improvement that the vehicles made meet</w:t>
      </w:r>
      <w:proofErr w:type="gramEnd"/>
      <w:r>
        <w:t xml:space="preserve"> the high performance needs of the European market. The technological appeal of the country is further boost</w:t>
      </w:r>
      <w:r>
        <w:t>ed by the national determination to increase the number of the public charging infrastructure since it will decrease the feasibility obstacles to owning an electric vehicle among more people.</w:t>
      </w:r>
    </w:p>
    <w:p w14:paraId="353B9DAB" w14:textId="77777777" w:rsidR="00862C6C" w:rsidRDefault="005B0A80">
      <w:r>
        <w:t>Along with such merits, the technological change is going fast a</w:t>
      </w:r>
      <w:r>
        <w:t>nd demands continuous investment to remain ahead of local competitors. The German producers are putting in billions of euros in investing in their own digital platforms and producing battery facilities (Schade, 2022) The difference between software capabil</w:t>
      </w:r>
      <w:r>
        <w:t xml:space="preserve">ities is narrowing and Tesla has to innovate to keep its edge. The issue of cybersecurity has also become a serious technological and regulatory issue. The new requirements of the vehicle data protection </w:t>
      </w:r>
      <w:r>
        <w:lastRenderedPageBreak/>
        <w:t>and software security must be strictly tested and ve</w:t>
      </w:r>
      <w:r>
        <w:t>rified. The more vehicles are integrated, the higher the chances of an online vulnerability, and the need to have a strong technological framework that ensures that the users and the cars are not exposed to attacks. These complicated the digital needs that</w:t>
      </w:r>
      <w:r>
        <w:t xml:space="preserve"> will be part of the success of the company in the future as the ability to cope with these needs and scale production.</w:t>
      </w:r>
    </w:p>
    <w:p w14:paraId="4B1C8A27" w14:textId="77777777" w:rsidR="00862C6C" w:rsidRDefault="005B0A80">
      <w:pPr>
        <w:rPr>
          <w:b/>
          <w:bCs/>
          <w:i/>
          <w:iCs/>
        </w:rPr>
      </w:pPr>
      <w:r>
        <w:rPr>
          <w:b/>
          <w:bCs/>
          <w:i/>
          <w:iCs/>
        </w:rPr>
        <w:t>Legal and Environmental Frameworks</w:t>
      </w:r>
    </w:p>
    <w:p w14:paraId="20ECDCA0" w14:textId="77777777" w:rsidR="00862C6C" w:rsidRDefault="005B0A80">
      <w:r>
        <w:t>The German business climate is very regulated and offers a predictable business environment, albeit t</w:t>
      </w:r>
      <w:r>
        <w:t>ight. Tesla is obliged to adhere to the General Data Protection Regulation of the European Union that sets strong restrictions on the way of vehicle data retrieval and processing (</w:t>
      </w:r>
      <w:proofErr w:type="spellStart"/>
      <w:r>
        <w:t>Crepax</w:t>
      </w:r>
      <w:proofErr w:type="spellEnd"/>
      <w:r>
        <w:t>, 2023). This is especially in the context of the development of an au</w:t>
      </w:r>
      <w:r>
        <w:t>tonomous driving feature, since the legal system values personal privacy and safety. What is more, the new product liability practices imply that there is a heightened responsibility on the manufacturers in relation to the software failures and online fail</w:t>
      </w:r>
      <w:r>
        <w:t xml:space="preserve">ures. These legal requirements make the compliance expensive and demand the high level of transparency in technical activities. Although the legal framework offers protection of intellectual property and creates a stable environment to invest in, it is so </w:t>
      </w:r>
      <w:r>
        <w:t xml:space="preserve">complicated that it needs a local legal presence to </w:t>
      </w:r>
      <w:proofErr w:type="spellStart"/>
      <w:r>
        <w:t>manoeuvre</w:t>
      </w:r>
      <w:proofErr w:type="spellEnd"/>
      <w:r>
        <w:t xml:space="preserve"> through in case litigation or change in regulations.</w:t>
      </w:r>
    </w:p>
    <w:p w14:paraId="39D8B387" w14:textId="77777777" w:rsidR="00862C6C" w:rsidRDefault="005B0A80">
      <w:r>
        <w:t xml:space="preserve">Environmental laws are both an incentive and limitation to the automotive industry. The Fit for 55 package of the European Union implies the </w:t>
      </w:r>
      <w:r>
        <w:t>significant decrease in the levels of fleet emissions which in fact compels the market to be electrified. This regulatory pressure is a huge opportunity of Tesla to gain market share as profit and non-profit purchasers become less dependent on internal com</w:t>
      </w:r>
      <w:r>
        <w:t>bustion engines. Nevertheless, the environment requirements of the manufacturing are also strict. Giga Berlin will be required to stick to a high water consumption rate and waste disposal policies that have been the source of disagreement with the local en</w:t>
      </w:r>
      <w:r>
        <w:t>vironmental activists (Mercante Thierauf, 2025). New approaches to battery recycling and responsible sourcing of raw materials are also needed to facilitate the transformation towards a circular economy. It is necessary to meet these environmental expectat</w:t>
      </w:r>
      <w:r>
        <w:t xml:space="preserve">ions to be able to preserve a positive </w:t>
      </w:r>
      <w:r>
        <w:lastRenderedPageBreak/>
        <w:t>brand image and guarantee the long-term sustainability of the production facility in a very regulated European environment.</w:t>
      </w:r>
    </w:p>
    <w:p w14:paraId="496C0DDF" w14:textId="77777777" w:rsidR="00862C6C" w:rsidRDefault="005B0A80">
      <w:r>
        <w:t>Thus, the PESTEL analysis has shown that although Germany is a supportive location in terms o</w:t>
      </w:r>
      <w:r>
        <w:t>f political and technological environment, it poses serious economic, cultural and legal issues. This market needs a very complex approach that must provide international innovation and respect the local industrial and social standards. How Tesla can respo</w:t>
      </w:r>
      <w:r>
        <w:t xml:space="preserve">nd </w:t>
      </w:r>
      <w:proofErr w:type="gramStart"/>
      <w:r>
        <w:t>to such a diverse macro-environment factors</w:t>
      </w:r>
      <w:proofErr w:type="gramEnd"/>
      <w:r>
        <w:t xml:space="preserve"> will define its final position in the most challenging automotive industry in the world.</w:t>
      </w:r>
    </w:p>
    <w:p w14:paraId="515CF6F5" w14:textId="77777777" w:rsidR="00862C6C" w:rsidRDefault="005B0A80">
      <w:pPr>
        <w:pStyle w:val="Heading2"/>
      </w:pPr>
      <w:bookmarkStart w:id="11" w:name="_3vucohtw89nd" w:colFirst="0" w:colLast="0"/>
      <w:bookmarkStart w:id="12" w:name="_Toc224541751"/>
      <w:bookmarkEnd w:id="11"/>
      <w:r>
        <w:t>Conclusion to the report</w:t>
      </w:r>
      <w:bookmarkEnd w:id="12"/>
      <w:r>
        <w:t xml:space="preserve"> </w:t>
      </w:r>
    </w:p>
    <w:p w14:paraId="767AF1C3" w14:textId="77777777" w:rsidR="00862C6C" w:rsidRDefault="005B0A80">
      <w:r>
        <w:t xml:space="preserve">German automotive industry continues to be a powerhouse in the world as it has got integrated </w:t>
      </w:r>
      <w:r>
        <w:t xml:space="preserve">supply chains and highly skilled </w:t>
      </w:r>
      <w:proofErr w:type="spellStart"/>
      <w:r>
        <w:t>labour</w:t>
      </w:r>
      <w:proofErr w:type="spellEnd"/>
      <w:r>
        <w:t xml:space="preserve"> force. As this report has shown, the success of this industry is deep-seated in the structural strengths as defined by the Diamond Model by Porter which includes the availability of high level factor conditions and f</w:t>
      </w:r>
      <w:r>
        <w:t>ierceness within the industry. These factors have established a strong background on which the German manufacturers can still hold a leading position in the luxury international market. But as the case of Tesla Inc. analysis indicates, foreign multinationa</w:t>
      </w:r>
      <w:r>
        <w:t>ls are actively competing with this conventional dominant status by fast digital innovation and software integration.</w:t>
      </w:r>
    </w:p>
    <w:p w14:paraId="6599C118" w14:textId="77777777" w:rsidR="00862C6C" w:rsidRDefault="005B0A80">
      <w:r>
        <w:t>According to the PESTLE analysis, the political and technological environment will support the electrification, but still, there are serio</w:t>
      </w:r>
      <w:r>
        <w:t xml:space="preserve">us challenges. The domestic and foreign firms are still at risk of economic stagnation, increased energy prices, and a complicated legal system concerning </w:t>
      </w:r>
      <w:proofErr w:type="spellStart"/>
      <w:r>
        <w:t>labour</w:t>
      </w:r>
      <w:proofErr w:type="spellEnd"/>
      <w:r>
        <w:t xml:space="preserve"> relations. Moreover, the shift to a circular economy and a more rigorous environmental agenda </w:t>
      </w:r>
      <w:r>
        <w:t>requires a total change of approach to manufacturing. As part of standard operating procedures to stay competitive, the already existing German brands would have to hasten their digitalization process and workaround the cultural subtleties of a decentraliz</w:t>
      </w:r>
      <w:r>
        <w:t>ed industrial workforce.</w:t>
      </w:r>
    </w:p>
    <w:p w14:paraId="5691AE47" w14:textId="77777777" w:rsidR="00862C6C" w:rsidRDefault="005B0A80">
      <w:r>
        <w:t>To conclude, the market of German automotive stands at a very critical point at the moment. The conflict of the national competitive advantages with the disruptive power of companies such as Tesla characterizes the new era of the i</w:t>
      </w:r>
      <w:r>
        <w:t xml:space="preserve">nternational business. The key in success in the next decade will lie in the capacity of </w:t>
      </w:r>
      <w:proofErr w:type="spellStart"/>
      <w:r>
        <w:t>organisations</w:t>
      </w:r>
      <w:proofErr w:type="spellEnd"/>
      <w:r>
        <w:t xml:space="preserve"> to find a </w:t>
      </w:r>
      <w:r>
        <w:lastRenderedPageBreak/>
        <w:t>balance between engineering heritage and technological dynamism. With the world trend towards sustainable mobility, the ability to adapt and be</w:t>
      </w:r>
      <w:r>
        <w:t xml:space="preserve"> resilient in its strategies will dictate the future of the automotive industry in the future.</w:t>
      </w:r>
    </w:p>
    <w:p w14:paraId="2DD7BD99" w14:textId="77777777" w:rsidR="00862C6C" w:rsidRDefault="005B0A80">
      <w:r>
        <w:br w:type="page"/>
      </w:r>
    </w:p>
    <w:p w14:paraId="48916E53" w14:textId="77777777" w:rsidR="00862C6C" w:rsidRDefault="005B0A80">
      <w:pPr>
        <w:pStyle w:val="Heading1"/>
      </w:pPr>
      <w:bookmarkStart w:id="13" w:name="_wpe4x2owt10x" w:colFirst="0" w:colLast="0"/>
      <w:bookmarkStart w:id="14" w:name="_Toc224541752"/>
      <w:bookmarkEnd w:id="13"/>
      <w:r>
        <w:lastRenderedPageBreak/>
        <w:t>Section 2: Reflective Account</w:t>
      </w:r>
      <w:bookmarkEnd w:id="14"/>
    </w:p>
    <w:p w14:paraId="0E423488" w14:textId="77777777" w:rsidR="00862C6C" w:rsidRDefault="005B0A80">
      <w:r>
        <w:t>The following reflective report applies the Learning Cycle created by Kolb in the analysis of the research and preparation of the</w:t>
      </w:r>
      <w:r>
        <w:t xml:space="preserve"> international business report. This model helps in a transition between experience and action in the future via four phases.</w:t>
      </w:r>
    </w:p>
    <w:p w14:paraId="1CE5F8BC" w14:textId="77777777" w:rsidR="00862C6C" w:rsidRDefault="005B0A80">
      <w:pPr>
        <w:rPr>
          <w:b/>
          <w:bCs/>
          <w:i/>
          <w:iCs/>
        </w:rPr>
      </w:pPr>
      <w:r>
        <w:rPr>
          <w:b/>
          <w:bCs/>
          <w:i/>
          <w:iCs/>
        </w:rPr>
        <w:t>Concrete Experience</w:t>
      </w:r>
    </w:p>
    <w:p w14:paraId="3D840808" w14:textId="77777777" w:rsidR="00862C6C" w:rsidRDefault="005B0A80">
      <w:r>
        <w:t>It started by the previously chosen German automotive industry and studying Tesla Inc. as a foreign entry. Thi</w:t>
      </w:r>
      <w:r>
        <w:t>s was done by sifting through huge volumes of industrial data, financial reports, to construct a story of their own. The first level was rather difficult because of the necessity to use such complex theoretical frameworks and the requirement of 5,000 words</w:t>
      </w:r>
      <w:r>
        <w:t>. Composing the industry description involved a compromise between the past and the present economic changes, especially the shift to electrification. It was not just a piece of writing but a project management job that needed to be done according to Briti</w:t>
      </w:r>
      <w:r>
        <w:t xml:space="preserve">sh standards of English. The process of bringing different sections, including the PESTLE analysis or competitive positioning of the firms, was the main practical interaction with the module material (Blümel </w:t>
      </w:r>
      <w:r>
        <w:rPr>
          <w:i/>
          <w:iCs/>
        </w:rPr>
        <w:t xml:space="preserve">et al., </w:t>
      </w:r>
      <w:r>
        <w:t>2023). Having certain registration infor</w:t>
      </w:r>
      <w:r>
        <w:t>mation to 2024 and 2025 made the report stay realistic in the present market. The hallmark of this stage was extensive information retrieval and integration of different materials into logical framework.</w:t>
      </w:r>
    </w:p>
    <w:p w14:paraId="0D34FC8B" w14:textId="77777777" w:rsidR="00862C6C" w:rsidRDefault="005B0A80">
      <w:pPr>
        <w:rPr>
          <w:b/>
          <w:bCs/>
          <w:i/>
          <w:iCs/>
        </w:rPr>
      </w:pPr>
      <w:r>
        <w:rPr>
          <w:b/>
          <w:bCs/>
          <w:i/>
          <w:iCs/>
        </w:rPr>
        <w:t>Reflective Observation</w:t>
      </w:r>
    </w:p>
    <w:p w14:paraId="44C9079C" w14:textId="77777777" w:rsidR="00862C6C" w:rsidRDefault="005B0A80">
      <w:r>
        <w:t>When considering the research</w:t>
      </w:r>
      <w:r>
        <w:t xml:space="preserve"> stage, one of the major observations was the difference between the ideals and the reality of the industry. Although the Diamond Model of competitiveness offered by Porter offers a systematic perspective on competitiveness, the experience of Tesla in Germ</w:t>
      </w:r>
      <w:r>
        <w:t>any, with cultural opposition, made it clear that there is a human aspect to it (Mercante Thierauf, 2025). Through the process of data collection, it was noted that although German engineering is revered across the globe, internal friction on issues of lab</w:t>
      </w:r>
      <w:r>
        <w:t>or relations is a big stumbling block. It was challenging to preserve the 15 to 20 word sentence construction in trying to narrate complex legal terms and ideas. This necessitated a stern attitude of being straight forward and avoiding unnecessary jargons.</w:t>
      </w:r>
      <w:r>
        <w:t xml:space="preserve"> The observation stage also showed that the initial presumptions concerning the Tesla superiority were refuted due to the strength of the domestic brands. A closer examination of the strategic change of Mercedes-Benz and </w:t>
      </w:r>
      <w:r>
        <w:lastRenderedPageBreak/>
        <w:t>BMW to the luxury segment was a fur</w:t>
      </w:r>
      <w:r>
        <w:t>ther insight into the market segmentation. These considerations contributed to the fact that the peculiarities of working in an environment with a developed and highly controlled economy were discovered.</w:t>
      </w:r>
    </w:p>
    <w:p w14:paraId="6F35BE77" w14:textId="77777777" w:rsidR="00862C6C" w:rsidRDefault="005B0A80">
      <w:pPr>
        <w:rPr>
          <w:b/>
          <w:bCs/>
          <w:i/>
          <w:iCs/>
        </w:rPr>
      </w:pPr>
      <w:r>
        <w:rPr>
          <w:b/>
          <w:bCs/>
          <w:i/>
          <w:iCs/>
        </w:rPr>
        <w:t xml:space="preserve">Abstract </w:t>
      </w:r>
      <w:proofErr w:type="spellStart"/>
      <w:r>
        <w:rPr>
          <w:b/>
          <w:bCs/>
          <w:i/>
          <w:iCs/>
        </w:rPr>
        <w:t>Conceptualisation</w:t>
      </w:r>
      <w:proofErr w:type="spellEnd"/>
    </w:p>
    <w:p w14:paraId="7BD8D06A" w14:textId="77777777" w:rsidR="00862C6C" w:rsidRDefault="005B0A80">
      <w:r>
        <w:t>This phase entailed the interpretation of the experience by connecting it to international business theories in general. The study activity supported the idea of National Advantage, according to which the success of global companies depends on the internal</w:t>
      </w:r>
      <w:r>
        <w:t xml:space="preserve"> environment of countries. Using the PESTLE framework, the relation between the corporate strategy and government policy was revealed. As an example, the environmental requirements of the EU are not merely regulative obstacles but, are strategic initiators</w:t>
      </w:r>
      <w:r>
        <w:t xml:space="preserve"> which redefine the appeal of the market (Paul, 2024). The importance of </w:t>
      </w:r>
      <w:proofErr w:type="spellStart"/>
      <w:r>
        <w:t>conceptualising</w:t>
      </w:r>
      <w:proofErr w:type="spellEnd"/>
      <w:r>
        <w:t xml:space="preserve"> the liability of foreignness was used to explain why Tesla found it difficult to cope with the local </w:t>
      </w:r>
      <w:proofErr w:type="spellStart"/>
      <w:r>
        <w:t>labour</w:t>
      </w:r>
      <w:proofErr w:type="spellEnd"/>
      <w:r>
        <w:t xml:space="preserve"> laws and cultural integration despite its technological adv</w:t>
      </w:r>
      <w:r>
        <w:t>antage. These academic frameworks provided an opportunity to get a deeper insight into the reasons why a firm may perform well in a territory and a problem in another. The experience highlighted the fact that international business is a multidimensional su</w:t>
      </w:r>
      <w:r>
        <w:t>bject in which there is always a symbiosis between political and social aspects. This theoretical basis gave the analytical depth that was required to go beyond a mere description report to a critical appraisal.</w:t>
      </w:r>
    </w:p>
    <w:p w14:paraId="47C07602" w14:textId="77777777" w:rsidR="00862C6C" w:rsidRDefault="005B0A80">
      <w:pPr>
        <w:rPr>
          <w:b/>
          <w:bCs/>
          <w:i/>
          <w:iCs/>
        </w:rPr>
      </w:pPr>
      <w:r>
        <w:rPr>
          <w:b/>
          <w:bCs/>
          <w:i/>
          <w:iCs/>
        </w:rPr>
        <w:t>Active Experimentation</w:t>
      </w:r>
    </w:p>
    <w:p w14:paraId="3D7BFC2D" w14:textId="77777777" w:rsidR="00862C6C" w:rsidRDefault="005B0A80">
      <w:r>
        <w:t>The last phase in the cycle is putting these lessons into the future academic and career activities. After doing this report, a more refined research method will be implemented in other modules. The point that one can infer is that a solid macro-environmen</w:t>
      </w:r>
      <w:r>
        <w:t>tal analysis is essential before delving into the data of the specific firm. The surrounding environment determines the limits of corporate success and gives the background that is required to delve further. Moreover, discipline that ensures that certain l</w:t>
      </w:r>
      <w:r>
        <w:t>inguistic restrictions are achieved has enhanced the capacity to explain complicated ideas using simple terms. In future projects, greater time will be dedicated to researching cultural and legal peculiarities of a market. The reflective process has offere</w:t>
      </w:r>
      <w:r>
        <w:t xml:space="preserve">d a model of critical thinking that allocates equivalent amounts of high-level theory and complexities at the practical level (Ay and </w:t>
      </w:r>
      <w:proofErr w:type="spellStart"/>
      <w:r>
        <w:t>Dağhan</w:t>
      </w:r>
      <w:proofErr w:type="spellEnd"/>
      <w:r>
        <w:t xml:space="preserve">, 2023). The knowledge acquired in working with massive </w:t>
      </w:r>
      <w:r>
        <w:lastRenderedPageBreak/>
        <w:t xml:space="preserve">amounts of data and implementing theoretical knowledge into </w:t>
      </w:r>
      <w:r>
        <w:t>the practical scenarios will prove invaluable to a working professional business setting.</w:t>
      </w:r>
    </w:p>
    <w:p w14:paraId="58860ED5" w14:textId="77777777" w:rsidR="00862C6C" w:rsidRDefault="005B0A80">
      <w:r>
        <w:t xml:space="preserve">Therefore, the International Business Concepts report has been a learning experience of transformation. Passing through the four steps of Kolb cycle made it possible </w:t>
      </w:r>
      <w:r>
        <w:t>to convert raw information into something that can be put into action. The combination of the theoretical frameworks with the existing market information has given a clear picture of the German automobile industry. The process has not only contributed to i</w:t>
      </w:r>
      <w:r>
        <w:t xml:space="preserve">mproved knowledge of the module contents but also taught critical research and writing skills. Self-reflection is an essential skill that a postgraduate student should know how to do. This has created a clear direction to develop the research in future by </w:t>
      </w:r>
      <w:r>
        <w:t>outlining areas of strengths and weaknesses in the research approach. This report can be viewed as one of the witnesses of the power of organized reflection on the path to academic excellence. The knowledge acquired will definitely impact further decision-</w:t>
      </w:r>
      <w:r>
        <w:t>making on complicated business issues and strategy.</w:t>
      </w:r>
      <w:r>
        <w:br w:type="page"/>
      </w:r>
    </w:p>
    <w:p w14:paraId="29F3DBF8" w14:textId="77777777" w:rsidR="00862C6C" w:rsidRDefault="005B0A80">
      <w:pPr>
        <w:pStyle w:val="Heading1"/>
      </w:pPr>
      <w:bookmarkStart w:id="15" w:name="_s9uk2ly5v" w:colFirst="0" w:colLast="0"/>
      <w:bookmarkStart w:id="16" w:name="_Toc224541753"/>
      <w:bookmarkEnd w:id="15"/>
      <w:r>
        <w:lastRenderedPageBreak/>
        <w:t>Reference</w:t>
      </w:r>
      <w:bookmarkEnd w:id="16"/>
    </w:p>
    <w:p w14:paraId="272BCE1F" w14:textId="77777777" w:rsidR="009A0416" w:rsidRDefault="009A0416">
      <w:r>
        <w:rPr>
          <w:highlight w:val="white"/>
        </w:rPr>
        <w:t xml:space="preserve">Aguirregabiria, V., Hao, Y. and Hao, Y., 2022. </w:t>
      </w:r>
      <w:r>
        <w:rPr>
          <w:i/>
          <w:iCs/>
          <w:highlight w:val="white"/>
        </w:rPr>
        <w:t>Losing Market Dominance in a Growing Industry: BYD Company and Electric Vehicles in China</w:t>
      </w:r>
      <w:r>
        <w:rPr>
          <w:highlight w:val="white"/>
        </w:rPr>
        <w:t xml:space="preserve"> [online]</w:t>
      </w:r>
    </w:p>
    <w:p w14:paraId="568F40F2" w14:textId="77777777" w:rsidR="009A0416" w:rsidRDefault="009A0416">
      <w:r>
        <w:rPr>
          <w:highlight w:val="white"/>
        </w:rPr>
        <w:t xml:space="preserve">Alhabib, R. and Yadav, P., 2025. Data </w:t>
      </w:r>
      <w:proofErr w:type="spellStart"/>
      <w:r>
        <w:rPr>
          <w:highlight w:val="white"/>
        </w:rPr>
        <w:t>authorisation</w:t>
      </w:r>
      <w:proofErr w:type="spellEnd"/>
      <w:r>
        <w:rPr>
          <w:highlight w:val="white"/>
        </w:rPr>
        <w:t xml:space="preserve"> and validation in autonomous vehicles: A critical review. </w:t>
      </w:r>
      <w:r>
        <w:rPr>
          <w:i/>
          <w:iCs/>
          <w:highlight w:val="white"/>
        </w:rPr>
        <w:t>Discover Applied Sciences</w:t>
      </w:r>
      <w:r>
        <w:rPr>
          <w:highlight w:val="white"/>
        </w:rPr>
        <w:t xml:space="preserve">, </w:t>
      </w:r>
      <w:r>
        <w:rPr>
          <w:i/>
          <w:iCs/>
          <w:highlight w:val="white"/>
        </w:rPr>
        <w:t>7</w:t>
      </w:r>
      <w:r>
        <w:rPr>
          <w:highlight w:val="white"/>
        </w:rPr>
        <w:t>(7), p.735.</w:t>
      </w:r>
    </w:p>
    <w:p w14:paraId="50BB5AE8" w14:textId="77777777" w:rsidR="009A0416" w:rsidRDefault="009A0416">
      <w:r>
        <w:rPr>
          <w:highlight w:val="white"/>
        </w:rPr>
        <w:t xml:space="preserve">Ay, K. and </w:t>
      </w:r>
      <w:proofErr w:type="spellStart"/>
      <w:r>
        <w:rPr>
          <w:highlight w:val="white"/>
        </w:rPr>
        <w:t>Dağhan</w:t>
      </w:r>
      <w:proofErr w:type="spellEnd"/>
      <w:r>
        <w:rPr>
          <w:highlight w:val="white"/>
        </w:rPr>
        <w:t xml:space="preserve">, G., 2023. The effect of the flipped learning approach designed with community of inquiry model to the development of students’ critical thinking strategies and social, teaching and cognitive presences. </w:t>
      </w:r>
      <w:r>
        <w:rPr>
          <w:i/>
          <w:iCs/>
          <w:highlight w:val="white"/>
        </w:rPr>
        <w:t>Education and Information Technologies</w:t>
      </w:r>
      <w:r>
        <w:rPr>
          <w:highlight w:val="white"/>
        </w:rPr>
        <w:t xml:space="preserve">, </w:t>
      </w:r>
      <w:r>
        <w:rPr>
          <w:i/>
          <w:iCs/>
          <w:highlight w:val="white"/>
        </w:rPr>
        <w:t>28</w:t>
      </w:r>
      <w:r>
        <w:rPr>
          <w:highlight w:val="white"/>
        </w:rPr>
        <w:t>(11), pp.15267-15299.</w:t>
      </w:r>
    </w:p>
    <w:p w14:paraId="3E9B4BB3" w14:textId="77777777" w:rsidR="009A0416" w:rsidRDefault="009A0416">
      <w:r>
        <w:rPr>
          <w:highlight w:val="white"/>
        </w:rPr>
        <w:t xml:space="preserve">Blümel, L., Siegfried, K., Riedel, F. and </w:t>
      </w:r>
      <w:proofErr w:type="spellStart"/>
      <w:r>
        <w:rPr>
          <w:highlight w:val="white"/>
        </w:rPr>
        <w:t>Thrän</w:t>
      </w:r>
      <w:proofErr w:type="spellEnd"/>
      <w:r>
        <w:rPr>
          <w:highlight w:val="white"/>
        </w:rPr>
        <w:t xml:space="preserve">, D., 2023. Are strategy developers well equipped when designing sustainable supply chains for a circular bio-economy? Supporting innovations’ market uptake in a PESTEL+ I environment. </w:t>
      </w:r>
      <w:r>
        <w:rPr>
          <w:i/>
          <w:iCs/>
          <w:highlight w:val="white"/>
        </w:rPr>
        <w:t>Energy, Sustainability and Society</w:t>
      </w:r>
      <w:r>
        <w:rPr>
          <w:highlight w:val="white"/>
        </w:rPr>
        <w:t xml:space="preserve">, </w:t>
      </w:r>
      <w:r>
        <w:rPr>
          <w:i/>
          <w:iCs/>
          <w:highlight w:val="white"/>
        </w:rPr>
        <w:t>13</w:t>
      </w:r>
      <w:r>
        <w:rPr>
          <w:highlight w:val="white"/>
        </w:rPr>
        <w:t xml:space="preserve">(1), p.40. </w:t>
      </w:r>
    </w:p>
    <w:p w14:paraId="66B3EE90" w14:textId="77777777" w:rsidR="009A0416" w:rsidRDefault="009A0416">
      <w:r>
        <w:rPr>
          <w:highlight w:val="white"/>
        </w:rPr>
        <w:t>Boewe, J. and Schulten, J., 2023. THE TRANSFORMATION OF THE GLOBAL AUTOMOTIVE INDUSTRY.</w:t>
      </w:r>
    </w:p>
    <w:p w14:paraId="1FD3F0AB" w14:textId="77777777" w:rsidR="009A0416" w:rsidRDefault="009A0416">
      <w:proofErr w:type="spellStart"/>
      <w:r>
        <w:rPr>
          <w:highlight w:val="white"/>
        </w:rPr>
        <w:t>Crepax</w:t>
      </w:r>
      <w:proofErr w:type="spellEnd"/>
      <w:r>
        <w:rPr>
          <w:highlight w:val="white"/>
        </w:rPr>
        <w:t xml:space="preserve">, T., Gaur, M. and da Rosa Lazarotto, B., 2023. Measuring data access and re-use in the European Legal Framework for Data, from the General Data Protection Regulation (GDPR) law to the Proposed Data Act: the case of vehicle data. </w:t>
      </w:r>
      <w:r>
        <w:rPr>
          <w:i/>
          <w:iCs/>
          <w:highlight w:val="white"/>
        </w:rPr>
        <w:t>Open Research Europe</w:t>
      </w:r>
      <w:r>
        <w:rPr>
          <w:highlight w:val="white"/>
        </w:rPr>
        <w:t xml:space="preserve">, </w:t>
      </w:r>
      <w:r>
        <w:rPr>
          <w:i/>
          <w:iCs/>
          <w:highlight w:val="white"/>
        </w:rPr>
        <w:t>3</w:t>
      </w:r>
      <w:r>
        <w:rPr>
          <w:highlight w:val="white"/>
        </w:rPr>
        <w:t>, p.192.</w:t>
      </w:r>
    </w:p>
    <w:p w14:paraId="20C4883F" w14:textId="77777777" w:rsidR="009A0416" w:rsidRDefault="009A0416">
      <w:r>
        <w:rPr>
          <w:highlight w:val="white"/>
        </w:rPr>
        <w:t xml:space="preserve">Dias, M.V., 2024. Unveiling organizational culture diversity in the </w:t>
      </w:r>
      <w:proofErr w:type="spellStart"/>
      <w:r>
        <w:rPr>
          <w:highlight w:val="white"/>
        </w:rPr>
        <w:t>german</w:t>
      </w:r>
      <w:proofErr w:type="spellEnd"/>
      <w:r>
        <w:rPr>
          <w:highlight w:val="white"/>
        </w:rPr>
        <w:t xml:space="preserve"> automotive industry: a cross-cultural study between Germany and Portugal.</w:t>
      </w:r>
    </w:p>
    <w:p w14:paraId="2EAB8E3D" w14:textId="77777777" w:rsidR="009A0416" w:rsidRDefault="009A0416">
      <w:proofErr w:type="spellStart"/>
      <w:r>
        <w:t>EVBoosters</w:t>
      </w:r>
      <w:proofErr w:type="spellEnd"/>
      <w:r>
        <w:t xml:space="preserve"> (2023) </w:t>
      </w:r>
      <w:r>
        <w:rPr>
          <w:i/>
          <w:iCs/>
        </w:rPr>
        <w:t>Disruptive impact of Tesla on the automotive industry</w:t>
      </w:r>
      <w:r>
        <w:t>. Available at:</w:t>
      </w:r>
      <w:hyperlink r:id="rId10">
        <w:r>
          <w:t xml:space="preserve"> </w:t>
        </w:r>
      </w:hyperlink>
      <w:hyperlink r:id="rId11">
        <w:r>
          <w:rPr>
            <w:u w:val="single"/>
          </w:rPr>
          <w:t>https://evboosters.com/ev-charging-news/disruptive-impact-of-tesla-on-the-automotive-industry/</w:t>
        </w:r>
      </w:hyperlink>
      <w:r>
        <w:t xml:space="preserve"> [Accessed: 14 March 2026].  </w:t>
      </w:r>
    </w:p>
    <w:p w14:paraId="067C7A3A" w14:textId="77777777" w:rsidR="009A0416" w:rsidRDefault="009A0416">
      <w:r>
        <w:t xml:space="preserve">Export Genius (2025) </w:t>
      </w:r>
      <w:r>
        <w:rPr>
          <w:i/>
          <w:iCs/>
        </w:rPr>
        <w:t>Germany car export trends: Major markets, demand changes &amp; EV surge</w:t>
      </w:r>
      <w:r>
        <w:t>. Available at:</w:t>
      </w:r>
      <w:hyperlink r:id="rId12">
        <w:r>
          <w:t xml:space="preserve"> </w:t>
        </w:r>
      </w:hyperlink>
      <w:hyperlink r:id="rId13">
        <w:r>
          <w:rPr>
            <w:u w:val="single"/>
          </w:rPr>
          <w:t>https://www.exportgenius.in/blog/germany-car-export-trends.php</w:t>
        </w:r>
      </w:hyperlink>
      <w:r>
        <w:t xml:space="preserve"> [Accessed: 14 March 2026]. </w:t>
      </w:r>
    </w:p>
    <w:p w14:paraId="7069C228" w14:textId="77777777" w:rsidR="009A0416" w:rsidRDefault="009A0416">
      <w:r>
        <w:rPr>
          <w:highlight w:val="white"/>
        </w:rPr>
        <w:t xml:space="preserve">Felser, K. and Wynn, M., 2023. Managing the knowledge deficit in the German automotive industry. </w:t>
      </w:r>
      <w:r>
        <w:rPr>
          <w:i/>
          <w:iCs/>
          <w:highlight w:val="white"/>
        </w:rPr>
        <w:t>Knowledge</w:t>
      </w:r>
      <w:r>
        <w:rPr>
          <w:highlight w:val="white"/>
        </w:rPr>
        <w:t xml:space="preserve">, </w:t>
      </w:r>
      <w:r>
        <w:rPr>
          <w:i/>
          <w:iCs/>
          <w:highlight w:val="white"/>
        </w:rPr>
        <w:t>3</w:t>
      </w:r>
      <w:r>
        <w:rPr>
          <w:highlight w:val="white"/>
        </w:rPr>
        <w:t xml:space="preserve">(2), pp.180-195. </w:t>
      </w:r>
    </w:p>
    <w:p w14:paraId="244A767D" w14:textId="77777777" w:rsidR="009A0416" w:rsidRDefault="009A0416">
      <w:r>
        <w:lastRenderedPageBreak/>
        <w:t xml:space="preserve">Germany Trade &amp; Invest (2026) </w:t>
      </w:r>
      <w:r>
        <w:rPr>
          <w:i/>
          <w:iCs/>
        </w:rPr>
        <w:t>Automotive industry</w:t>
      </w:r>
      <w:r>
        <w:t>. Available at:</w:t>
      </w:r>
      <w:hyperlink r:id="rId14">
        <w:r>
          <w:t xml:space="preserve"> </w:t>
        </w:r>
      </w:hyperlink>
      <w:hyperlink r:id="rId15">
        <w:r>
          <w:rPr>
            <w:u w:val="single"/>
          </w:rPr>
          <w:t>https://www.gtai.de/en/invest/industries/mobility/automotive-industry</w:t>
        </w:r>
      </w:hyperlink>
      <w:r>
        <w:t xml:space="preserve"> [Accessed: 14 March 2026].</w:t>
      </w:r>
    </w:p>
    <w:p w14:paraId="57B059EC" w14:textId="77777777" w:rsidR="009A0416" w:rsidRDefault="009A0416">
      <w:proofErr w:type="spellStart"/>
      <w:r>
        <w:rPr>
          <w:highlight w:val="white"/>
        </w:rPr>
        <w:t>Gnap</w:t>
      </w:r>
      <w:proofErr w:type="spellEnd"/>
      <w:r>
        <w:rPr>
          <w:highlight w:val="white"/>
        </w:rPr>
        <w:t xml:space="preserve">, J., </w:t>
      </w:r>
      <w:proofErr w:type="spellStart"/>
      <w:r>
        <w:rPr>
          <w:highlight w:val="white"/>
        </w:rPr>
        <w:t>Dočkalik</w:t>
      </w:r>
      <w:proofErr w:type="spellEnd"/>
      <w:r>
        <w:rPr>
          <w:highlight w:val="white"/>
        </w:rPr>
        <w:t xml:space="preserve">, M., </w:t>
      </w:r>
      <w:proofErr w:type="spellStart"/>
      <w:r>
        <w:rPr>
          <w:highlight w:val="white"/>
        </w:rPr>
        <w:t>Salamakhina</w:t>
      </w:r>
      <w:proofErr w:type="spellEnd"/>
      <w:r>
        <w:rPr>
          <w:highlight w:val="white"/>
        </w:rPr>
        <w:t xml:space="preserve">, E. and Senko, Š., 2024. The Issue of Bus Fleet Renewal in Terms of Increasing the Share of Clean Vehicles: A Case Study for Slovakia. </w:t>
      </w:r>
      <w:r>
        <w:rPr>
          <w:i/>
          <w:iCs/>
          <w:highlight w:val="white"/>
        </w:rPr>
        <w:t>Sustainability</w:t>
      </w:r>
      <w:r>
        <w:rPr>
          <w:highlight w:val="white"/>
        </w:rPr>
        <w:t xml:space="preserve">, </w:t>
      </w:r>
      <w:r>
        <w:rPr>
          <w:i/>
          <w:iCs/>
          <w:highlight w:val="white"/>
        </w:rPr>
        <w:t>16</w:t>
      </w:r>
      <w:r>
        <w:rPr>
          <w:highlight w:val="white"/>
        </w:rPr>
        <w:t>(11), p.4656.</w:t>
      </w:r>
    </w:p>
    <w:p w14:paraId="23769BA3" w14:textId="77777777" w:rsidR="009A0416" w:rsidRDefault="009A0416">
      <w:r>
        <w:rPr>
          <w:highlight w:val="white"/>
        </w:rPr>
        <w:t xml:space="preserve">Hertwig, M. and </w:t>
      </w:r>
      <w:proofErr w:type="spellStart"/>
      <w:r>
        <w:rPr>
          <w:highlight w:val="white"/>
        </w:rPr>
        <w:t>Thünken</w:t>
      </w:r>
      <w:proofErr w:type="spellEnd"/>
      <w:r>
        <w:rPr>
          <w:highlight w:val="white"/>
        </w:rPr>
        <w:t xml:space="preserve">, O., 2026. Struggles for co-determination: Anti-unionism, obstruction of works councils and employees’ counterstrategies in Germany. </w:t>
      </w:r>
      <w:r>
        <w:rPr>
          <w:i/>
          <w:iCs/>
          <w:highlight w:val="white"/>
        </w:rPr>
        <w:t>Economic and Industrial Democracy</w:t>
      </w:r>
      <w:r>
        <w:rPr>
          <w:highlight w:val="white"/>
        </w:rPr>
        <w:t xml:space="preserve">, </w:t>
      </w:r>
      <w:r>
        <w:rPr>
          <w:i/>
          <w:iCs/>
          <w:highlight w:val="white"/>
        </w:rPr>
        <w:t>47</w:t>
      </w:r>
      <w:r>
        <w:rPr>
          <w:highlight w:val="white"/>
        </w:rPr>
        <w:t>(1), pp.30-51.</w:t>
      </w:r>
    </w:p>
    <w:p w14:paraId="183D7B15" w14:textId="77777777" w:rsidR="009A0416" w:rsidRDefault="009A0416">
      <w:proofErr w:type="spellStart"/>
      <w:r>
        <w:rPr>
          <w:highlight w:val="white"/>
        </w:rPr>
        <w:t>Lehene</w:t>
      </w:r>
      <w:proofErr w:type="spellEnd"/>
      <w:r>
        <w:rPr>
          <w:highlight w:val="white"/>
        </w:rPr>
        <w:t xml:space="preserve">, C.F., </w:t>
      </w:r>
      <w:proofErr w:type="spellStart"/>
      <w:r>
        <w:rPr>
          <w:highlight w:val="white"/>
        </w:rPr>
        <w:t>Jaradat</w:t>
      </w:r>
      <w:proofErr w:type="spellEnd"/>
      <w:r>
        <w:rPr>
          <w:highlight w:val="white"/>
        </w:rPr>
        <w:t xml:space="preserve">, M. and Nistor, R.L., 2024. An interdisciplinary and multilevel analysis of local economy determinants and their impact on Firm Performance—Considering Porter’s Diamond model, clusters, and industry. </w:t>
      </w:r>
      <w:r>
        <w:rPr>
          <w:i/>
          <w:iCs/>
          <w:highlight w:val="white"/>
        </w:rPr>
        <w:t>Systems</w:t>
      </w:r>
      <w:r>
        <w:rPr>
          <w:highlight w:val="white"/>
        </w:rPr>
        <w:t xml:space="preserve">, </w:t>
      </w:r>
      <w:r>
        <w:rPr>
          <w:i/>
          <w:iCs/>
          <w:highlight w:val="white"/>
        </w:rPr>
        <w:t>12</w:t>
      </w:r>
      <w:r>
        <w:rPr>
          <w:highlight w:val="white"/>
        </w:rPr>
        <w:t>(3), p.82.</w:t>
      </w:r>
    </w:p>
    <w:p w14:paraId="09A79752" w14:textId="77777777" w:rsidR="009A0416" w:rsidRDefault="009A0416">
      <w:r>
        <w:t xml:space="preserve">LKQ Europe (2025) </w:t>
      </w:r>
      <w:r>
        <w:rPr>
          <w:i/>
          <w:iCs/>
        </w:rPr>
        <w:t>The EU Data Act: A new era of vehicle data access begins</w:t>
      </w:r>
      <w:r>
        <w:t>. Available at:</w:t>
      </w:r>
      <w:hyperlink r:id="rId16">
        <w:r>
          <w:t xml:space="preserve"> </w:t>
        </w:r>
      </w:hyperlink>
      <w:hyperlink r:id="rId17">
        <w:r>
          <w:rPr>
            <w:u w:val="single"/>
          </w:rPr>
          <w:t>https://lkqeurope.com/article/public-affairs/eu-data-act-new-era-vehicle-data-access-begins</w:t>
        </w:r>
      </w:hyperlink>
      <w:r>
        <w:t xml:space="preserve">  [Accessed: 14 March 2026].  </w:t>
      </w:r>
    </w:p>
    <w:p w14:paraId="7D64CB39" w14:textId="77777777" w:rsidR="009A0416" w:rsidRDefault="009A0416">
      <w:r>
        <w:rPr>
          <w:highlight w:val="white"/>
        </w:rPr>
        <w:t>Mercante Thierauf, T., 2025. Fixing the future? The controversy surrounding Tesla's ‘</w:t>
      </w:r>
      <w:proofErr w:type="spellStart"/>
      <w:r>
        <w:rPr>
          <w:highlight w:val="white"/>
        </w:rPr>
        <w:t>Gigafactory</w:t>
      </w:r>
      <w:proofErr w:type="spellEnd"/>
      <w:r>
        <w:rPr>
          <w:highlight w:val="white"/>
        </w:rPr>
        <w:t xml:space="preserve"> Berlin-</w:t>
      </w:r>
      <w:proofErr w:type="spellStart"/>
      <w:r>
        <w:rPr>
          <w:highlight w:val="white"/>
        </w:rPr>
        <w:t>Brandenburg’as</w:t>
      </w:r>
      <w:proofErr w:type="spellEnd"/>
      <w:r>
        <w:rPr>
          <w:highlight w:val="white"/>
        </w:rPr>
        <w:t xml:space="preserve"> a site of contested future-making in times of climate change. </w:t>
      </w:r>
      <w:r>
        <w:rPr>
          <w:i/>
          <w:iCs/>
          <w:highlight w:val="white"/>
        </w:rPr>
        <w:t>Time &amp; Society</w:t>
      </w:r>
      <w:r>
        <w:rPr>
          <w:highlight w:val="white"/>
        </w:rPr>
        <w:t xml:space="preserve">, </w:t>
      </w:r>
      <w:r>
        <w:rPr>
          <w:i/>
          <w:iCs/>
          <w:highlight w:val="white"/>
        </w:rPr>
        <w:t>34</w:t>
      </w:r>
      <w:r>
        <w:rPr>
          <w:highlight w:val="white"/>
        </w:rPr>
        <w:t>(2), pp.202-228.</w:t>
      </w:r>
    </w:p>
    <w:p w14:paraId="1ED550E1" w14:textId="77777777" w:rsidR="009A0416" w:rsidRDefault="009A0416">
      <w:r>
        <w:rPr>
          <w:highlight w:val="white"/>
        </w:rPr>
        <w:t>Mercante Thierauf, T., 2025. Fixing the future? The controversy surrounding Tesla's ‘</w:t>
      </w:r>
      <w:proofErr w:type="spellStart"/>
      <w:r>
        <w:rPr>
          <w:highlight w:val="white"/>
        </w:rPr>
        <w:t>Gigafactory</w:t>
      </w:r>
      <w:proofErr w:type="spellEnd"/>
      <w:r>
        <w:rPr>
          <w:highlight w:val="white"/>
        </w:rPr>
        <w:t xml:space="preserve"> Berlin-</w:t>
      </w:r>
      <w:proofErr w:type="spellStart"/>
      <w:r>
        <w:rPr>
          <w:highlight w:val="white"/>
        </w:rPr>
        <w:t>Brandenburg’as</w:t>
      </w:r>
      <w:proofErr w:type="spellEnd"/>
      <w:r>
        <w:rPr>
          <w:highlight w:val="white"/>
        </w:rPr>
        <w:t xml:space="preserve"> a site of contested future-making in times of climate change. </w:t>
      </w:r>
      <w:r>
        <w:rPr>
          <w:i/>
          <w:iCs/>
          <w:highlight w:val="white"/>
        </w:rPr>
        <w:t>Time &amp; Society</w:t>
      </w:r>
      <w:r>
        <w:rPr>
          <w:highlight w:val="white"/>
        </w:rPr>
        <w:t xml:space="preserve">, </w:t>
      </w:r>
      <w:r>
        <w:rPr>
          <w:i/>
          <w:iCs/>
          <w:highlight w:val="white"/>
        </w:rPr>
        <w:t>34</w:t>
      </w:r>
      <w:r>
        <w:rPr>
          <w:highlight w:val="white"/>
        </w:rPr>
        <w:t>(2), pp.202-228.</w:t>
      </w:r>
    </w:p>
    <w:p w14:paraId="788C9549" w14:textId="77777777" w:rsidR="009A0416" w:rsidRDefault="009A0416">
      <w:r>
        <w:rPr>
          <w:highlight w:val="white"/>
        </w:rPr>
        <w:t xml:space="preserve">Meyner, E. and Garcia Junior, F., 2025. Driving Brand Heritage: Exploring the Role of Brand Heritage in Sweden’s EV Market. </w:t>
      </w:r>
    </w:p>
    <w:p w14:paraId="444811A6" w14:textId="77777777" w:rsidR="009A0416" w:rsidRDefault="009A0416">
      <w:r>
        <w:rPr>
          <w:highlight w:val="white"/>
        </w:rPr>
        <w:t xml:space="preserve">Molnár, V.B., 2026. </w:t>
      </w:r>
      <w:proofErr w:type="spellStart"/>
      <w:r>
        <w:rPr>
          <w:highlight w:val="white"/>
        </w:rPr>
        <w:t>Teslas</w:t>
      </w:r>
      <w:proofErr w:type="spellEnd"/>
      <w:r>
        <w:rPr>
          <w:highlight w:val="white"/>
        </w:rPr>
        <w:t xml:space="preserve"> pricing strategy and its economic impact on market demand.</w:t>
      </w:r>
    </w:p>
    <w:p w14:paraId="1BD9D829" w14:textId="77777777" w:rsidR="009A0416" w:rsidRDefault="009A0416">
      <w:r w:rsidRPr="00CE587A">
        <w:rPr>
          <w:highlight w:val="white"/>
          <w:lang w:val="de-DE"/>
        </w:rPr>
        <w:t xml:space="preserve">Nabernegg, M., Lange, S. and Kopp, T., 2024. </w:t>
      </w:r>
      <w:r>
        <w:rPr>
          <w:highlight w:val="white"/>
        </w:rPr>
        <w:t xml:space="preserve">Inflation in Germany: Energy prices, profit shares, and market power in different sectors. </w:t>
      </w:r>
      <w:r>
        <w:rPr>
          <w:i/>
          <w:iCs/>
          <w:highlight w:val="white"/>
        </w:rPr>
        <w:t>International Journal of Political Economy</w:t>
      </w:r>
      <w:r>
        <w:rPr>
          <w:highlight w:val="white"/>
        </w:rPr>
        <w:t xml:space="preserve">, </w:t>
      </w:r>
      <w:r>
        <w:rPr>
          <w:i/>
          <w:iCs/>
          <w:highlight w:val="white"/>
        </w:rPr>
        <w:t>53</w:t>
      </w:r>
      <w:r>
        <w:rPr>
          <w:highlight w:val="white"/>
        </w:rPr>
        <w:t>(4), pp.342-363.</w:t>
      </w:r>
    </w:p>
    <w:p w14:paraId="0F4661FB" w14:textId="77777777" w:rsidR="009A0416" w:rsidRDefault="009A0416">
      <w:r>
        <w:rPr>
          <w:highlight w:val="white"/>
        </w:rPr>
        <w:t xml:space="preserve">Paul, R., 2024. European artificial intelligence “trusted throughout the world”: Risk‐based regulation and the fashioning of a competitive common AI market. </w:t>
      </w:r>
      <w:r>
        <w:rPr>
          <w:i/>
          <w:iCs/>
          <w:highlight w:val="white"/>
        </w:rPr>
        <w:t>Regulation &amp; Governance</w:t>
      </w:r>
      <w:r>
        <w:rPr>
          <w:highlight w:val="white"/>
        </w:rPr>
        <w:t xml:space="preserve">, </w:t>
      </w:r>
      <w:r>
        <w:rPr>
          <w:i/>
          <w:iCs/>
          <w:highlight w:val="white"/>
        </w:rPr>
        <w:t>18</w:t>
      </w:r>
      <w:r>
        <w:rPr>
          <w:highlight w:val="white"/>
        </w:rPr>
        <w:t xml:space="preserve">(4), pp.1065-1082. </w:t>
      </w:r>
    </w:p>
    <w:p w14:paraId="1A299FCB" w14:textId="77777777" w:rsidR="009A0416" w:rsidRDefault="009A0416">
      <w:r>
        <w:rPr>
          <w:highlight w:val="white"/>
        </w:rPr>
        <w:lastRenderedPageBreak/>
        <w:t xml:space="preserve">Porter, M.E., 2023. Changing patterns of international competition. In </w:t>
      </w:r>
      <w:r>
        <w:rPr>
          <w:i/>
          <w:iCs/>
          <w:highlight w:val="white"/>
        </w:rPr>
        <w:t>International strategic management</w:t>
      </w:r>
      <w:r>
        <w:rPr>
          <w:highlight w:val="white"/>
        </w:rPr>
        <w:t xml:space="preserve"> (pp. 61-86). Routledge. </w:t>
      </w:r>
      <w:hyperlink r:id="rId18">
        <w:r>
          <w:rPr>
            <w:highlight w:val="white"/>
            <w:u w:val="single"/>
          </w:rPr>
          <w:t>https://www.academia.edu/download/30781628/porterarticle1.pdf</w:t>
        </w:r>
      </w:hyperlink>
      <w:r>
        <w:rPr>
          <w:highlight w:val="white"/>
        </w:rPr>
        <w:t xml:space="preserve"> </w:t>
      </w:r>
    </w:p>
    <w:p w14:paraId="49E3FEC5" w14:textId="77777777" w:rsidR="009A0416" w:rsidRDefault="009A0416">
      <w:r>
        <w:t xml:space="preserve">Reuters (2026) </w:t>
      </w:r>
      <w:r>
        <w:rPr>
          <w:i/>
          <w:iCs/>
        </w:rPr>
        <w:t>Germany ranks second worldwide for EV production in 2025, VDA says</w:t>
      </w:r>
      <w:r>
        <w:t>. Available at:</w:t>
      </w:r>
      <w:hyperlink r:id="rId19">
        <w:r>
          <w:t xml:space="preserve"> </w:t>
        </w:r>
      </w:hyperlink>
      <w:hyperlink r:id="rId20">
        <w:r>
          <w:rPr>
            <w:u w:val="single"/>
          </w:rPr>
          <w:t>https://www.reuters.com/business/germany-ranks-second-worldwide-ev-production-2025-vda-says-2026-02-04/</w:t>
        </w:r>
      </w:hyperlink>
      <w:r>
        <w:t xml:space="preserve"> [Accessed: 14 March 2026].</w:t>
      </w:r>
    </w:p>
    <w:p w14:paraId="4AB1A51B" w14:textId="77777777" w:rsidR="009A0416" w:rsidRDefault="009A0416">
      <w:r>
        <w:rPr>
          <w:highlight w:val="white"/>
        </w:rPr>
        <w:t>Rezaei, R., 2025. The Growing Business of Electric Vehicles: A Comprehensive Case Study in Europe.</w:t>
      </w:r>
    </w:p>
    <w:p w14:paraId="1C17D8F9" w14:textId="77777777" w:rsidR="009A0416" w:rsidRDefault="009A0416">
      <w:r>
        <w:rPr>
          <w:highlight w:val="white"/>
        </w:rPr>
        <w:t xml:space="preserve">Sachs, W., 2023. </w:t>
      </w:r>
      <w:r>
        <w:rPr>
          <w:i/>
          <w:iCs/>
          <w:highlight w:val="white"/>
        </w:rPr>
        <w:t>For love of the automobile: Looking back into the history of our desires</w:t>
      </w:r>
      <w:r>
        <w:rPr>
          <w:highlight w:val="white"/>
        </w:rPr>
        <w:t>. Univ of California Press.</w:t>
      </w:r>
    </w:p>
    <w:p w14:paraId="59EB8BF7" w14:textId="77777777" w:rsidR="009A0416" w:rsidRDefault="009A0416">
      <w:r>
        <w:rPr>
          <w:highlight w:val="white"/>
        </w:rPr>
        <w:t xml:space="preserve">Schade, W., Haug, I. and Berthold, D., 2022. </w:t>
      </w:r>
      <w:r>
        <w:rPr>
          <w:i/>
          <w:iCs/>
          <w:highlight w:val="white"/>
        </w:rPr>
        <w:t>The future of the automotive sector: Emerging battery value chains in Europe</w:t>
      </w:r>
      <w:r>
        <w:rPr>
          <w:highlight w:val="white"/>
        </w:rPr>
        <w:t xml:space="preserve"> (No. 2022.02). Report.</w:t>
      </w:r>
    </w:p>
    <w:p w14:paraId="3C6575D2" w14:textId="77777777" w:rsidR="009A0416" w:rsidRDefault="009A0416">
      <w:r>
        <w:rPr>
          <w:highlight w:val="white"/>
        </w:rPr>
        <w:t>Singh, S., 2025. Tariffs and Tectonics: How the US-China Trade War is Reshaping Global Commerce with India at the Crossroads.</w:t>
      </w:r>
    </w:p>
    <w:p w14:paraId="1B65D321" w14:textId="77777777" w:rsidR="009A0416" w:rsidRDefault="009A0416">
      <w:r>
        <w:rPr>
          <w:highlight w:val="white"/>
        </w:rPr>
        <w:t xml:space="preserve">Storm, S. and Schröder, E., 2025. </w:t>
      </w:r>
      <w:r>
        <w:rPr>
          <w:i/>
          <w:iCs/>
          <w:highlight w:val="white"/>
        </w:rPr>
        <w:t>Cars and the Green Transition (Part One): Germany’s Model of Economic Growth</w:t>
      </w:r>
      <w:r>
        <w:rPr>
          <w:highlight w:val="white"/>
        </w:rPr>
        <w:t xml:space="preserve"> (No. 101061198). Working Paper 1/2025. Delft: Delft University of Technology. Funded by the European Union under grant agreement.</w:t>
      </w:r>
    </w:p>
    <w:p w14:paraId="2C616AA9" w14:textId="77777777" w:rsidR="009A0416" w:rsidRDefault="009A0416">
      <w:r>
        <w:rPr>
          <w:highlight w:val="white"/>
        </w:rPr>
        <w:t xml:space="preserve">Theocharis, D. and </w:t>
      </w:r>
      <w:proofErr w:type="spellStart"/>
      <w:r>
        <w:rPr>
          <w:highlight w:val="white"/>
        </w:rPr>
        <w:t>Tsekouropoulos</w:t>
      </w:r>
      <w:proofErr w:type="spellEnd"/>
      <w:r>
        <w:rPr>
          <w:highlight w:val="white"/>
        </w:rPr>
        <w:t xml:space="preserve">, G., 2025. Sustainable consumption and branding for Gen Z: How brand dimensions influence consumer behavior and adoption of newly launched technological products. </w:t>
      </w:r>
      <w:r>
        <w:rPr>
          <w:i/>
          <w:iCs/>
          <w:highlight w:val="white"/>
        </w:rPr>
        <w:t>Sustainability</w:t>
      </w:r>
      <w:r>
        <w:rPr>
          <w:highlight w:val="white"/>
        </w:rPr>
        <w:t xml:space="preserve">, </w:t>
      </w:r>
      <w:r>
        <w:rPr>
          <w:i/>
          <w:iCs/>
          <w:highlight w:val="white"/>
        </w:rPr>
        <w:t>17</w:t>
      </w:r>
      <w:r>
        <w:rPr>
          <w:highlight w:val="white"/>
        </w:rPr>
        <w:t>(9), p.4124.</w:t>
      </w:r>
    </w:p>
    <w:p w14:paraId="3045AEC9" w14:textId="77777777" w:rsidR="009A0416" w:rsidRDefault="009A0416">
      <w:proofErr w:type="spellStart"/>
      <w:r>
        <w:rPr>
          <w:highlight w:val="white"/>
        </w:rPr>
        <w:t>Urrehman</w:t>
      </w:r>
      <w:proofErr w:type="spellEnd"/>
      <w:r>
        <w:rPr>
          <w:highlight w:val="white"/>
        </w:rPr>
        <w:t xml:space="preserve"> </w:t>
      </w:r>
      <w:proofErr w:type="spellStart"/>
      <w:r>
        <w:rPr>
          <w:highlight w:val="white"/>
        </w:rPr>
        <w:t>Akhtar</w:t>
      </w:r>
      <w:proofErr w:type="spellEnd"/>
      <w:r>
        <w:rPr>
          <w:highlight w:val="white"/>
        </w:rPr>
        <w:t>, A., 2022. The interrelationship between interest rate, inflation, and Economic growth-A comparison between Germany and France.</w:t>
      </w:r>
    </w:p>
    <w:p w14:paraId="7C4F233E" w14:textId="77777777" w:rsidR="009A0416" w:rsidRDefault="009A0416">
      <w:proofErr w:type="spellStart"/>
      <w:r>
        <w:t>Verband</w:t>
      </w:r>
      <w:proofErr w:type="spellEnd"/>
      <w:r>
        <w:t xml:space="preserve"> der </w:t>
      </w:r>
      <w:proofErr w:type="spellStart"/>
      <w:r>
        <w:t>Automobilindustrie</w:t>
      </w:r>
      <w:proofErr w:type="spellEnd"/>
      <w:r>
        <w:t xml:space="preserve"> (VDA) (2026) </w:t>
      </w:r>
      <w:r>
        <w:rPr>
          <w:i/>
          <w:iCs/>
        </w:rPr>
        <w:t>Significance of the automotive industry for Germany</w:t>
      </w:r>
      <w:r>
        <w:t>. Available at:</w:t>
      </w:r>
      <w:hyperlink r:id="rId21">
        <w:r>
          <w:t xml:space="preserve"> </w:t>
        </w:r>
      </w:hyperlink>
      <w:hyperlink r:id="rId22">
        <w:r>
          <w:rPr>
            <w:u w:val="single"/>
          </w:rPr>
          <w:t>https://www.vda.de/en/topics/automotive-industry/significance-of-automotive-industry-for-germany</w:t>
        </w:r>
      </w:hyperlink>
      <w:r>
        <w:t xml:space="preserve"> [Accessed: 14 March 2026].</w:t>
      </w:r>
    </w:p>
    <w:p w14:paraId="0307F3A5" w14:textId="77777777" w:rsidR="009A0416" w:rsidRDefault="009A0416">
      <w:r>
        <w:t xml:space="preserve">Volkswagen Group (2025) </w:t>
      </w:r>
      <w:r>
        <w:rPr>
          <w:i/>
          <w:iCs/>
        </w:rPr>
        <w:t>Volkswagen Group increases global deliveries to 6.6 million vehicles by the end of September</w:t>
      </w:r>
      <w:r>
        <w:t>. Available at:</w:t>
      </w:r>
      <w:hyperlink r:id="rId23">
        <w:r>
          <w:t xml:space="preserve"> </w:t>
        </w:r>
      </w:hyperlink>
      <w:hyperlink r:id="rId24">
        <w:r>
          <w:rPr>
            <w:u w:val="single"/>
          </w:rPr>
          <w:t>https://www.volkswagen-group.com/en/press-releases/volkswagen-group-increases-global-deliveries-to-66-million-vehicles-by-the-end-of-september-19888</w:t>
        </w:r>
      </w:hyperlink>
      <w:r>
        <w:t xml:space="preserve"> [Accessed: 14 March 2026]. </w:t>
      </w:r>
    </w:p>
    <w:p w14:paraId="631AA6A1" w14:textId="77777777" w:rsidR="009A0416" w:rsidRDefault="009A0416">
      <w:r>
        <w:rPr>
          <w:highlight w:val="white"/>
        </w:rPr>
        <w:lastRenderedPageBreak/>
        <w:t xml:space="preserve">Wojtaszek, H., 2025. Renewable energy in policy frameworks: A comparative analysis of EU and global strategies for sustainable development. </w:t>
      </w:r>
      <w:r>
        <w:rPr>
          <w:i/>
          <w:iCs/>
          <w:highlight w:val="white"/>
        </w:rPr>
        <w:t>Sustainability</w:t>
      </w:r>
      <w:r>
        <w:rPr>
          <w:highlight w:val="white"/>
        </w:rPr>
        <w:t xml:space="preserve">, </w:t>
      </w:r>
      <w:r>
        <w:rPr>
          <w:i/>
          <w:iCs/>
          <w:highlight w:val="white"/>
        </w:rPr>
        <w:t>17</w:t>
      </w:r>
      <w:r>
        <w:rPr>
          <w:highlight w:val="white"/>
        </w:rPr>
        <w:t>(23), p.10567.</w:t>
      </w:r>
    </w:p>
    <w:p w14:paraId="10775658" w14:textId="77777777" w:rsidR="009A0416" w:rsidRDefault="009A0416">
      <w:r>
        <w:rPr>
          <w:highlight w:val="white"/>
        </w:rPr>
        <w:t xml:space="preserve">Yeung, G., 2024. Competitive dynamics of lead firms and their systems suppliers in the automotive industry. </w:t>
      </w:r>
      <w:r>
        <w:rPr>
          <w:i/>
          <w:iCs/>
          <w:highlight w:val="white"/>
        </w:rPr>
        <w:t>Environment and Planning A: Economy and Space</w:t>
      </w:r>
      <w:r>
        <w:rPr>
          <w:highlight w:val="white"/>
        </w:rPr>
        <w:t xml:space="preserve">, </w:t>
      </w:r>
      <w:r>
        <w:rPr>
          <w:i/>
          <w:iCs/>
          <w:highlight w:val="white"/>
        </w:rPr>
        <w:t>56</w:t>
      </w:r>
      <w:r>
        <w:rPr>
          <w:highlight w:val="white"/>
        </w:rPr>
        <w:t xml:space="preserve">(2), pp.454-475. </w:t>
      </w:r>
    </w:p>
    <w:p w14:paraId="4D382F02" w14:textId="77777777" w:rsidR="009A0416" w:rsidRDefault="009A0416">
      <w:r>
        <w:rPr>
          <w:highlight w:val="white"/>
        </w:rPr>
        <w:t xml:space="preserve">Yue, M., 2026. The role and practices of German educational enterprises and their </w:t>
      </w:r>
      <w:proofErr w:type="spellStart"/>
      <w:r>
        <w:rPr>
          <w:highlight w:val="white"/>
        </w:rPr>
        <w:t>enlightments</w:t>
      </w:r>
      <w:proofErr w:type="spellEnd"/>
      <w:r>
        <w:rPr>
          <w:highlight w:val="white"/>
        </w:rPr>
        <w:t xml:space="preserve"> for the development of industry-education integrated enterprises in China. </w:t>
      </w:r>
      <w:r>
        <w:rPr>
          <w:i/>
          <w:iCs/>
          <w:highlight w:val="white"/>
        </w:rPr>
        <w:t>Advances in Social Behavior Research</w:t>
      </w:r>
      <w:r>
        <w:rPr>
          <w:highlight w:val="white"/>
        </w:rPr>
        <w:t xml:space="preserve">, </w:t>
      </w:r>
      <w:r>
        <w:rPr>
          <w:i/>
          <w:iCs/>
          <w:highlight w:val="white"/>
        </w:rPr>
        <w:t>17</w:t>
      </w:r>
      <w:r>
        <w:rPr>
          <w:highlight w:val="white"/>
        </w:rPr>
        <w:t>(1), pp.24-38.</w:t>
      </w:r>
    </w:p>
    <w:p w14:paraId="1040E74C" w14:textId="77777777" w:rsidR="009A0416" w:rsidRDefault="009A0416"/>
    <w:sectPr w:rsidR="009A0416" w:rsidSect="009A0416">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57048" w14:textId="77777777" w:rsidR="005B0A80" w:rsidRDefault="005B0A80">
      <w:pPr>
        <w:spacing w:line="240" w:lineRule="auto"/>
      </w:pPr>
      <w:r>
        <w:separator/>
      </w:r>
    </w:p>
  </w:endnote>
  <w:endnote w:type="continuationSeparator" w:id="0">
    <w:p w14:paraId="7F04187D" w14:textId="77777777" w:rsidR="005B0A80" w:rsidRDefault="005B0A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FD790B4B-5A45-404A-BD26-E6E408A9EC29}"/>
  </w:font>
  <w:font w:name="Tahoma">
    <w:panose1 w:val="020B0604030504040204"/>
    <w:charset w:val="00"/>
    <w:family w:val="swiss"/>
    <w:pitch w:val="variable"/>
    <w:sig w:usb0="E1002EFF" w:usb1="C000605B" w:usb2="00000029" w:usb3="00000000" w:csb0="000101FF" w:csb1="00000000"/>
    <w:embedRegular r:id="rId2" w:fontKey="{40652C7B-9DBF-4A32-B888-103ABD4A9673}"/>
  </w:font>
  <w:font w:name="Cambria">
    <w:panose1 w:val="02040503050406030204"/>
    <w:charset w:val="00"/>
    <w:family w:val="roman"/>
    <w:pitch w:val="variable"/>
    <w:sig w:usb0="E00002FF" w:usb1="400004FF" w:usb2="00000000" w:usb3="00000000" w:csb0="0000019F" w:csb1="00000000"/>
    <w:embedRegular r:id="rId3" w:fontKey="{23351D76-6713-416D-B09D-3B6414870FE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8AA41" w14:textId="77777777" w:rsidR="00862C6C" w:rsidRDefault="005B0A80">
    <w:pPr>
      <w:jc w:val="right"/>
      <w:rPr>
        <w:sz w:val="20"/>
        <w:szCs w:val="20"/>
      </w:rPr>
    </w:pPr>
    <w:r>
      <w:rPr>
        <w:sz w:val="20"/>
        <w:szCs w:val="20"/>
      </w:rPr>
      <w:fldChar w:fldCharType="begin"/>
    </w:r>
    <w:r>
      <w:rPr>
        <w:sz w:val="20"/>
        <w:szCs w:val="20"/>
      </w:rPr>
      <w:instrText>PAGE</w:instrText>
    </w:r>
    <w:r>
      <w:rPr>
        <w:sz w:val="20"/>
        <w:szCs w:val="20"/>
      </w:rPr>
      <w:fldChar w:fldCharType="separate"/>
    </w:r>
    <w:r w:rsidR="00E472C4">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604F9A" w14:textId="77777777" w:rsidR="005B0A80" w:rsidRDefault="005B0A80">
      <w:pPr>
        <w:spacing w:line="240" w:lineRule="auto"/>
      </w:pPr>
      <w:r>
        <w:separator/>
      </w:r>
    </w:p>
  </w:footnote>
  <w:footnote w:type="continuationSeparator" w:id="0">
    <w:p w14:paraId="50D9C6F3" w14:textId="77777777" w:rsidR="005B0A80" w:rsidRDefault="005B0A8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27B07"/>
    <w:multiLevelType w:val="multilevel"/>
    <w:tmpl w:val="36F6D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E3C6E04"/>
    <w:multiLevelType w:val="multilevel"/>
    <w:tmpl w:val="E2323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4FB339D"/>
    <w:multiLevelType w:val="multilevel"/>
    <w:tmpl w:val="85A0D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264327E"/>
    <w:multiLevelType w:val="multilevel"/>
    <w:tmpl w:val="9402A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26512D8"/>
    <w:multiLevelType w:val="multilevel"/>
    <w:tmpl w:val="7B284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B94482A"/>
    <w:multiLevelType w:val="multilevel"/>
    <w:tmpl w:val="4EA6B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C6C"/>
    <w:rsid w:val="00072BAF"/>
    <w:rsid w:val="0009044A"/>
    <w:rsid w:val="0019033C"/>
    <w:rsid w:val="00225EC0"/>
    <w:rsid w:val="003023A2"/>
    <w:rsid w:val="005B0A80"/>
    <w:rsid w:val="006B50E4"/>
    <w:rsid w:val="00862C6C"/>
    <w:rsid w:val="009A0416"/>
    <w:rsid w:val="00A44FDC"/>
    <w:rsid w:val="00B32206"/>
    <w:rsid w:val="00CE587A"/>
    <w:rsid w:val="00DF5619"/>
    <w:rsid w:val="00E472C4"/>
    <w:rsid w:val="00F26695"/>
    <w:rsid w:val="00FD55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6B50E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B50E4"/>
    <w:pPr>
      <w:spacing w:after="100"/>
    </w:pPr>
  </w:style>
  <w:style w:type="paragraph" w:styleId="TOC2">
    <w:name w:val="toc 2"/>
    <w:basedOn w:val="Normal"/>
    <w:next w:val="Normal"/>
    <w:autoRedefine/>
    <w:uiPriority w:val="39"/>
    <w:unhideWhenUsed/>
    <w:rsid w:val="006B50E4"/>
    <w:pPr>
      <w:spacing w:after="100"/>
      <w:ind w:left="240"/>
    </w:pPr>
  </w:style>
  <w:style w:type="character" w:styleId="Hyperlink">
    <w:name w:val="Hyperlink"/>
    <w:basedOn w:val="DefaultParagraphFont"/>
    <w:uiPriority w:val="99"/>
    <w:unhideWhenUsed/>
    <w:rsid w:val="006B50E4"/>
    <w:rPr>
      <w:color w:val="0000FF" w:themeColor="hyperlink"/>
      <w:u w:val="single"/>
    </w:rPr>
  </w:style>
  <w:style w:type="paragraph" w:styleId="BalloonText">
    <w:name w:val="Balloon Text"/>
    <w:basedOn w:val="Normal"/>
    <w:link w:val="BalloonTextChar"/>
    <w:uiPriority w:val="99"/>
    <w:semiHidden/>
    <w:unhideWhenUsed/>
    <w:rsid w:val="001903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3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6B50E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B50E4"/>
    <w:pPr>
      <w:spacing w:after="100"/>
    </w:pPr>
  </w:style>
  <w:style w:type="paragraph" w:styleId="TOC2">
    <w:name w:val="toc 2"/>
    <w:basedOn w:val="Normal"/>
    <w:next w:val="Normal"/>
    <w:autoRedefine/>
    <w:uiPriority w:val="39"/>
    <w:unhideWhenUsed/>
    <w:rsid w:val="006B50E4"/>
    <w:pPr>
      <w:spacing w:after="100"/>
      <w:ind w:left="240"/>
    </w:pPr>
  </w:style>
  <w:style w:type="character" w:styleId="Hyperlink">
    <w:name w:val="Hyperlink"/>
    <w:basedOn w:val="DefaultParagraphFont"/>
    <w:uiPriority w:val="99"/>
    <w:unhideWhenUsed/>
    <w:rsid w:val="006B50E4"/>
    <w:rPr>
      <w:color w:val="0000FF" w:themeColor="hyperlink"/>
      <w:u w:val="single"/>
    </w:rPr>
  </w:style>
  <w:style w:type="paragraph" w:styleId="BalloonText">
    <w:name w:val="Balloon Text"/>
    <w:basedOn w:val="Normal"/>
    <w:link w:val="BalloonTextChar"/>
    <w:uiPriority w:val="99"/>
    <w:semiHidden/>
    <w:unhideWhenUsed/>
    <w:rsid w:val="001903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3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xportgenius.in/blog/germany-car-export-trends.php" TargetMode="External"/><Relationship Id="rId18" Type="http://schemas.openxmlformats.org/officeDocument/2006/relationships/hyperlink" Target="https://www.academia.edu/download/30781628/porterarticle1.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da.de/en/topics/automotive-industry/significance-of-automotive-industry-for-germany" TargetMode="External"/><Relationship Id="rId7" Type="http://schemas.openxmlformats.org/officeDocument/2006/relationships/footnotes" Target="footnotes.xml"/><Relationship Id="rId12" Type="http://schemas.openxmlformats.org/officeDocument/2006/relationships/hyperlink" Target="https://www.exportgenius.in/blog/germany-car-export-trends.php" TargetMode="External"/><Relationship Id="rId17" Type="http://schemas.openxmlformats.org/officeDocument/2006/relationships/hyperlink" Target="https://lkqeurope.com/article/public-affairs/eu-data-act-new-era-vehicle-data-access-begin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kqeurope.com/article/public-affairs/eu-data-act-new-era-vehicle-data-access-begins" TargetMode="External"/><Relationship Id="rId20" Type="http://schemas.openxmlformats.org/officeDocument/2006/relationships/hyperlink" Target="https://www.reuters.com/business/germany-ranks-second-worldwide-ev-production-2025-vda-says-2026-02-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vboosters.com/ev-charging-news/disruptive-impact-of-tesla-on-the-automotive-industry/" TargetMode="External"/><Relationship Id="rId24" Type="http://schemas.openxmlformats.org/officeDocument/2006/relationships/hyperlink" Target="https://www.volkswagen-group.com/en/press-releases/volkswagen-group-increases-global-deliveries-to-66-million-vehicles-by-the-end-of-september-19888" TargetMode="External"/><Relationship Id="rId5" Type="http://schemas.openxmlformats.org/officeDocument/2006/relationships/settings" Target="settings.xml"/><Relationship Id="rId15" Type="http://schemas.openxmlformats.org/officeDocument/2006/relationships/hyperlink" Target="https://www.gtai.de/en/invest/industries/mobility/automotive-industry" TargetMode="External"/><Relationship Id="rId23" Type="http://schemas.openxmlformats.org/officeDocument/2006/relationships/hyperlink" Target="https://www.volkswagen-group.com/en/press-releases/volkswagen-group-increases-global-deliveries-to-66-million-vehicles-by-the-end-of-september-19888" TargetMode="External"/><Relationship Id="rId10" Type="http://schemas.openxmlformats.org/officeDocument/2006/relationships/hyperlink" Target="https://evboosters.com/ev-charging-news/disruptive-impact-of-tesla-on-the-automotive-industry/" TargetMode="External"/><Relationship Id="rId19" Type="http://schemas.openxmlformats.org/officeDocument/2006/relationships/hyperlink" Target="https://www.reuters.com/business/germany-ranks-second-worldwide-ev-production-2025-vda-says-2026-02-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gtai.de/en/invest/industries/mobility/automotive-industry" TargetMode="External"/><Relationship Id="rId22" Type="http://schemas.openxmlformats.org/officeDocument/2006/relationships/hyperlink" Target="https://www.vda.de/en/topics/automotive-industry/significance-of-automotive-industry-for-germany"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1A721-58B5-4BAC-B0ED-F5FF97951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6364</Words>
  <Characters>36280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Ramanpreet 1313</dc:creator>
  <cp:lastModifiedBy>Admin</cp:lastModifiedBy>
  <cp:revision>2</cp:revision>
  <dcterms:created xsi:type="dcterms:W3CDTF">2026-03-19T10:48:00Z</dcterms:created>
  <dcterms:modified xsi:type="dcterms:W3CDTF">2026-03-19T10:48:00Z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dfd65afc-9701-4c44-bdb2-fbacce7f646e</vt:lpwstr>
  </property>
</Properties>
</file>