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1637401416"/>
        <w:docPartObj>
          <w:docPartGallery w:val="Cover Pages"/>
          <w:docPartUnique/>
        </w:docPartObj>
      </w:sdtPr>
      <w:sdtEndPr>
        <w:rPr>
          <w:rFonts w:eastAsiaTheme="minorHAnsi"/>
          <w:color w:val="auto"/>
          <w:kern w:val="2"/>
          <w:sz w:val="24"/>
          <w:szCs w:val="24"/>
          <w:lang w:val="en-GB"/>
          <w14:ligatures w14:val="standardContextual"/>
        </w:rPr>
      </w:sdtEndPr>
      <w:sdtContent>
        <w:p w14:paraId="37A21FAB" w14:textId="13DE38C2" w:rsidR="003F0B5C" w:rsidRDefault="003F0B5C">
          <w:pPr>
            <w:pStyle w:val="NoSpacing"/>
            <w:spacing w:before="1540" w:after="240"/>
            <w:jc w:val="center"/>
            <w:rPr>
              <w:color w:val="156082" w:themeColor="accent1"/>
            </w:rPr>
          </w:pPr>
          <w:r>
            <w:rPr>
              <w:noProof/>
              <w:color w:val="156082" w:themeColor="accent1"/>
            </w:rPr>
            <w:drawing>
              <wp:inline distT="0" distB="0" distL="0" distR="0" wp14:anchorId="08302D63" wp14:editId="3B49D614">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61A5B17F" w14:textId="4BAC12FF" w:rsidR="003F0B5C" w:rsidRPr="000F1637" w:rsidRDefault="00165CDE">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58"/>
              <w:szCs w:val="58"/>
            </w:rPr>
          </w:pPr>
          <w:r w:rsidRPr="000F1637">
            <w:rPr>
              <w:rFonts w:asciiTheme="majorHAnsi" w:eastAsiaTheme="majorEastAsia" w:hAnsiTheme="majorHAnsi" w:cstheme="majorBidi"/>
              <w:caps/>
              <w:color w:val="156082" w:themeColor="accent1"/>
              <w:sz w:val="58"/>
              <w:szCs w:val="58"/>
            </w:rPr>
            <w:t>Component 1:</w:t>
          </w:r>
          <w:r w:rsidR="000F1637" w:rsidRPr="000F1637">
            <w:rPr>
              <w:rFonts w:asciiTheme="majorHAnsi" w:eastAsiaTheme="majorEastAsia" w:hAnsiTheme="majorHAnsi" w:cstheme="majorBidi"/>
              <w:caps/>
              <w:color w:val="156082" w:themeColor="accent1"/>
              <w:sz w:val="58"/>
              <w:szCs w:val="58"/>
            </w:rPr>
            <w:t xml:space="preserve"> </w:t>
          </w:r>
          <w:r w:rsidRPr="000F1637">
            <w:rPr>
              <w:rFonts w:asciiTheme="majorHAnsi" w:eastAsiaTheme="majorEastAsia" w:hAnsiTheme="majorHAnsi" w:cstheme="majorBidi"/>
              <w:caps/>
              <w:color w:val="156082" w:themeColor="accent1"/>
              <w:sz w:val="58"/>
              <w:szCs w:val="58"/>
            </w:rPr>
            <w:t>Research Report</w:t>
          </w:r>
        </w:p>
        <w:p w14:paraId="75B4865B" w14:textId="7597D0D0" w:rsidR="000F1637" w:rsidRPr="000F1637" w:rsidRDefault="000F1637">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28"/>
              <w:szCs w:val="28"/>
            </w:rPr>
          </w:pPr>
          <w:r w:rsidRPr="000F1637">
            <w:rPr>
              <w:rFonts w:asciiTheme="majorHAnsi" w:eastAsiaTheme="majorEastAsia" w:hAnsiTheme="majorHAnsi" w:cstheme="majorBidi"/>
              <w:caps/>
              <w:color w:val="156082" w:themeColor="accent1"/>
              <w:sz w:val="28"/>
              <w:szCs w:val="28"/>
            </w:rPr>
            <w:t xml:space="preserve">Module Code: </w:t>
          </w:r>
          <w:r w:rsidRPr="000F1637">
            <w:rPr>
              <w:rFonts w:asciiTheme="majorHAnsi" w:eastAsiaTheme="majorEastAsia" w:hAnsiTheme="majorHAnsi" w:cstheme="majorBidi"/>
              <w:caps/>
              <w:color w:val="156082" w:themeColor="accent1"/>
              <w:sz w:val="28"/>
              <w:szCs w:val="28"/>
              <w:lang w:val="en-GB"/>
            </w:rPr>
            <w:t>BMHP5019</w:t>
          </w:r>
        </w:p>
        <w:sdt>
          <w:sdtPr>
            <w:rPr>
              <w:color w:val="156082" w:themeColor="accent1"/>
              <w:sz w:val="32"/>
              <w:szCs w:val="32"/>
            </w:rPr>
            <w:alias w:val="Subtitle"/>
            <w:tag w:val=""/>
            <w:id w:val="328029620"/>
            <w:placeholder>
              <w:docPart w:val="6D2422CFBA854E45A6166720E0B4A2BF"/>
            </w:placeholder>
            <w:dataBinding w:prefixMappings="xmlns:ns0='http://purl.org/dc/elements/1.1/' xmlns:ns1='http://schemas.openxmlformats.org/package/2006/metadata/core-properties' " w:xpath="/ns1:coreProperties[1]/ns0:subject[1]" w:storeItemID="{6C3C8BC8-F283-45AE-878A-BAB7291924A1}"/>
            <w:text/>
          </w:sdtPr>
          <w:sdtContent>
            <w:p w14:paraId="2C972ED4" w14:textId="7ADCA863" w:rsidR="003F0B5C" w:rsidRPr="00165CDE" w:rsidRDefault="00165CDE">
              <w:pPr>
                <w:pStyle w:val="NoSpacing"/>
                <w:jc w:val="center"/>
                <w:rPr>
                  <w:color w:val="156082" w:themeColor="accent1"/>
                  <w:sz w:val="32"/>
                  <w:szCs w:val="32"/>
                </w:rPr>
              </w:pPr>
              <w:r w:rsidRPr="00165CDE">
                <w:rPr>
                  <w:color w:val="156082" w:themeColor="accent1"/>
                  <w:sz w:val="32"/>
                  <w:szCs w:val="32"/>
                </w:rPr>
                <w:t>Introduction to Independent Research Skills</w:t>
              </w:r>
            </w:p>
          </w:sdtContent>
        </w:sdt>
        <w:p w14:paraId="3EEC3EC0" w14:textId="77777777" w:rsidR="003F0B5C" w:rsidRDefault="003F0B5C">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69504" behindDoc="0" locked="0" layoutInCell="1" allowOverlap="1" wp14:anchorId="1AA69010" wp14:editId="02F184A4">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FBAC8C" w14:textId="72D6856C" w:rsidR="003F0B5C" w:rsidRPr="000F1637" w:rsidRDefault="00165CDE" w:rsidP="000F1637">
                                <w:pPr>
                                  <w:pStyle w:val="NoSpacing"/>
                                  <w:spacing w:after="40" w:line="360" w:lineRule="auto"/>
                                  <w:jc w:val="center"/>
                                  <w:rPr>
                                    <w:caps/>
                                    <w:color w:val="156082" w:themeColor="accent1"/>
                                    <w:sz w:val="32"/>
                                    <w:szCs w:val="32"/>
                                  </w:rPr>
                                </w:pPr>
                                <w:r w:rsidRPr="000F1637">
                                  <w:rPr>
                                    <w:caps/>
                                    <w:color w:val="156082" w:themeColor="accent1"/>
                                    <w:sz w:val="32"/>
                                    <w:szCs w:val="32"/>
                                  </w:rPr>
                                  <w:t>Rim AbdulHamid</w:t>
                                </w:r>
                              </w:p>
                              <w:p w14:paraId="45172491" w14:textId="108C91D6" w:rsidR="003F0B5C" w:rsidRPr="000F1637" w:rsidRDefault="00165CDE" w:rsidP="000F1637">
                                <w:pPr>
                                  <w:pStyle w:val="NoSpacing"/>
                                  <w:spacing w:line="360" w:lineRule="auto"/>
                                  <w:jc w:val="center"/>
                                  <w:rPr>
                                    <w:color w:val="156082" w:themeColor="accent1"/>
                                    <w:sz w:val="26"/>
                                    <w:szCs w:val="26"/>
                                  </w:rPr>
                                </w:pPr>
                                <w:r w:rsidRPr="000F1637">
                                  <w:rPr>
                                    <w:caps/>
                                    <w:color w:val="156082" w:themeColor="accent1"/>
                                    <w:sz w:val="26"/>
                                    <w:szCs w:val="26"/>
                                  </w:rPr>
                                  <w:t>Student no. 2321169</w:t>
                                </w:r>
                              </w:p>
                              <w:p w14:paraId="23E2A0E0" w14:textId="2E999728" w:rsidR="003F0B5C" w:rsidRPr="000F1637" w:rsidRDefault="00165CDE" w:rsidP="000F1637">
                                <w:pPr>
                                  <w:pStyle w:val="NoSpacing"/>
                                  <w:spacing w:line="360" w:lineRule="auto"/>
                                  <w:jc w:val="center"/>
                                  <w:rPr>
                                    <w:color w:val="156082" w:themeColor="accent1"/>
                                    <w:sz w:val="26"/>
                                    <w:szCs w:val="26"/>
                                  </w:rPr>
                                </w:pPr>
                                <w:r w:rsidRPr="000F1637">
                                  <w:rPr>
                                    <w:color w:val="156082" w:themeColor="accent1"/>
                                    <w:sz w:val="26"/>
                                    <w:szCs w:val="26"/>
                                  </w:rPr>
                                  <w:t>Lecturer’s Name</w:t>
                                </w:r>
                                <w:r w:rsidR="000F1637" w:rsidRPr="000F1637">
                                  <w:rPr>
                                    <w:color w:val="156082" w:themeColor="accent1"/>
                                    <w:sz w:val="26"/>
                                    <w:szCs w:val="26"/>
                                  </w:rPr>
                                  <w:t xml:space="preserve">: </w:t>
                                </w:r>
                                <w:r w:rsidR="000F1637" w:rsidRPr="000F1637">
                                  <w:rPr>
                                    <w:color w:val="156082" w:themeColor="accent1"/>
                                    <w:sz w:val="26"/>
                                    <w:szCs w:val="26"/>
                                    <w:lang w:val="en-GB"/>
                                  </w:rPr>
                                  <w:t>Rizwan Nadim</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AA69010"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6950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0FFBAC8C" w14:textId="72D6856C" w:rsidR="003F0B5C" w:rsidRPr="000F1637" w:rsidRDefault="00165CDE" w:rsidP="000F1637">
                          <w:pPr>
                            <w:pStyle w:val="NoSpacing"/>
                            <w:spacing w:after="40" w:line="360" w:lineRule="auto"/>
                            <w:jc w:val="center"/>
                            <w:rPr>
                              <w:caps/>
                              <w:color w:val="156082" w:themeColor="accent1"/>
                              <w:sz w:val="32"/>
                              <w:szCs w:val="32"/>
                            </w:rPr>
                          </w:pPr>
                          <w:r w:rsidRPr="000F1637">
                            <w:rPr>
                              <w:caps/>
                              <w:color w:val="156082" w:themeColor="accent1"/>
                              <w:sz w:val="32"/>
                              <w:szCs w:val="32"/>
                            </w:rPr>
                            <w:t>Rim AbdulHamid</w:t>
                          </w:r>
                        </w:p>
                        <w:p w14:paraId="45172491" w14:textId="108C91D6" w:rsidR="003F0B5C" w:rsidRPr="000F1637" w:rsidRDefault="00165CDE" w:rsidP="000F1637">
                          <w:pPr>
                            <w:pStyle w:val="NoSpacing"/>
                            <w:spacing w:line="360" w:lineRule="auto"/>
                            <w:jc w:val="center"/>
                            <w:rPr>
                              <w:color w:val="156082" w:themeColor="accent1"/>
                              <w:sz w:val="26"/>
                              <w:szCs w:val="26"/>
                            </w:rPr>
                          </w:pPr>
                          <w:r w:rsidRPr="000F1637">
                            <w:rPr>
                              <w:caps/>
                              <w:color w:val="156082" w:themeColor="accent1"/>
                              <w:sz w:val="26"/>
                              <w:szCs w:val="26"/>
                            </w:rPr>
                            <w:t>Student no. 2321169</w:t>
                          </w:r>
                        </w:p>
                        <w:p w14:paraId="23E2A0E0" w14:textId="2E999728" w:rsidR="003F0B5C" w:rsidRPr="000F1637" w:rsidRDefault="00165CDE" w:rsidP="000F1637">
                          <w:pPr>
                            <w:pStyle w:val="NoSpacing"/>
                            <w:spacing w:line="360" w:lineRule="auto"/>
                            <w:jc w:val="center"/>
                            <w:rPr>
                              <w:color w:val="156082" w:themeColor="accent1"/>
                              <w:sz w:val="26"/>
                              <w:szCs w:val="26"/>
                            </w:rPr>
                          </w:pPr>
                          <w:r w:rsidRPr="000F1637">
                            <w:rPr>
                              <w:color w:val="156082" w:themeColor="accent1"/>
                              <w:sz w:val="26"/>
                              <w:szCs w:val="26"/>
                            </w:rPr>
                            <w:t>Lecturer’s Name</w:t>
                          </w:r>
                          <w:r w:rsidR="000F1637" w:rsidRPr="000F1637">
                            <w:rPr>
                              <w:color w:val="156082" w:themeColor="accent1"/>
                              <w:sz w:val="26"/>
                              <w:szCs w:val="26"/>
                            </w:rPr>
                            <w:t xml:space="preserve">: </w:t>
                          </w:r>
                          <w:r w:rsidR="000F1637" w:rsidRPr="000F1637">
                            <w:rPr>
                              <w:color w:val="156082" w:themeColor="accent1"/>
                              <w:sz w:val="26"/>
                              <w:szCs w:val="26"/>
                              <w:lang w:val="en-GB"/>
                            </w:rPr>
                            <w:t>Rizwan Nadim</w:t>
                          </w:r>
                        </w:p>
                      </w:txbxContent>
                    </v:textbox>
                    <w10:wrap anchorx="margin" anchory="page"/>
                  </v:shape>
                </w:pict>
              </mc:Fallback>
            </mc:AlternateContent>
          </w:r>
          <w:r>
            <w:rPr>
              <w:noProof/>
              <w:color w:val="156082" w:themeColor="accent1"/>
            </w:rPr>
            <w:drawing>
              <wp:inline distT="0" distB="0" distL="0" distR="0" wp14:anchorId="067A3E5B" wp14:editId="1AB6D413">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062B5DA" w14:textId="0B993B86" w:rsidR="003F0B5C" w:rsidRDefault="003F0B5C">
          <w:pPr>
            <w:rPr>
              <w:rFonts w:asciiTheme="majorHAnsi" w:eastAsiaTheme="majorEastAsia" w:hAnsiTheme="majorHAnsi" w:cstheme="majorBidi"/>
              <w:color w:val="0F4761" w:themeColor="accent1" w:themeShade="BF"/>
              <w:kern w:val="0"/>
              <w:sz w:val="32"/>
              <w:szCs w:val="32"/>
              <w:lang w:val="en-US"/>
              <w14:ligatures w14:val="none"/>
            </w:rPr>
          </w:pPr>
          <w:r>
            <w:br w:type="page"/>
          </w:r>
        </w:p>
      </w:sdtContent>
    </w:sdt>
    <w:sdt>
      <w:sdtPr>
        <w:id w:val="1210615419"/>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17C024AC" w14:textId="3C3A3727" w:rsidR="003F0B5C" w:rsidRDefault="003F0B5C">
          <w:pPr>
            <w:pStyle w:val="TOCHeading"/>
          </w:pPr>
          <w:r>
            <w:t>Contents</w:t>
          </w:r>
        </w:p>
        <w:p w14:paraId="524B6C75" w14:textId="07C5337C" w:rsidR="003F0B5C" w:rsidRDefault="003F0B5C">
          <w:pPr>
            <w:pStyle w:val="TOC1"/>
            <w:tabs>
              <w:tab w:val="right" w:leader="dot" w:pos="9016"/>
            </w:tabs>
            <w:rPr>
              <w:noProof/>
            </w:rPr>
          </w:pPr>
          <w:r>
            <w:fldChar w:fldCharType="begin"/>
          </w:r>
          <w:r>
            <w:instrText xml:space="preserve"> TOC \o "1-3" \h \z \u </w:instrText>
          </w:r>
          <w:r>
            <w:fldChar w:fldCharType="separate"/>
          </w:r>
          <w:hyperlink w:anchor="_Toc212487453" w:history="1">
            <w:r w:rsidRPr="00985E9C">
              <w:rPr>
                <w:rStyle w:val="Hyperlink"/>
                <w:noProof/>
              </w:rPr>
              <w:t>Introduction</w:t>
            </w:r>
            <w:r>
              <w:rPr>
                <w:noProof/>
                <w:webHidden/>
              </w:rPr>
              <w:tab/>
            </w:r>
            <w:r>
              <w:rPr>
                <w:noProof/>
                <w:webHidden/>
              </w:rPr>
              <w:fldChar w:fldCharType="begin"/>
            </w:r>
            <w:r>
              <w:rPr>
                <w:noProof/>
                <w:webHidden/>
              </w:rPr>
              <w:instrText xml:space="preserve"> PAGEREF _Toc212487453 \h </w:instrText>
            </w:r>
            <w:r>
              <w:rPr>
                <w:noProof/>
                <w:webHidden/>
              </w:rPr>
            </w:r>
            <w:r>
              <w:rPr>
                <w:noProof/>
                <w:webHidden/>
              </w:rPr>
              <w:fldChar w:fldCharType="separate"/>
            </w:r>
            <w:r>
              <w:rPr>
                <w:noProof/>
                <w:webHidden/>
              </w:rPr>
              <w:t>2</w:t>
            </w:r>
            <w:r>
              <w:rPr>
                <w:noProof/>
                <w:webHidden/>
              </w:rPr>
              <w:fldChar w:fldCharType="end"/>
            </w:r>
          </w:hyperlink>
        </w:p>
        <w:p w14:paraId="328C9F3E" w14:textId="59C0C14C" w:rsidR="003F0B5C" w:rsidRDefault="003F0B5C">
          <w:pPr>
            <w:pStyle w:val="TOC1"/>
            <w:tabs>
              <w:tab w:val="right" w:leader="dot" w:pos="9016"/>
            </w:tabs>
            <w:rPr>
              <w:noProof/>
            </w:rPr>
          </w:pPr>
          <w:hyperlink w:anchor="_Toc212487454" w:history="1">
            <w:r w:rsidRPr="00985E9C">
              <w:rPr>
                <w:rStyle w:val="Hyperlink"/>
                <w:noProof/>
              </w:rPr>
              <w:t>Background</w:t>
            </w:r>
            <w:r>
              <w:rPr>
                <w:noProof/>
                <w:webHidden/>
              </w:rPr>
              <w:tab/>
            </w:r>
            <w:r>
              <w:rPr>
                <w:noProof/>
                <w:webHidden/>
              </w:rPr>
              <w:fldChar w:fldCharType="begin"/>
            </w:r>
            <w:r>
              <w:rPr>
                <w:noProof/>
                <w:webHidden/>
              </w:rPr>
              <w:instrText xml:space="preserve"> PAGEREF _Toc212487454 \h </w:instrText>
            </w:r>
            <w:r>
              <w:rPr>
                <w:noProof/>
                <w:webHidden/>
              </w:rPr>
            </w:r>
            <w:r>
              <w:rPr>
                <w:noProof/>
                <w:webHidden/>
              </w:rPr>
              <w:fldChar w:fldCharType="separate"/>
            </w:r>
            <w:r>
              <w:rPr>
                <w:noProof/>
                <w:webHidden/>
              </w:rPr>
              <w:t>3</w:t>
            </w:r>
            <w:r>
              <w:rPr>
                <w:noProof/>
                <w:webHidden/>
              </w:rPr>
              <w:fldChar w:fldCharType="end"/>
            </w:r>
          </w:hyperlink>
        </w:p>
        <w:p w14:paraId="57C5E616" w14:textId="51DA3EEE" w:rsidR="003F0B5C" w:rsidRDefault="003F0B5C">
          <w:pPr>
            <w:pStyle w:val="TOC2"/>
            <w:tabs>
              <w:tab w:val="right" w:leader="dot" w:pos="9016"/>
            </w:tabs>
            <w:rPr>
              <w:noProof/>
            </w:rPr>
          </w:pPr>
          <w:hyperlink w:anchor="_Toc212487455" w:history="1">
            <w:r w:rsidRPr="00985E9C">
              <w:rPr>
                <w:rStyle w:val="Hyperlink"/>
                <w:noProof/>
              </w:rPr>
              <w:t>UK dementia statistics, prevalence, and burden.</w:t>
            </w:r>
            <w:r>
              <w:rPr>
                <w:noProof/>
                <w:webHidden/>
              </w:rPr>
              <w:tab/>
            </w:r>
            <w:r>
              <w:rPr>
                <w:noProof/>
                <w:webHidden/>
              </w:rPr>
              <w:fldChar w:fldCharType="begin"/>
            </w:r>
            <w:r>
              <w:rPr>
                <w:noProof/>
                <w:webHidden/>
              </w:rPr>
              <w:instrText xml:space="preserve"> PAGEREF _Toc212487455 \h </w:instrText>
            </w:r>
            <w:r>
              <w:rPr>
                <w:noProof/>
                <w:webHidden/>
              </w:rPr>
            </w:r>
            <w:r>
              <w:rPr>
                <w:noProof/>
                <w:webHidden/>
              </w:rPr>
              <w:fldChar w:fldCharType="separate"/>
            </w:r>
            <w:r>
              <w:rPr>
                <w:noProof/>
                <w:webHidden/>
              </w:rPr>
              <w:t>3</w:t>
            </w:r>
            <w:r>
              <w:rPr>
                <w:noProof/>
                <w:webHidden/>
              </w:rPr>
              <w:fldChar w:fldCharType="end"/>
            </w:r>
          </w:hyperlink>
        </w:p>
        <w:p w14:paraId="5E18CEA7" w14:textId="58A718A8" w:rsidR="003F0B5C" w:rsidRDefault="003F0B5C">
          <w:pPr>
            <w:pStyle w:val="TOC2"/>
            <w:tabs>
              <w:tab w:val="right" w:leader="dot" w:pos="9016"/>
            </w:tabs>
            <w:rPr>
              <w:noProof/>
            </w:rPr>
          </w:pPr>
          <w:hyperlink w:anchor="_Toc212487456" w:history="1">
            <w:r w:rsidRPr="00985E9C">
              <w:rPr>
                <w:rStyle w:val="Hyperlink"/>
                <w:noProof/>
              </w:rPr>
              <w:t>National strategies, policies and guidance.</w:t>
            </w:r>
            <w:r>
              <w:rPr>
                <w:noProof/>
                <w:webHidden/>
              </w:rPr>
              <w:tab/>
            </w:r>
            <w:r>
              <w:rPr>
                <w:noProof/>
                <w:webHidden/>
              </w:rPr>
              <w:fldChar w:fldCharType="begin"/>
            </w:r>
            <w:r>
              <w:rPr>
                <w:noProof/>
                <w:webHidden/>
              </w:rPr>
              <w:instrText xml:space="preserve"> PAGEREF _Toc212487456 \h </w:instrText>
            </w:r>
            <w:r>
              <w:rPr>
                <w:noProof/>
                <w:webHidden/>
              </w:rPr>
            </w:r>
            <w:r>
              <w:rPr>
                <w:noProof/>
                <w:webHidden/>
              </w:rPr>
              <w:fldChar w:fldCharType="separate"/>
            </w:r>
            <w:r>
              <w:rPr>
                <w:noProof/>
                <w:webHidden/>
              </w:rPr>
              <w:t>3</w:t>
            </w:r>
            <w:r>
              <w:rPr>
                <w:noProof/>
                <w:webHidden/>
              </w:rPr>
              <w:fldChar w:fldCharType="end"/>
            </w:r>
          </w:hyperlink>
        </w:p>
        <w:p w14:paraId="78BCD5C0" w14:textId="7E533117" w:rsidR="003F0B5C" w:rsidRDefault="003F0B5C">
          <w:pPr>
            <w:pStyle w:val="TOC2"/>
            <w:tabs>
              <w:tab w:val="right" w:leader="dot" w:pos="9016"/>
            </w:tabs>
            <w:rPr>
              <w:noProof/>
            </w:rPr>
          </w:pPr>
          <w:hyperlink w:anchor="_Toc212487457" w:history="1">
            <w:r w:rsidRPr="00985E9C">
              <w:rPr>
                <w:rStyle w:val="Hyperlink"/>
                <w:noProof/>
              </w:rPr>
              <w:t>Community-based services</w:t>
            </w:r>
            <w:r>
              <w:rPr>
                <w:noProof/>
                <w:webHidden/>
              </w:rPr>
              <w:tab/>
            </w:r>
            <w:r>
              <w:rPr>
                <w:noProof/>
                <w:webHidden/>
              </w:rPr>
              <w:fldChar w:fldCharType="begin"/>
            </w:r>
            <w:r>
              <w:rPr>
                <w:noProof/>
                <w:webHidden/>
              </w:rPr>
              <w:instrText xml:space="preserve"> PAGEREF _Toc212487457 \h </w:instrText>
            </w:r>
            <w:r>
              <w:rPr>
                <w:noProof/>
                <w:webHidden/>
              </w:rPr>
            </w:r>
            <w:r>
              <w:rPr>
                <w:noProof/>
                <w:webHidden/>
              </w:rPr>
              <w:fldChar w:fldCharType="separate"/>
            </w:r>
            <w:r>
              <w:rPr>
                <w:noProof/>
                <w:webHidden/>
              </w:rPr>
              <w:t>3</w:t>
            </w:r>
            <w:r>
              <w:rPr>
                <w:noProof/>
                <w:webHidden/>
              </w:rPr>
              <w:fldChar w:fldCharType="end"/>
            </w:r>
          </w:hyperlink>
        </w:p>
        <w:p w14:paraId="7F6114F7" w14:textId="0CB3C99C" w:rsidR="003F0B5C" w:rsidRDefault="003F0B5C">
          <w:pPr>
            <w:pStyle w:val="TOC1"/>
            <w:tabs>
              <w:tab w:val="right" w:leader="dot" w:pos="9016"/>
            </w:tabs>
            <w:rPr>
              <w:noProof/>
            </w:rPr>
          </w:pPr>
          <w:hyperlink w:anchor="_Toc212487458" w:history="1">
            <w:r w:rsidRPr="00985E9C">
              <w:rPr>
                <w:rStyle w:val="Hyperlink"/>
                <w:noProof/>
              </w:rPr>
              <w:t>Methods</w:t>
            </w:r>
            <w:r>
              <w:rPr>
                <w:noProof/>
                <w:webHidden/>
              </w:rPr>
              <w:tab/>
            </w:r>
            <w:r>
              <w:rPr>
                <w:noProof/>
                <w:webHidden/>
              </w:rPr>
              <w:fldChar w:fldCharType="begin"/>
            </w:r>
            <w:r>
              <w:rPr>
                <w:noProof/>
                <w:webHidden/>
              </w:rPr>
              <w:instrText xml:space="preserve"> PAGEREF _Toc212487458 \h </w:instrText>
            </w:r>
            <w:r>
              <w:rPr>
                <w:noProof/>
                <w:webHidden/>
              </w:rPr>
            </w:r>
            <w:r>
              <w:rPr>
                <w:noProof/>
                <w:webHidden/>
              </w:rPr>
              <w:fldChar w:fldCharType="separate"/>
            </w:r>
            <w:r>
              <w:rPr>
                <w:noProof/>
                <w:webHidden/>
              </w:rPr>
              <w:t>5</w:t>
            </w:r>
            <w:r>
              <w:rPr>
                <w:noProof/>
                <w:webHidden/>
              </w:rPr>
              <w:fldChar w:fldCharType="end"/>
            </w:r>
          </w:hyperlink>
        </w:p>
        <w:p w14:paraId="4A6E4F6D" w14:textId="7F99629E" w:rsidR="003F0B5C" w:rsidRDefault="003F0B5C">
          <w:pPr>
            <w:pStyle w:val="TOC2"/>
            <w:tabs>
              <w:tab w:val="right" w:leader="dot" w:pos="9016"/>
            </w:tabs>
            <w:rPr>
              <w:noProof/>
            </w:rPr>
          </w:pPr>
          <w:hyperlink w:anchor="_Toc212487459" w:history="1">
            <w:r w:rsidRPr="00985E9C">
              <w:rPr>
                <w:rStyle w:val="Hyperlink"/>
                <w:noProof/>
              </w:rPr>
              <w:t>Databases searched.</w:t>
            </w:r>
            <w:r>
              <w:rPr>
                <w:noProof/>
                <w:webHidden/>
              </w:rPr>
              <w:tab/>
            </w:r>
            <w:r>
              <w:rPr>
                <w:noProof/>
                <w:webHidden/>
              </w:rPr>
              <w:fldChar w:fldCharType="begin"/>
            </w:r>
            <w:r>
              <w:rPr>
                <w:noProof/>
                <w:webHidden/>
              </w:rPr>
              <w:instrText xml:space="preserve"> PAGEREF _Toc212487459 \h </w:instrText>
            </w:r>
            <w:r>
              <w:rPr>
                <w:noProof/>
                <w:webHidden/>
              </w:rPr>
            </w:r>
            <w:r>
              <w:rPr>
                <w:noProof/>
                <w:webHidden/>
              </w:rPr>
              <w:fldChar w:fldCharType="separate"/>
            </w:r>
            <w:r>
              <w:rPr>
                <w:noProof/>
                <w:webHidden/>
              </w:rPr>
              <w:t>5</w:t>
            </w:r>
            <w:r>
              <w:rPr>
                <w:noProof/>
                <w:webHidden/>
              </w:rPr>
              <w:fldChar w:fldCharType="end"/>
            </w:r>
          </w:hyperlink>
        </w:p>
        <w:p w14:paraId="04E9E0A4" w14:textId="72F85BC2" w:rsidR="003F0B5C" w:rsidRDefault="003F0B5C">
          <w:pPr>
            <w:pStyle w:val="TOC2"/>
            <w:tabs>
              <w:tab w:val="right" w:leader="dot" w:pos="9016"/>
            </w:tabs>
            <w:rPr>
              <w:noProof/>
            </w:rPr>
          </w:pPr>
          <w:hyperlink w:anchor="_Toc212487460" w:history="1">
            <w:r w:rsidRPr="00985E9C">
              <w:rPr>
                <w:rStyle w:val="Hyperlink"/>
                <w:noProof/>
              </w:rPr>
              <w:t>Search strategy.</w:t>
            </w:r>
            <w:r>
              <w:rPr>
                <w:noProof/>
                <w:webHidden/>
              </w:rPr>
              <w:tab/>
            </w:r>
            <w:r>
              <w:rPr>
                <w:noProof/>
                <w:webHidden/>
              </w:rPr>
              <w:fldChar w:fldCharType="begin"/>
            </w:r>
            <w:r>
              <w:rPr>
                <w:noProof/>
                <w:webHidden/>
              </w:rPr>
              <w:instrText xml:space="preserve"> PAGEREF _Toc212487460 \h </w:instrText>
            </w:r>
            <w:r>
              <w:rPr>
                <w:noProof/>
                <w:webHidden/>
              </w:rPr>
            </w:r>
            <w:r>
              <w:rPr>
                <w:noProof/>
                <w:webHidden/>
              </w:rPr>
              <w:fldChar w:fldCharType="separate"/>
            </w:r>
            <w:r>
              <w:rPr>
                <w:noProof/>
                <w:webHidden/>
              </w:rPr>
              <w:t>6</w:t>
            </w:r>
            <w:r>
              <w:rPr>
                <w:noProof/>
                <w:webHidden/>
              </w:rPr>
              <w:fldChar w:fldCharType="end"/>
            </w:r>
          </w:hyperlink>
        </w:p>
        <w:p w14:paraId="1B5BB777" w14:textId="3A50244E" w:rsidR="003F0B5C" w:rsidRDefault="003F0B5C">
          <w:pPr>
            <w:pStyle w:val="TOC2"/>
            <w:tabs>
              <w:tab w:val="right" w:leader="dot" w:pos="9016"/>
            </w:tabs>
            <w:rPr>
              <w:noProof/>
            </w:rPr>
          </w:pPr>
          <w:hyperlink w:anchor="_Toc212487461" w:history="1">
            <w:r w:rsidRPr="00985E9C">
              <w:rPr>
                <w:rStyle w:val="Hyperlink"/>
                <w:noProof/>
              </w:rPr>
              <w:t>Inclusion and exclusion criteria.</w:t>
            </w:r>
            <w:r>
              <w:rPr>
                <w:noProof/>
                <w:webHidden/>
              </w:rPr>
              <w:tab/>
            </w:r>
            <w:r>
              <w:rPr>
                <w:noProof/>
                <w:webHidden/>
              </w:rPr>
              <w:fldChar w:fldCharType="begin"/>
            </w:r>
            <w:r>
              <w:rPr>
                <w:noProof/>
                <w:webHidden/>
              </w:rPr>
              <w:instrText xml:space="preserve"> PAGEREF _Toc212487461 \h </w:instrText>
            </w:r>
            <w:r>
              <w:rPr>
                <w:noProof/>
                <w:webHidden/>
              </w:rPr>
            </w:r>
            <w:r>
              <w:rPr>
                <w:noProof/>
                <w:webHidden/>
              </w:rPr>
              <w:fldChar w:fldCharType="separate"/>
            </w:r>
            <w:r>
              <w:rPr>
                <w:noProof/>
                <w:webHidden/>
              </w:rPr>
              <w:t>6</w:t>
            </w:r>
            <w:r>
              <w:rPr>
                <w:noProof/>
                <w:webHidden/>
              </w:rPr>
              <w:fldChar w:fldCharType="end"/>
            </w:r>
          </w:hyperlink>
        </w:p>
        <w:p w14:paraId="289A1970" w14:textId="65EEA20B" w:rsidR="003F0B5C" w:rsidRDefault="003F0B5C">
          <w:pPr>
            <w:pStyle w:val="TOC2"/>
            <w:tabs>
              <w:tab w:val="right" w:leader="dot" w:pos="9016"/>
            </w:tabs>
            <w:rPr>
              <w:noProof/>
            </w:rPr>
          </w:pPr>
          <w:hyperlink w:anchor="_Toc212487462" w:history="1">
            <w:r w:rsidRPr="00985E9C">
              <w:rPr>
                <w:rStyle w:val="Hyperlink"/>
                <w:noProof/>
              </w:rPr>
              <w:t>Data charting and analysis.</w:t>
            </w:r>
            <w:r>
              <w:rPr>
                <w:noProof/>
                <w:webHidden/>
              </w:rPr>
              <w:tab/>
            </w:r>
            <w:r>
              <w:rPr>
                <w:noProof/>
                <w:webHidden/>
              </w:rPr>
              <w:fldChar w:fldCharType="begin"/>
            </w:r>
            <w:r>
              <w:rPr>
                <w:noProof/>
                <w:webHidden/>
              </w:rPr>
              <w:instrText xml:space="preserve"> PAGEREF _Toc212487462 \h </w:instrText>
            </w:r>
            <w:r>
              <w:rPr>
                <w:noProof/>
                <w:webHidden/>
              </w:rPr>
            </w:r>
            <w:r>
              <w:rPr>
                <w:noProof/>
                <w:webHidden/>
              </w:rPr>
              <w:fldChar w:fldCharType="separate"/>
            </w:r>
            <w:r>
              <w:rPr>
                <w:noProof/>
                <w:webHidden/>
              </w:rPr>
              <w:t>7</w:t>
            </w:r>
            <w:r>
              <w:rPr>
                <w:noProof/>
                <w:webHidden/>
              </w:rPr>
              <w:fldChar w:fldCharType="end"/>
            </w:r>
          </w:hyperlink>
        </w:p>
        <w:p w14:paraId="3ACEA2EC" w14:textId="2FE257A0" w:rsidR="003F0B5C" w:rsidRDefault="003F0B5C">
          <w:pPr>
            <w:pStyle w:val="TOC2"/>
            <w:tabs>
              <w:tab w:val="right" w:leader="dot" w:pos="9016"/>
            </w:tabs>
            <w:rPr>
              <w:noProof/>
            </w:rPr>
          </w:pPr>
          <w:hyperlink w:anchor="_Toc212487463" w:history="1">
            <w:r w:rsidRPr="00985E9C">
              <w:rPr>
                <w:rStyle w:val="Hyperlink"/>
                <w:noProof/>
              </w:rPr>
              <w:t>Ethical considerations.</w:t>
            </w:r>
            <w:r>
              <w:rPr>
                <w:noProof/>
                <w:webHidden/>
              </w:rPr>
              <w:tab/>
            </w:r>
            <w:r>
              <w:rPr>
                <w:noProof/>
                <w:webHidden/>
              </w:rPr>
              <w:fldChar w:fldCharType="begin"/>
            </w:r>
            <w:r>
              <w:rPr>
                <w:noProof/>
                <w:webHidden/>
              </w:rPr>
              <w:instrText xml:space="preserve"> PAGEREF _Toc212487463 \h </w:instrText>
            </w:r>
            <w:r>
              <w:rPr>
                <w:noProof/>
                <w:webHidden/>
              </w:rPr>
            </w:r>
            <w:r>
              <w:rPr>
                <w:noProof/>
                <w:webHidden/>
              </w:rPr>
              <w:fldChar w:fldCharType="separate"/>
            </w:r>
            <w:r>
              <w:rPr>
                <w:noProof/>
                <w:webHidden/>
              </w:rPr>
              <w:t>8</w:t>
            </w:r>
            <w:r>
              <w:rPr>
                <w:noProof/>
                <w:webHidden/>
              </w:rPr>
              <w:fldChar w:fldCharType="end"/>
            </w:r>
          </w:hyperlink>
        </w:p>
        <w:p w14:paraId="244D0B48" w14:textId="0610225F" w:rsidR="003F0B5C" w:rsidRDefault="003F0B5C">
          <w:pPr>
            <w:pStyle w:val="TOC1"/>
            <w:tabs>
              <w:tab w:val="right" w:leader="dot" w:pos="9016"/>
            </w:tabs>
            <w:rPr>
              <w:noProof/>
            </w:rPr>
          </w:pPr>
          <w:hyperlink w:anchor="_Toc212487464" w:history="1">
            <w:r w:rsidRPr="00985E9C">
              <w:rPr>
                <w:rStyle w:val="Hyperlink"/>
                <w:noProof/>
              </w:rPr>
              <w:t>Results</w:t>
            </w:r>
            <w:r>
              <w:rPr>
                <w:noProof/>
                <w:webHidden/>
              </w:rPr>
              <w:tab/>
            </w:r>
            <w:r>
              <w:rPr>
                <w:noProof/>
                <w:webHidden/>
              </w:rPr>
              <w:fldChar w:fldCharType="begin"/>
            </w:r>
            <w:r>
              <w:rPr>
                <w:noProof/>
                <w:webHidden/>
              </w:rPr>
              <w:instrText xml:space="preserve"> PAGEREF _Toc212487464 \h </w:instrText>
            </w:r>
            <w:r>
              <w:rPr>
                <w:noProof/>
                <w:webHidden/>
              </w:rPr>
            </w:r>
            <w:r>
              <w:rPr>
                <w:noProof/>
                <w:webHidden/>
              </w:rPr>
              <w:fldChar w:fldCharType="separate"/>
            </w:r>
            <w:r>
              <w:rPr>
                <w:noProof/>
                <w:webHidden/>
              </w:rPr>
              <w:t>8</w:t>
            </w:r>
            <w:r>
              <w:rPr>
                <w:noProof/>
                <w:webHidden/>
              </w:rPr>
              <w:fldChar w:fldCharType="end"/>
            </w:r>
          </w:hyperlink>
        </w:p>
        <w:p w14:paraId="3AB690F0" w14:textId="7B2C383F" w:rsidR="003F0B5C" w:rsidRDefault="003F0B5C">
          <w:pPr>
            <w:pStyle w:val="TOC2"/>
            <w:tabs>
              <w:tab w:val="right" w:leader="dot" w:pos="9016"/>
            </w:tabs>
            <w:rPr>
              <w:noProof/>
            </w:rPr>
          </w:pPr>
          <w:hyperlink w:anchor="_Toc212487465" w:history="1">
            <w:r w:rsidRPr="00985E9C">
              <w:rPr>
                <w:rStyle w:val="Hyperlink"/>
                <w:noProof/>
              </w:rPr>
              <w:t>Table 1. Summary of included studies</w:t>
            </w:r>
            <w:r>
              <w:rPr>
                <w:noProof/>
                <w:webHidden/>
              </w:rPr>
              <w:tab/>
            </w:r>
            <w:r>
              <w:rPr>
                <w:noProof/>
                <w:webHidden/>
              </w:rPr>
              <w:fldChar w:fldCharType="begin"/>
            </w:r>
            <w:r>
              <w:rPr>
                <w:noProof/>
                <w:webHidden/>
              </w:rPr>
              <w:instrText xml:space="preserve"> PAGEREF _Toc212487465 \h </w:instrText>
            </w:r>
            <w:r>
              <w:rPr>
                <w:noProof/>
                <w:webHidden/>
              </w:rPr>
            </w:r>
            <w:r>
              <w:rPr>
                <w:noProof/>
                <w:webHidden/>
              </w:rPr>
              <w:fldChar w:fldCharType="separate"/>
            </w:r>
            <w:r>
              <w:rPr>
                <w:noProof/>
                <w:webHidden/>
              </w:rPr>
              <w:t>8</w:t>
            </w:r>
            <w:r>
              <w:rPr>
                <w:noProof/>
                <w:webHidden/>
              </w:rPr>
              <w:fldChar w:fldCharType="end"/>
            </w:r>
          </w:hyperlink>
        </w:p>
        <w:p w14:paraId="08E3217B" w14:textId="68050095" w:rsidR="003F0B5C" w:rsidRDefault="003F0B5C">
          <w:pPr>
            <w:pStyle w:val="TOC2"/>
            <w:tabs>
              <w:tab w:val="right" w:leader="dot" w:pos="9016"/>
            </w:tabs>
            <w:rPr>
              <w:noProof/>
            </w:rPr>
          </w:pPr>
          <w:hyperlink w:anchor="_Toc212487466" w:history="1">
            <w:r w:rsidRPr="00985E9C">
              <w:rPr>
                <w:rStyle w:val="Hyperlink"/>
                <w:noProof/>
              </w:rPr>
              <w:t>Emerging Themes</w:t>
            </w:r>
            <w:r>
              <w:rPr>
                <w:noProof/>
                <w:webHidden/>
              </w:rPr>
              <w:tab/>
            </w:r>
            <w:r>
              <w:rPr>
                <w:noProof/>
                <w:webHidden/>
              </w:rPr>
              <w:fldChar w:fldCharType="begin"/>
            </w:r>
            <w:r>
              <w:rPr>
                <w:noProof/>
                <w:webHidden/>
              </w:rPr>
              <w:instrText xml:space="preserve"> PAGEREF _Toc212487466 \h </w:instrText>
            </w:r>
            <w:r>
              <w:rPr>
                <w:noProof/>
                <w:webHidden/>
              </w:rPr>
            </w:r>
            <w:r>
              <w:rPr>
                <w:noProof/>
                <w:webHidden/>
              </w:rPr>
              <w:fldChar w:fldCharType="separate"/>
            </w:r>
            <w:r>
              <w:rPr>
                <w:noProof/>
                <w:webHidden/>
              </w:rPr>
              <w:t>10</w:t>
            </w:r>
            <w:r>
              <w:rPr>
                <w:noProof/>
                <w:webHidden/>
              </w:rPr>
              <w:fldChar w:fldCharType="end"/>
            </w:r>
          </w:hyperlink>
        </w:p>
        <w:p w14:paraId="0C881A71" w14:textId="11264022" w:rsidR="003F0B5C" w:rsidRDefault="003F0B5C">
          <w:pPr>
            <w:pStyle w:val="TOC3"/>
            <w:tabs>
              <w:tab w:val="right" w:leader="dot" w:pos="9016"/>
            </w:tabs>
            <w:rPr>
              <w:noProof/>
            </w:rPr>
          </w:pPr>
          <w:hyperlink w:anchor="_Toc212487467" w:history="1">
            <w:r w:rsidRPr="00985E9C">
              <w:rPr>
                <w:rStyle w:val="Hyperlink"/>
                <w:noProof/>
              </w:rPr>
              <w:t>1. Reducing loneliness and promoting social connection</w:t>
            </w:r>
            <w:r>
              <w:rPr>
                <w:noProof/>
                <w:webHidden/>
              </w:rPr>
              <w:tab/>
            </w:r>
            <w:r>
              <w:rPr>
                <w:noProof/>
                <w:webHidden/>
              </w:rPr>
              <w:fldChar w:fldCharType="begin"/>
            </w:r>
            <w:r>
              <w:rPr>
                <w:noProof/>
                <w:webHidden/>
              </w:rPr>
              <w:instrText xml:space="preserve"> PAGEREF _Toc212487467 \h </w:instrText>
            </w:r>
            <w:r>
              <w:rPr>
                <w:noProof/>
                <w:webHidden/>
              </w:rPr>
            </w:r>
            <w:r>
              <w:rPr>
                <w:noProof/>
                <w:webHidden/>
              </w:rPr>
              <w:fldChar w:fldCharType="separate"/>
            </w:r>
            <w:r>
              <w:rPr>
                <w:noProof/>
                <w:webHidden/>
              </w:rPr>
              <w:t>10</w:t>
            </w:r>
            <w:r>
              <w:rPr>
                <w:noProof/>
                <w:webHidden/>
              </w:rPr>
              <w:fldChar w:fldCharType="end"/>
            </w:r>
          </w:hyperlink>
        </w:p>
        <w:p w14:paraId="5C6B21B6" w14:textId="0A9763F9" w:rsidR="003F0B5C" w:rsidRDefault="003F0B5C">
          <w:pPr>
            <w:pStyle w:val="TOC3"/>
            <w:tabs>
              <w:tab w:val="right" w:leader="dot" w:pos="9016"/>
            </w:tabs>
            <w:rPr>
              <w:noProof/>
            </w:rPr>
          </w:pPr>
          <w:hyperlink w:anchor="_Toc212487468" w:history="1">
            <w:r w:rsidRPr="00985E9C">
              <w:rPr>
                <w:rStyle w:val="Hyperlink"/>
                <w:noProof/>
              </w:rPr>
              <w:t>2. Improving wellbeing and emotional health</w:t>
            </w:r>
            <w:r>
              <w:rPr>
                <w:noProof/>
                <w:webHidden/>
              </w:rPr>
              <w:tab/>
            </w:r>
            <w:r>
              <w:rPr>
                <w:noProof/>
                <w:webHidden/>
              </w:rPr>
              <w:fldChar w:fldCharType="begin"/>
            </w:r>
            <w:r>
              <w:rPr>
                <w:noProof/>
                <w:webHidden/>
              </w:rPr>
              <w:instrText xml:space="preserve"> PAGEREF _Toc212487468 \h </w:instrText>
            </w:r>
            <w:r>
              <w:rPr>
                <w:noProof/>
                <w:webHidden/>
              </w:rPr>
            </w:r>
            <w:r>
              <w:rPr>
                <w:noProof/>
                <w:webHidden/>
              </w:rPr>
              <w:fldChar w:fldCharType="separate"/>
            </w:r>
            <w:r>
              <w:rPr>
                <w:noProof/>
                <w:webHidden/>
              </w:rPr>
              <w:t>10</w:t>
            </w:r>
            <w:r>
              <w:rPr>
                <w:noProof/>
                <w:webHidden/>
              </w:rPr>
              <w:fldChar w:fldCharType="end"/>
            </w:r>
          </w:hyperlink>
        </w:p>
        <w:p w14:paraId="14F939F5" w14:textId="5C510285" w:rsidR="003F0B5C" w:rsidRDefault="003F0B5C">
          <w:pPr>
            <w:pStyle w:val="TOC3"/>
            <w:tabs>
              <w:tab w:val="right" w:leader="dot" w:pos="9016"/>
            </w:tabs>
            <w:rPr>
              <w:noProof/>
            </w:rPr>
          </w:pPr>
          <w:hyperlink w:anchor="_Toc212487469" w:history="1">
            <w:r w:rsidRPr="00985E9C">
              <w:rPr>
                <w:rStyle w:val="Hyperlink"/>
                <w:noProof/>
              </w:rPr>
              <w:t>3. Challenges of access and inequalities</w:t>
            </w:r>
            <w:r>
              <w:rPr>
                <w:noProof/>
                <w:webHidden/>
              </w:rPr>
              <w:tab/>
            </w:r>
            <w:r>
              <w:rPr>
                <w:noProof/>
                <w:webHidden/>
              </w:rPr>
              <w:fldChar w:fldCharType="begin"/>
            </w:r>
            <w:r>
              <w:rPr>
                <w:noProof/>
                <w:webHidden/>
              </w:rPr>
              <w:instrText xml:space="preserve"> PAGEREF _Toc212487469 \h </w:instrText>
            </w:r>
            <w:r>
              <w:rPr>
                <w:noProof/>
                <w:webHidden/>
              </w:rPr>
            </w:r>
            <w:r>
              <w:rPr>
                <w:noProof/>
                <w:webHidden/>
              </w:rPr>
              <w:fldChar w:fldCharType="separate"/>
            </w:r>
            <w:r>
              <w:rPr>
                <w:noProof/>
                <w:webHidden/>
              </w:rPr>
              <w:t>10</w:t>
            </w:r>
            <w:r>
              <w:rPr>
                <w:noProof/>
                <w:webHidden/>
              </w:rPr>
              <w:fldChar w:fldCharType="end"/>
            </w:r>
          </w:hyperlink>
        </w:p>
        <w:p w14:paraId="383122A1" w14:textId="1C164653" w:rsidR="003F0B5C" w:rsidRDefault="003F0B5C">
          <w:pPr>
            <w:pStyle w:val="TOC3"/>
            <w:tabs>
              <w:tab w:val="right" w:leader="dot" w:pos="9016"/>
            </w:tabs>
            <w:rPr>
              <w:noProof/>
            </w:rPr>
          </w:pPr>
          <w:hyperlink w:anchor="_Toc212487470" w:history="1">
            <w:r w:rsidRPr="00985E9C">
              <w:rPr>
                <w:rStyle w:val="Hyperlink"/>
                <w:noProof/>
              </w:rPr>
              <w:t>4. Value for carers and families</w:t>
            </w:r>
            <w:r>
              <w:rPr>
                <w:noProof/>
                <w:webHidden/>
              </w:rPr>
              <w:tab/>
            </w:r>
            <w:r>
              <w:rPr>
                <w:noProof/>
                <w:webHidden/>
              </w:rPr>
              <w:fldChar w:fldCharType="begin"/>
            </w:r>
            <w:r>
              <w:rPr>
                <w:noProof/>
                <w:webHidden/>
              </w:rPr>
              <w:instrText xml:space="preserve"> PAGEREF _Toc212487470 \h </w:instrText>
            </w:r>
            <w:r>
              <w:rPr>
                <w:noProof/>
                <w:webHidden/>
              </w:rPr>
            </w:r>
            <w:r>
              <w:rPr>
                <w:noProof/>
                <w:webHidden/>
              </w:rPr>
              <w:fldChar w:fldCharType="separate"/>
            </w:r>
            <w:r>
              <w:rPr>
                <w:noProof/>
                <w:webHidden/>
              </w:rPr>
              <w:t>11</w:t>
            </w:r>
            <w:r>
              <w:rPr>
                <w:noProof/>
                <w:webHidden/>
              </w:rPr>
              <w:fldChar w:fldCharType="end"/>
            </w:r>
          </w:hyperlink>
        </w:p>
        <w:p w14:paraId="500A3DEC" w14:textId="6C0A6C76" w:rsidR="003F0B5C" w:rsidRDefault="003F0B5C">
          <w:pPr>
            <w:pStyle w:val="TOC3"/>
            <w:tabs>
              <w:tab w:val="right" w:leader="dot" w:pos="9016"/>
            </w:tabs>
            <w:rPr>
              <w:noProof/>
            </w:rPr>
          </w:pPr>
          <w:hyperlink w:anchor="_Toc212487471" w:history="1">
            <w:r w:rsidRPr="00985E9C">
              <w:rPr>
                <w:rStyle w:val="Hyperlink"/>
                <w:noProof/>
              </w:rPr>
              <w:t>5. Limitations and gaps in evidence</w:t>
            </w:r>
            <w:r>
              <w:rPr>
                <w:noProof/>
                <w:webHidden/>
              </w:rPr>
              <w:tab/>
            </w:r>
            <w:r>
              <w:rPr>
                <w:noProof/>
                <w:webHidden/>
              </w:rPr>
              <w:fldChar w:fldCharType="begin"/>
            </w:r>
            <w:r>
              <w:rPr>
                <w:noProof/>
                <w:webHidden/>
              </w:rPr>
              <w:instrText xml:space="preserve"> PAGEREF _Toc212487471 \h </w:instrText>
            </w:r>
            <w:r>
              <w:rPr>
                <w:noProof/>
                <w:webHidden/>
              </w:rPr>
            </w:r>
            <w:r>
              <w:rPr>
                <w:noProof/>
                <w:webHidden/>
              </w:rPr>
              <w:fldChar w:fldCharType="separate"/>
            </w:r>
            <w:r>
              <w:rPr>
                <w:noProof/>
                <w:webHidden/>
              </w:rPr>
              <w:t>11</w:t>
            </w:r>
            <w:r>
              <w:rPr>
                <w:noProof/>
                <w:webHidden/>
              </w:rPr>
              <w:fldChar w:fldCharType="end"/>
            </w:r>
          </w:hyperlink>
        </w:p>
        <w:p w14:paraId="33F672DB" w14:textId="1C67AB4E" w:rsidR="003F0B5C" w:rsidRDefault="003F0B5C">
          <w:pPr>
            <w:pStyle w:val="TOC2"/>
            <w:tabs>
              <w:tab w:val="right" w:leader="dot" w:pos="9016"/>
            </w:tabs>
            <w:rPr>
              <w:noProof/>
            </w:rPr>
          </w:pPr>
          <w:hyperlink w:anchor="_Toc212487472" w:history="1">
            <w:r w:rsidRPr="00985E9C">
              <w:rPr>
                <w:rStyle w:val="Hyperlink"/>
                <w:noProof/>
              </w:rPr>
              <w:t>Summary of results</w:t>
            </w:r>
            <w:r>
              <w:rPr>
                <w:noProof/>
                <w:webHidden/>
              </w:rPr>
              <w:tab/>
            </w:r>
            <w:r>
              <w:rPr>
                <w:noProof/>
                <w:webHidden/>
              </w:rPr>
              <w:fldChar w:fldCharType="begin"/>
            </w:r>
            <w:r>
              <w:rPr>
                <w:noProof/>
                <w:webHidden/>
              </w:rPr>
              <w:instrText xml:space="preserve"> PAGEREF _Toc212487472 \h </w:instrText>
            </w:r>
            <w:r>
              <w:rPr>
                <w:noProof/>
                <w:webHidden/>
              </w:rPr>
            </w:r>
            <w:r>
              <w:rPr>
                <w:noProof/>
                <w:webHidden/>
              </w:rPr>
              <w:fldChar w:fldCharType="separate"/>
            </w:r>
            <w:r>
              <w:rPr>
                <w:noProof/>
                <w:webHidden/>
              </w:rPr>
              <w:t>11</w:t>
            </w:r>
            <w:r>
              <w:rPr>
                <w:noProof/>
                <w:webHidden/>
              </w:rPr>
              <w:fldChar w:fldCharType="end"/>
            </w:r>
          </w:hyperlink>
        </w:p>
        <w:p w14:paraId="10A11986" w14:textId="0223E046" w:rsidR="003F0B5C" w:rsidRDefault="003F0B5C">
          <w:pPr>
            <w:pStyle w:val="TOC1"/>
            <w:tabs>
              <w:tab w:val="right" w:leader="dot" w:pos="9016"/>
            </w:tabs>
            <w:rPr>
              <w:noProof/>
            </w:rPr>
          </w:pPr>
          <w:hyperlink w:anchor="_Toc212487473" w:history="1">
            <w:r w:rsidRPr="00985E9C">
              <w:rPr>
                <w:rStyle w:val="Hyperlink"/>
                <w:noProof/>
              </w:rPr>
              <w:t>Discussion</w:t>
            </w:r>
            <w:r>
              <w:rPr>
                <w:noProof/>
                <w:webHidden/>
              </w:rPr>
              <w:tab/>
            </w:r>
            <w:r>
              <w:rPr>
                <w:noProof/>
                <w:webHidden/>
              </w:rPr>
              <w:fldChar w:fldCharType="begin"/>
            </w:r>
            <w:r>
              <w:rPr>
                <w:noProof/>
                <w:webHidden/>
              </w:rPr>
              <w:instrText xml:space="preserve"> PAGEREF _Toc212487473 \h </w:instrText>
            </w:r>
            <w:r>
              <w:rPr>
                <w:noProof/>
                <w:webHidden/>
              </w:rPr>
            </w:r>
            <w:r>
              <w:rPr>
                <w:noProof/>
                <w:webHidden/>
              </w:rPr>
              <w:fldChar w:fldCharType="separate"/>
            </w:r>
            <w:r>
              <w:rPr>
                <w:noProof/>
                <w:webHidden/>
              </w:rPr>
              <w:t>11</w:t>
            </w:r>
            <w:r>
              <w:rPr>
                <w:noProof/>
                <w:webHidden/>
              </w:rPr>
              <w:fldChar w:fldCharType="end"/>
            </w:r>
          </w:hyperlink>
        </w:p>
        <w:p w14:paraId="0F5CD49E" w14:textId="30326FD8" w:rsidR="003F0B5C" w:rsidRDefault="003F0B5C">
          <w:pPr>
            <w:pStyle w:val="TOC2"/>
            <w:tabs>
              <w:tab w:val="right" w:leader="dot" w:pos="9016"/>
            </w:tabs>
            <w:rPr>
              <w:noProof/>
            </w:rPr>
          </w:pPr>
          <w:hyperlink w:anchor="_Toc212487474" w:history="1">
            <w:r w:rsidRPr="00985E9C">
              <w:rPr>
                <w:rStyle w:val="Hyperlink"/>
                <w:noProof/>
              </w:rPr>
              <w:t>Strengths of the evidence</w:t>
            </w:r>
            <w:r>
              <w:rPr>
                <w:noProof/>
                <w:webHidden/>
              </w:rPr>
              <w:tab/>
            </w:r>
            <w:r>
              <w:rPr>
                <w:noProof/>
                <w:webHidden/>
              </w:rPr>
              <w:fldChar w:fldCharType="begin"/>
            </w:r>
            <w:r>
              <w:rPr>
                <w:noProof/>
                <w:webHidden/>
              </w:rPr>
              <w:instrText xml:space="preserve"> PAGEREF _Toc212487474 \h </w:instrText>
            </w:r>
            <w:r>
              <w:rPr>
                <w:noProof/>
                <w:webHidden/>
              </w:rPr>
            </w:r>
            <w:r>
              <w:rPr>
                <w:noProof/>
                <w:webHidden/>
              </w:rPr>
              <w:fldChar w:fldCharType="separate"/>
            </w:r>
            <w:r>
              <w:rPr>
                <w:noProof/>
                <w:webHidden/>
              </w:rPr>
              <w:t>12</w:t>
            </w:r>
            <w:r>
              <w:rPr>
                <w:noProof/>
                <w:webHidden/>
              </w:rPr>
              <w:fldChar w:fldCharType="end"/>
            </w:r>
          </w:hyperlink>
        </w:p>
        <w:p w14:paraId="775567F1" w14:textId="10E45B1B" w:rsidR="003F0B5C" w:rsidRDefault="003F0B5C">
          <w:pPr>
            <w:pStyle w:val="TOC2"/>
            <w:tabs>
              <w:tab w:val="right" w:leader="dot" w:pos="9016"/>
            </w:tabs>
            <w:rPr>
              <w:noProof/>
            </w:rPr>
          </w:pPr>
          <w:hyperlink w:anchor="_Toc212487475" w:history="1">
            <w:r w:rsidRPr="00985E9C">
              <w:rPr>
                <w:rStyle w:val="Hyperlink"/>
                <w:noProof/>
              </w:rPr>
              <w:t>Weaknesses and gaps</w:t>
            </w:r>
            <w:r>
              <w:rPr>
                <w:noProof/>
                <w:webHidden/>
              </w:rPr>
              <w:tab/>
            </w:r>
            <w:r>
              <w:rPr>
                <w:noProof/>
                <w:webHidden/>
              </w:rPr>
              <w:fldChar w:fldCharType="begin"/>
            </w:r>
            <w:r>
              <w:rPr>
                <w:noProof/>
                <w:webHidden/>
              </w:rPr>
              <w:instrText xml:space="preserve"> PAGEREF _Toc212487475 \h </w:instrText>
            </w:r>
            <w:r>
              <w:rPr>
                <w:noProof/>
                <w:webHidden/>
              </w:rPr>
            </w:r>
            <w:r>
              <w:rPr>
                <w:noProof/>
                <w:webHidden/>
              </w:rPr>
              <w:fldChar w:fldCharType="separate"/>
            </w:r>
            <w:r>
              <w:rPr>
                <w:noProof/>
                <w:webHidden/>
              </w:rPr>
              <w:t>12</w:t>
            </w:r>
            <w:r>
              <w:rPr>
                <w:noProof/>
                <w:webHidden/>
              </w:rPr>
              <w:fldChar w:fldCharType="end"/>
            </w:r>
          </w:hyperlink>
        </w:p>
        <w:p w14:paraId="228191BF" w14:textId="2BC25B0A" w:rsidR="003F0B5C" w:rsidRDefault="003F0B5C">
          <w:pPr>
            <w:pStyle w:val="TOC2"/>
            <w:tabs>
              <w:tab w:val="right" w:leader="dot" w:pos="9016"/>
            </w:tabs>
            <w:rPr>
              <w:noProof/>
            </w:rPr>
          </w:pPr>
          <w:hyperlink w:anchor="_Toc212487476" w:history="1">
            <w:r w:rsidRPr="00985E9C">
              <w:rPr>
                <w:rStyle w:val="Hyperlink"/>
                <w:noProof/>
              </w:rPr>
              <w:t>Comparison with wider literature</w:t>
            </w:r>
            <w:r>
              <w:rPr>
                <w:noProof/>
                <w:webHidden/>
              </w:rPr>
              <w:tab/>
            </w:r>
            <w:r>
              <w:rPr>
                <w:noProof/>
                <w:webHidden/>
              </w:rPr>
              <w:fldChar w:fldCharType="begin"/>
            </w:r>
            <w:r>
              <w:rPr>
                <w:noProof/>
                <w:webHidden/>
              </w:rPr>
              <w:instrText xml:space="preserve"> PAGEREF _Toc212487476 \h </w:instrText>
            </w:r>
            <w:r>
              <w:rPr>
                <w:noProof/>
                <w:webHidden/>
              </w:rPr>
            </w:r>
            <w:r>
              <w:rPr>
                <w:noProof/>
                <w:webHidden/>
              </w:rPr>
              <w:fldChar w:fldCharType="separate"/>
            </w:r>
            <w:r>
              <w:rPr>
                <w:noProof/>
                <w:webHidden/>
              </w:rPr>
              <w:t>13</w:t>
            </w:r>
            <w:r>
              <w:rPr>
                <w:noProof/>
                <w:webHidden/>
              </w:rPr>
              <w:fldChar w:fldCharType="end"/>
            </w:r>
          </w:hyperlink>
        </w:p>
        <w:p w14:paraId="5FC11657" w14:textId="4A996691" w:rsidR="003F0B5C" w:rsidRDefault="003F0B5C">
          <w:pPr>
            <w:pStyle w:val="TOC2"/>
            <w:tabs>
              <w:tab w:val="right" w:leader="dot" w:pos="9016"/>
            </w:tabs>
            <w:rPr>
              <w:noProof/>
            </w:rPr>
          </w:pPr>
          <w:hyperlink w:anchor="_Toc212487477" w:history="1">
            <w:r w:rsidRPr="00985E9C">
              <w:rPr>
                <w:rStyle w:val="Hyperlink"/>
                <w:noProof/>
              </w:rPr>
              <w:t>Implications for practice in the UK</w:t>
            </w:r>
            <w:r>
              <w:rPr>
                <w:noProof/>
                <w:webHidden/>
              </w:rPr>
              <w:tab/>
            </w:r>
            <w:r>
              <w:rPr>
                <w:noProof/>
                <w:webHidden/>
              </w:rPr>
              <w:fldChar w:fldCharType="begin"/>
            </w:r>
            <w:r>
              <w:rPr>
                <w:noProof/>
                <w:webHidden/>
              </w:rPr>
              <w:instrText xml:space="preserve"> PAGEREF _Toc212487477 \h </w:instrText>
            </w:r>
            <w:r>
              <w:rPr>
                <w:noProof/>
                <w:webHidden/>
              </w:rPr>
            </w:r>
            <w:r>
              <w:rPr>
                <w:noProof/>
                <w:webHidden/>
              </w:rPr>
              <w:fldChar w:fldCharType="separate"/>
            </w:r>
            <w:r>
              <w:rPr>
                <w:noProof/>
                <w:webHidden/>
              </w:rPr>
              <w:t>14</w:t>
            </w:r>
            <w:r>
              <w:rPr>
                <w:noProof/>
                <w:webHidden/>
              </w:rPr>
              <w:fldChar w:fldCharType="end"/>
            </w:r>
          </w:hyperlink>
        </w:p>
        <w:p w14:paraId="0D82EC2A" w14:textId="0367CAA6" w:rsidR="003F0B5C" w:rsidRDefault="003F0B5C">
          <w:pPr>
            <w:pStyle w:val="TOC1"/>
            <w:tabs>
              <w:tab w:val="right" w:leader="dot" w:pos="9016"/>
            </w:tabs>
            <w:rPr>
              <w:noProof/>
            </w:rPr>
          </w:pPr>
          <w:hyperlink w:anchor="_Toc212487478" w:history="1">
            <w:r w:rsidRPr="00985E9C">
              <w:rPr>
                <w:rStyle w:val="Hyperlink"/>
                <w:noProof/>
              </w:rPr>
              <w:t>Conclusion and Recommendations</w:t>
            </w:r>
            <w:r>
              <w:rPr>
                <w:noProof/>
                <w:webHidden/>
              </w:rPr>
              <w:tab/>
            </w:r>
            <w:r>
              <w:rPr>
                <w:noProof/>
                <w:webHidden/>
              </w:rPr>
              <w:fldChar w:fldCharType="begin"/>
            </w:r>
            <w:r>
              <w:rPr>
                <w:noProof/>
                <w:webHidden/>
              </w:rPr>
              <w:instrText xml:space="preserve"> PAGEREF _Toc212487478 \h </w:instrText>
            </w:r>
            <w:r>
              <w:rPr>
                <w:noProof/>
                <w:webHidden/>
              </w:rPr>
            </w:r>
            <w:r>
              <w:rPr>
                <w:noProof/>
                <w:webHidden/>
              </w:rPr>
              <w:fldChar w:fldCharType="separate"/>
            </w:r>
            <w:r>
              <w:rPr>
                <w:noProof/>
                <w:webHidden/>
              </w:rPr>
              <w:t>15</w:t>
            </w:r>
            <w:r>
              <w:rPr>
                <w:noProof/>
                <w:webHidden/>
              </w:rPr>
              <w:fldChar w:fldCharType="end"/>
            </w:r>
          </w:hyperlink>
        </w:p>
        <w:p w14:paraId="72AAB197" w14:textId="0EE3C417" w:rsidR="003F0B5C" w:rsidRDefault="003F0B5C">
          <w:pPr>
            <w:pStyle w:val="TOC1"/>
            <w:tabs>
              <w:tab w:val="right" w:leader="dot" w:pos="9016"/>
            </w:tabs>
            <w:rPr>
              <w:noProof/>
            </w:rPr>
          </w:pPr>
          <w:hyperlink w:anchor="_Toc212487479" w:history="1">
            <w:r w:rsidRPr="00985E9C">
              <w:rPr>
                <w:rStyle w:val="Hyperlink"/>
                <w:noProof/>
              </w:rPr>
              <w:t>Reference</w:t>
            </w:r>
            <w:r>
              <w:rPr>
                <w:noProof/>
                <w:webHidden/>
              </w:rPr>
              <w:tab/>
            </w:r>
            <w:r>
              <w:rPr>
                <w:noProof/>
                <w:webHidden/>
              </w:rPr>
              <w:fldChar w:fldCharType="begin"/>
            </w:r>
            <w:r>
              <w:rPr>
                <w:noProof/>
                <w:webHidden/>
              </w:rPr>
              <w:instrText xml:space="preserve"> PAGEREF _Toc212487479 \h </w:instrText>
            </w:r>
            <w:r>
              <w:rPr>
                <w:noProof/>
                <w:webHidden/>
              </w:rPr>
            </w:r>
            <w:r>
              <w:rPr>
                <w:noProof/>
                <w:webHidden/>
              </w:rPr>
              <w:fldChar w:fldCharType="separate"/>
            </w:r>
            <w:r>
              <w:rPr>
                <w:noProof/>
                <w:webHidden/>
              </w:rPr>
              <w:t>17</w:t>
            </w:r>
            <w:r>
              <w:rPr>
                <w:noProof/>
                <w:webHidden/>
              </w:rPr>
              <w:fldChar w:fldCharType="end"/>
            </w:r>
          </w:hyperlink>
        </w:p>
        <w:p w14:paraId="414BA364" w14:textId="52E658C8" w:rsidR="003F0B5C" w:rsidRDefault="003F0B5C">
          <w:r>
            <w:rPr>
              <w:b/>
              <w:bCs/>
              <w:noProof/>
            </w:rPr>
            <w:fldChar w:fldCharType="end"/>
          </w:r>
        </w:p>
      </w:sdtContent>
    </w:sdt>
    <w:p w14:paraId="64907CF1" w14:textId="77777777" w:rsidR="003F0B5C" w:rsidRDefault="003F0B5C">
      <w:pPr>
        <w:rPr>
          <w:rFonts w:asciiTheme="majorHAnsi" w:eastAsiaTheme="majorEastAsia" w:hAnsiTheme="majorHAnsi" w:cstheme="majorBidi"/>
          <w:color w:val="0F4761" w:themeColor="accent1" w:themeShade="BF"/>
          <w:sz w:val="40"/>
          <w:szCs w:val="40"/>
        </w:rPr>
      </w:pPr>
      <w:r>
        <w:br w:type="page"/>
      </w:r>
    </w:p>
    <w:p w14:paraId="27D83776" w14:textId="014C3B6D" w:rsidR="00312520" w:rsidRPr="00AE18FD" w:rsidRDefault="00312520" w:rsidP="00312520">
      <w:pPr>
        <w:pStyle w:val="Heading1"/>
      </w:pPr>
      <w:bookmarkStart w:id="0" w:name="_Toc212487453"/>
      <w:r w:rsidRPr="00AE18FD">
        <w:lastRenderedPageBreak/>
        <w:t>Introduction</w:t>
      </w:r>
      <w:bookmarkEnd w:id="0"/>
    </w:p>
    <w:p w14:paraId="6FCB2FA8" w14:textId="2B7AC280" w:rsidR="00312520" w:rsidRPr="00AE18FD" w:rsidRDefault="00312520" w:rsidP="00312520">
      <w:pPr>
        <w:spacing w:line="360" w:lineRule="auto"/>
        <w:jc w:val="both"/>
        <w:rPr>
          <w:rFonts w:ascii="Arial" w:hAnsi="Arial"/>
        </w:rPr>
      </w:pPr>
      <w:r w:rsidRPr="00AE18FD">
        <w:rPr>
          <w:rFonts w:ascii="Arial" w:hAnsi="Arial"/>
        </w:rPr>
        <w:t>Dementia is a broad term used to describe a group of conditions characterised by a decline in cognitive functioning that is severe enough to interfere with everyday life. People living with dementia may experience memory loss, difficulty planning or solving problems, confusion about time or place, and changes in mood or behaviour (</w:t>
      </w:r>
      <w:r w:rsidR="00C718EC" w:rsidRPr="00AE18FD">
        <w:rPr>
          <w:rFonts w:ascii="Arial" w:hAnsi="Arial"/>
        </w:rPr>
        <w:t>(Livingston et al., 2020).</w:t>
      </w:r>
      <w:r w:rsidRPr="00AE18FD">
        <w:rPr>
          <w:rFonts w:ascii="Arial" w:hAnsi="Arial"/>
        </w:rPr>
        <w:t xml:space="preserve"> Alongside these cognitive changes, individuals often face a range of mental health outcomes such as depression, anxiety, and reduced emotional well-being (Wang et al., 2021). For example, resilience-based interventions in older adults with dementia showed improvements in mental health outcomes including better adjustment and quality of life. (Wang et al., 2021).</w:t>
      </w:r>
    </w:p>
    <w:p w14:paraId="60F02F73" w14:textId="77777777" w:rsidR="00312520" w:rsidRPr="00AE18FD" w:rsidRDefault="00312520" w:rsidP="00312520">
      <w:pPr>
        <w:spacing w:line="360" w:lineRule="auto"/>
        <w:jc w:val="both"/>
        <w:rPr>
          <w:rFonts w:ascii="Arial" w:hAnsi="Arial"/>
        </w:rPr>
      </w:pPr>
      <w:r w:rsidRPr="00AE18FD">
        <w:rPr>
          <w:rFonts w:ascii="Arial" w:hAnsi="Arial"/>
        </w:rPr>
        <w:t>In the context of dementia care, social care interventions refer to non-medical supports and services designed to help people living with dementia and their families to maintain social functioning, daily living activities, emotional wellbeing and connection with others. These might include day-care services, community social activity groups, peer support, respite care, and tailored programmes that aim to reduce social isolation and promote engagement (</w:t>
      </w:r>
      <w:proofErr w:type="spellStart"/>
      <w:r w:rsidRPr="00AE18FD">
        <w:rPr>
          <w:rFonts w:ascii="Arial" w:hAnsi="Arial"/>
        </w:rPr>
        <w:t>Atefi</w:t>
      </w:r>
      <w:proofErr w:type="spellEnd"/>
      <w:r w:rsidRPr="00AE18FD">
        <w:rPr>
          <w:rFonts w:ascii="Arial" w:hAnsi="Arial"/>
        </w:rPr>
        <w:t xml:space="preserve"> et al., 2025). Social care interventions recognise that living with dementia is not only a medical condition but also a social and relational experience — one that affects relationships, participation in social life, and sense of identity.</w:t>
      </w:r>
    </w:p>
    <w:p w14:paraId="3A019965" w14:textId="29173B65" w:rsidR="00312520" w:rsidRPr="00AE18FD" w:rsidRDefault="005F463D" w:rsidP="00312520">
      <w:pPr>
        <w:spacing w:line="360" w:lineRule="auto"/>
        <w:jc w:val="both"/>
        <w:rPr>
          <w:rFonts w:ascii="Arial" w:hAnsi="Arial"/>
        </w:rPr>
      </w:pPr>
      <w:r w:rsidRPr="00AE18FD">
        <w:rPr>
          <w:rFonts w:ascii="Arial" w:hAnsi="Arial"/>
        </w:rPr>
        <w:t>Dementia has a growing impact in the UK and globally, both in human and system terms. As the population ages, more people will live with dementia, increasing the demand for support. While medical aspects such as diagnosis and treatment are often prioritised, less attention has been paid to the mental health consequences and the role of social care. Social care interventions not only maintain function and engagement but also protect emotional wellbeing and reduce negative outcomes (Livingston et al., 2020). Effective social care can reduce strain on health systems, support person-centred care, and improve quality of life for individuals and carers.</w:t>
      </w:r>
    </w:p>
    <w:p w14:paraId="41D14A7E" w14:textId="39F8B72C" w:rsidR="005F463D" w:rsidRPr="00AE18FD" w:rsidRDefault="005F463D" w:rsidP="00312520">
      <w:pPr>
        <w:spacing w:line="360" w:lineRule="auto"/>
        <w:jc w:val="both"/>
        <w:rPr>
          <w:rFonts w:ascii="Arial" w:hAnsi="Arial"/>
        </w:rPr>
      </w:pPr>
      <w:r w:rsidRPr="00AE18FD">
        <w:rPr>
          <w:rFonts w:ascii="Arial" w:hAnsi="Arial"/>
        </w:rPr>
        <w:t xml:space="preserve">Therefore, this scoping review asks the question: “What is the evidence on community-based social care interventions improving the mental health of adults with dementia in the UK?” The objectives are: 1) to identify and map social care interventions used for adults living with dementia that address mental health outcomes; 2) to examine what mental health outcomes have been measured; 3) to explore what evidence exists for </w:t>
      </w:r>
      <w:r w:rsidRPr="00AE18FD">
        <w:rPr>
          <w:rFonts w:ascii="Arial" w:hAnsi="Arial"/>
        </w:rPr>
        <w:lastRenderedPageBreak/>
        <w:t>their effectiveness in the UK; and 4) to identify gaps and make recommendations for practice and research.</w:t>
      </w:r>
    </w:p>
    <w:p w14:paraId="1E2A2D78" w14:textId="77777777" w:rsidR="00312520" w:rsidRDefault="00312520" w:rsidP="00312520">
      <w:pPr>
        <w:pStyle w:val="Heading1"/>
      </w:pPr>
      <w:bookmarkStart w:id="1" w:name="_Toc212487454"/>
      <w:r w:rsidRPr="00AE18FD">
        <w:t>Background</w:t>
      </w:r>
      <w:bookmarkEnd w:id="1"/>
    </w:p>
    <w:p w14:paraId="6F225E6B" w14:textId="77777777" w:rsidR="00AE18FD" w:rsidRPr="009C7FCB" w:rsidRDefault="00AE18FD" w:rsidP="00AE18FD">
      <w:pPr>
        <w:pStyle w:val="Heading2"/>
      </w:pPr>
      <w:bookmarkStart w:id="2" w:name="_Toc212487455"/>
      <w:r w:rsidRPr="009C7FCB">
        <w:t>UK dementia statistics, prevalence, and burden.</w:t>
      </w:r>
      <w:bookmarkEnd w:id="2"/>
    </w:p>
    <w:p w14:paraId="531F152D" w14:textId="3F5FF004" w:rsidR="00312520" w:rsidRPr="00AE18FD" w:rsidRDefault="00312520" w:rsidP="00312520">
      <w:pPr>
        <w:spacing w:line="360" w:lineRule="auto"/>
        <w:jc w:val="both"/>
        <w:rPr>
          <w:rFonts w:ascii="Arial" w:hAnsi="Arial"/>
        </w:rPr>
      </w:pPr>
      <w:r w:rsidRPr="00AE18FD">
        <w:rPr>
          <w:rFonts w:ascii="Arial" w:hAnsi="Arial"/>
        </w:rPr>
        <w:t>Prevalence and burden in the UK.</w:t>
      </w:r>
      <w:r w:rsidR="00173CDA" w:rsidRPr="00AE18FD">
        <w:rPr>
          <w:rFonts w:ascii="Arial" w:hAnsi="Arial"/>
        </w:rPr>
        <w:t xml:space="preserve"> </w:t>
      </w:r>
      <w:r w:rsidRPr="00AE18FD">
        <w:rPr>
          <w:rFonts w:ascii="Arial" w:hAnsi="Arial"/>
        </w:rPr>
        <w:t>Dementia affects a large and growing number of people in the UK. Recent estimates suggest about 982,000 people are living with dementia, and this number is expected to rise to 1.4 million by 2040. Importantly, over a third of people may still be undiagnosed, meaning many do not receive timely support (Alzheimer’s Society, 2024; Dementia Statistics Hub, 2024). Dementia is also a major cause of death. Official figures show it was the leading cause of death in England and Wales in 2023 (ONS, 2024). These figures highlight the scale of need for care and support beyond hospital settings. NHS England also reports that people with dementia use a high amount of healthcare, including occupying a significant proportion of acute hospital beds and often staying longer than other patients—patterns that increase pressure on services and costs (NHS England, 2024).</w:t>
      </w:r>
    </w:p>
    <w:p w14:paraId="1670F2AC" w14:textId="77777777" w:rsidR="00275AB5" w:rsidRPr="00AE18FD" w:rsidRDefault="00312520" w:rsidP="0090337A">
      <w:pPr>
        <w:pStyle w:val="Heading2"/>
      </w:pPr>
      <w:bookmarkStart w:id="3" w:name="_Toc212487456"/>
      <w:r w:rsidRPr="00AE18FD">
        <w:t xml:space="preserve">National strategies, policies and </w:t>
      </w:r>
      <w:proofErr w:type="spellStart"/>
      <w:r w:rsidRPr="00AE18FD">
        <w:t>guidance.</w:t>
      </w:r>
      <w:bookmarkEnd w:id="3"/>
      <w:proofErr w:type="spellEnd"/>
    </w:p>
    <w:p w14:paraId="6A7C4792" w14:textId="1C851791" w:rsidR="00312520" w:rsidRDefault="00312520" w:rsidP="00312520">
      <w:pPr>
        <w:spacing w:line="360" w:lineRule="auto"/>
        <w:jc w:val="both"/>
        <w:rPr>
          <w:rFonts w:ascii="Arial" w:hAnsi="Arial"/>
        </w:rPr>
      </w:pPr>
      <w:proofErr w:type="spellStart"/>
      <w:r w:rsidRPr="00AE18FD">
        <w:rPr>
          <w:rFonts w:ascii="Arial" w:hAnsi="Arial"/>
        </w:rPr>
        <w:t>Policy</w:t>
      </w:r>
      <w:proofErr w:type="spellEnd"/>
      <w:r w:rsidRPr="00AE18FD">
        <w:rPr>
          <w:rFonts w:ascii="Arial" w:hAnsi="Arial"/>
        </w:rPr>
        <w:t xml:space="preserve"> in England has continued to raise the profile of dementia within wider plans for major long-term conditions. The government’s Major Conditions Strategy sets out a framework to improve outcomes across six high-impact conditions, including dementia, and signals a focus on prevention, earlier diagnosis, and better support in the community (DHSC, 2023). Within the NHS, dementia policy is supported by the NHS’s ongoing commitments to improve diagnosis, care coordination, and post-diagnostic support, including personalised care approaches and workforce training (NHS England, </w:t>
      </w:r>
      <w:proofErr w:type="spellStart"/>
      <w:r w:rsidR="00865909" w:rsidRPr="00AE18FD">
        <w:rPr>
          <w:rFonts w:ascii="Arial" w:hAnsi="Arial"/>
        </w:rPr>
        <w:t>nd</w:t>
      </w:r>
      <w:proofErr w:type="spellEnd"/>
      <w:r w:rsidRPr="00AE18FD">
        <w:rPr>
          <w:rFonts w:ascii="Arial" w:hAnsi="Arial"/>
        </w:rPr>
        <w:t xml:space="preserve">). </w:t>
      </w:r>
      <w:r w:rsidR="00D842EA" w:rsidRPr="00AE18FD">
        <w:rPr>
          <w:rFonts w:ascii="Arial" w:hAnsi="Arial"/>
        </w:rPr>
        <w:t>Dementia policy in England is supported by the Major Conditions Strategy, NHS commitments to personalised care, and NICE guideline NG97, last reviewed in 2025. These emphasise person-centred approaches, carer support, and meaningful care beyond medical treatment (DHSC, 2023; NICE, 2025).</w:t>
      </w:r>
    </w:p>
    <w:p w14:paraId="1A2C6838" w14:textId="167D377C" w:rsidR="00AE18FD" w:rsidRPr="00AE18FD" w:rsidRDefault="00AE18FD" w:rsidP="00AE18FD">
      <w:pPr>
        <w:pStyle w:val="Heading2"/>
      </w:pPr>
      <w:bookmarkStart w:id="4" w:name="_Toc212487457"/>
      <w:r>
        <w:t>Community-based services</w:t>
      </w:r>
      <w:bookmarkEnd w:id="4"/>
    </w:p>
    <w:p w14:paraId="3CD29F47" w14:textId="0DFD0191" w:rsidR="00312520" w:rsidRPr="00AE18FD" w:rsidRDefault="00312520" w:rsidP="00312520">
      <w:pPr>
        <w:spacing w:line="360" w:lineRule="auto"/>
        <w:jc w:val="both"/>
        <w:rPr>
          <w:rFonts w:ascii="Arial" w:hAnsi="Arial"/>
        </w:rPr>
      </w:pPr>
      <w:r w:rsidRPr="00AE18FD">
        <w:rPr>
          <w:rFonts w:ascii="Arial" w:hAnsi="Arial"/>
        </w:rPr>
        <w:t>Community-based services and why they matter.</w:t>
      </w:r>
      <w:r w:rsidR="00275AB5" w:rsidRPr="00AE18FD">
        <w:rPr>
          <w:rFonts w:ascii="Arial" w:hAnsi="Arial"/>
        </w:rPr>
        <w:t xml:space="preserve"> </w:t>
      </w:r>
      <w:r w:rsidRPr="00AE18FD">
        <w:rPr>
          <w:rFonts w:ascii="Arial" w:hAnsi="Arial"/>
        </w:rPr>
        <w:t>Community-based social care aims to help people live well with dementia in everyday life. These supports are not hospital-</w:t>
      </w:r>
      <w:r w:rsidRPr="00AE18FD">
        <w:rPr>
          <w:rFonts w:ascii="Arial" w:hAnsi="Arial"/>
        </w:rPr>
        <w:lastRenderedPageBreak/>
        <w:t>based and include day centres, peer support groups, arts and activity programmes, and social prescribing connections to local organisations. The goal is to maintain social contact, reduce loneliness, support daily functioning, and protect mental health and wellbeing.</w:t>
      </w:r>
    </w:p>
    <w:p w14:paraId="77354E91" w14:textId="77777777" w:rsidR="00312520" w:rsidRPr="00AE18FD" w:rsidRDefault="00312520" w:rsidP="00312520">
      <w:pPr>
        <w:numPr>
          <w:ilvl w:val="0"/>
          <w:numId w:val="1"/>
        </w:numPr>
        <w:spacing w:line="360" w:lineRule="auto"/>
        <w:jc w:val="both"/>
        <w:rPr>
          <w:rFonts w:ascii="Arial" w:hAnsi="Arial"/>
        </w:rPr>
      </w:pPr>
      <w:r w:rsidRPr="00AE18FD">
        <w:rPr>
          <w:rFonts w:ascii="Arial" w:hAnsi="Arial"/>
        </w:rPr>
        <w:t>Day centres provide structured activities, social contact, and respite for carers. Evidence shows day programmes can support quality of life for people with dementia and reduce caregiver strain, helping people remain at home longer (Nguyen et al., 2024). UK-relevant qualitative work also describes how day care fosters routine, social connection, and a sense of purpose, which are protective for mood and wellbeing (Samsi et al., 2025).</w:t>
      </w:r>
    </w:p>
    <w:p w14:paraId="53140078" w14:textId="0DE47463" w:rsidR="00312520" w:rsidRPr="00AE18FD" w:rsidRDefault="00312520" w:rsidP="00312520">
      <w:pPr>
        <w:numPr>
          <w:ilvl w:val="0"/>
          <w:numId w:val="1"/>
        </w:numPr>
        <w:spacing w:line="360" w:lineRule="auto"/>
        <w:jc w:val="both"/>
        <w:rPr>
          <w:rFonts w:ascii="Arial" w:hAnsi="Arial"/>
        </w:rPr>
      </w:pPr>
      <w:r w:rsidRPr="00AE18FD">
        <w:rPr>
          <w:rFonts w:ascii="Arial" w:hAnsi="Arial"/>
        </w:rPr>
        <w:t xml:space="preserve">Peer support groups—in person or online—offer shared understanding, practical tips, and emotional support. During and after the COVID-19 period, videoconference support groups helped carers feel less isolated and better able to cope, illustrating how peer spaces can buffer stress and low mood linked to caring and living with dementia (McLoughlin et al., 2023). These group models align with NICE guidance on supporting carers and with NHS commitments to personalised care (NICE, 2025; NHS England, </w:t>
      </w:r>
      <w:proofErr w:type="spellStart"/>
      <w:r w:rsidR="00EF47FD" w:rsidRPr="00AE18FD">
        <w:rPr>
          <w:rFonts w:ascii="Arial" w:hAnsi="Arial"/>
        </w:rPr>
        <w:t>nd</w:t>
      </w:r>
      <w:proofErr w:type="spellEnd"/>
      <w:r w:rsidRPr="00AE18FD">
        <w:rPr>
          <w:rFonts w:ascii="Arial" w:hAnsi="Arial"/>
        </w:rPr>
        <w:t>).</w:t>
      </w:r>
    </w:p>
    <w:p w14:paraId="07AE547C" w14:textId="4FF299DE" w:rsidR="00312520" w:rsidRPr="00AE18FD" w:rsidRDefault="00EC1CA5" w:rsidP="00312520">
      <w:pPr>
        <w:numPr>
          <w:ilvl w:val="0"/>
          <w:numId w:val="1"/>
        </w:numPr>
        <w:spacing w:line="360" w:lineRule="auto"/>
        <w:jc w:val="both"/>
        <w:rPr>
          <w:rFonts w:ascii="Arial" w:hAnsi="Arial"/>
        </w:rPr>
      </w:pPr>
      <w:r w:rsidRPr="00AE18FD">
        <w:rPr>
          <w:rFonts w:ascii="Arial" w:hAnsi="Arial"/>
        </w:rPr>
        <w:t>Arts and creative activity programmes provide enjoyment, identity, and improved mood, while social prescribing links people to local non-clinical supports such as dementia-friendly groups and exercise. Both approaches strengthen social connection, reduce loneliness, and protect mental health (Ward et al., 2021; NHS England, 2024a).</w:t>
      </w:r>
    </w:p>
    <w:p w14:paraId="45EBBB97" w14:textId="33FEB682" w:rsidR="00312520" w:rsidRPr="00AE18FD" w:rsidRDefault="00312520" w:rsidP="00312520">
      <w:pPr>
        <w:spacing w:line="360" w:lineRule="auto"/>
        <w:jc w:val="both"/>
        <w:rPr>
          <w:rFonts w:ascii="Arial" w:hAnsi="Arial"/>
        </w:rPr>
      </w:pPr>
      <w:r w:rsidRPr="00AE18FD">
        <w:rPr>
          <w:rFonts w:ascii="Arial" w:hAnsi="Arial"/>
        </w:rPr>
        <w:t>Equity, access and gaps.</w:t>
      </w:r>
      <w:r w:rsidR="007E64B8" w:rsidRPr="00AE18FD">
        <w:rPr>
          <w:rFonts w:ascii="Arial" w:hAnsi="Arial"/>
        </w:rPr>
        <w:t xml:space="preserve"> </w:t>
      </w:r>
      <w:r w:rsidRPr="00AE18FD">
        <w:rPr>
          <w:rFonts w:ascii="Arial" w:hAnsi="Arial"/>
        </w:rPr>
        <w:t xml:space="preserve">Even with these services, access is not equal. A recent review on inequalities in accessing community-based social care for dementia highlights barriers such as limited local availability, transport problems, cultural and language mismatches, and the complexity of referral routes (Giebel et al., 2024). UK evidence also shows that families face practical and emotional hurdles when trying to find and sustain community support, and that services can be patchy or time-limited (Gridley et al., 2025). These gaps matter because interrupted or delayed access can worsen isolation, anxiety and low mood for people with dementia and increase stress for carers (Giebel et al., 2024; McLoughlin et al., 2023). Policy ambitions in the Major Conditions Strategy and NHS personalised care aim to reduce these gaps by </w:t>
      </w:r>
      <w:r w:rsidRPr="00AE18FD">
        <w:rPr>
          <w:rFonts w:ascii="Arial" w:hAnsi="Arial"/>
        </w:rPr>
        <w:lastRenderedPageBreak/>
        <w:t xml:space="preserve">improving navigation, strengthening local provision, and supporting integrated, community-based pathways (DHSC, 2023; NHS England, </w:t>
      </w:r>
      <w:proofErr w:type="spellStart"/>
      <w:r w:rsidR="00865909" w:rsidRPr="00AE18FD">
        <w:rPr>
          <w:rFonts w:ascii="Arial" w:hAnsi="Arial"/>
        </w:rPr>
        <w:t>nd</w:t>
      </w:r>
      <w:proofErr w:type="spellEnd"/>
      <w:r w:rsidRPr="00AE18FD">
        <w:rPr>
          <w:rFonts w:ascii="Arial" w:hAnsi="Arial"/>
        </w:rPr>
        <w:t>).</w:t>
      </w:r>
    </w:p>
    <w:p w14:paraId="7F885F93" w14:textId="7E185481" w:rsidR="00312520" w:rsidRPr="00AE18FD" w:rsidRDefault="00312520" w:rsidP="00312520">
      <w:pPr>
        <w:spacing w:line="360" w:lineRule="auto"/>
        <w:jc w:val="both"/>
        <w:rPr>
          <w:rFonts w:ascii="Arial" w:hAnsi="Arial"/>
        </w:rPr>
      </w:pPr>
      <w:r w:rsidRPr="00AE18FD">
        <w:rPr>
          <w:rFonts w:ascii="Arial" w:hAnsi="Arial"/>
        </w:rPr>
        <w:t xml:space="preserve">Linking to mental health </w:t>
      </w:r>
      <w:proofErr w:type="spellStart"/>
      <w:proofErr w:type="gramStart"/>
      <w:r w:rsidRPr="00AE18FD">
        <w:rPr>
          <w:rFonts w:ascii="Arial" w:hAnsi="Arial"/>
        </w:rPr>
        <w:t>outcomes.The</w:t>
      </w:r>
      <w:proofErr w:type="spellEnd"/>
      <w:proofErr w:type="gramEnd"/>
      <w:r w:rsidRPr="00AE18FD">
        <w:rPr>
          <w:rFonts w:ascii="Arial" w:hAnsi="Arial"/>
        </w:rPr>
        <w:t xml:space="preserve"> international literature links social connection and meaningful activity to better mental health in dementia, including reduced loneliness, lower depressive symptoms, and improved wellbeing (Ward et al., 2021; Nguyen et al., 2024). In the UK, these benefits are reflected in policy guidance that encourages personalised, strengths-based support and carer involvement (NICE, 2025; NHS England, </w:t>
      </w:r>
      <w:proofErr w:type="spellStart"/>
      <w:r w:rsidR="00865909" w:rsidRPr="00AE18FD">
        <w:rPr>
          <w:rFonts w:ascii="Arial" w:hAnsi="Arial"/>
        </w:rPr>
        <w:t>nd</w:t>
      </w:r>
      <w:proofErr w:type="spellEnd"/>
      <w:r w:rsidRPr="00AE18FD">
        <w:rPr>
          <w:rFonts w:ascii="Arial" w:hAnsi="Arial"/>
        </w:rPr>
        <w:t>). However, the evidence base is still mixed in quality and scope, and there is variation in how outcomes are measured (for example, different scales for wellbeing or mood) (Ward et al., 2021; Giebel et al., 2024). This variation makes it harder to compare programmes or to know which models work best for whom and under what circumstances. As services expand—through day centres, arts initiatives, peer programmes, and social prescribing—there is a strong case for mapping the UK-specific evidence to inform local commissioning and practice.</w:t>
      </w:r>
    </w:p>
    <w:p w14:paraId="2DC794CC" w14:textId="335C7C46" w:rsidR="00312520" w:rsidRPr="00AE18FD" w:rsidRDefault="00312520" w:rsidP="00312520">
      <w:pPr>
        <w:spacing w:line="360" w:lineRule="auto"/>
        <w:jc w:val="both"/>
        <w:rPr>
          <w:rFonts w:ascii="Arial" w:hAnsi="Arial"/>
        </w:rPr>
      </w:pPr>
      <w:r w:rsidRPr="00AE18FD">
        <w:rPr>
          <w:rFonts w:ascii="Arial" w:hAnsi="Arial"/>
        </w:rPr>
        <w:t>Why a UK-focused scoping review now.</w:t>
      </w:r>
      <w:r w:rsidR="007E64B8" w:rsidRPr="00AE18FD">
        <w:rPr>
          <w:rFonts w:ascii="Arial" w:hAnsi="Arial"/>
        </w:rPr>
        <w:t xml:space="preserve"> </w:t>
      </w:r>
      <w:r w:rsidRPr="00AE18FD">
        <w:rPr>
          <w:rFonts w:ascii="Arial" w:hAnsi="Arial"/>
        </w:rPr>
        <w:t xml:space="preserve">Given high prevalence, a diagnosis gap, and significant health system impact, people living with dementia and their carers need effective supports close to home (Alzheimer’s Society, 2024; ONS, 2024; NHS England, </w:t>
      </w:r>
      <w:proofErr w:type="spellStart"/>
      <w:r w:rsidR="00865909" w:rsidRPr="00AE18FD">
        <w:rPr>
          <w:rFonts w:ascii="Arial" w:hAnsi="Arial"/>
        </w:rPr>
        <w:t>nd</w:t>
      </w:r>
      <w:proofErr w:type="spellEnd"/>
      <w:r w:rsidRPr="00AE18FD">
        <w:rPr>
          <w:rFonts w:ascii="Arial" w:hAnsi="Arial"/>
        </w:rPr>
        <w:t>). National policy and NICE guidance endorse holistic, person-centred and community-based care, but the evidence is diverse and spread across different service models (NICE, 2025; DHSC, 2023). A UK-focused scoping review will map what interventions are used in communities, how mental health outcomes are defined and measured, and where the gaps remain. This will help services and commissioners choose approaches that are feasible, acceptable, and most likely to improve mental health and quality of life for adults living with dementia and their families.</w:t>
      </w:r>
    </w:p>
    <w:p w14:paraId="6C715C26" w14:textId="77777777" w:rsidR="009E1DD3" w:rsidRPr="00AE18FD" w:rsidRDefault="009E1DD3" w:rsidP="007A0E99">
      <w:pPr>
        <w:pStyle w:val="Heading1"/>
      </w:pPr>
      <w:bookmarkStart w:id="5" w:name="_Toc212487458"/>
      <w:r w:rsidRPr="00AE18FD">
        <w:t>Methods</w:t>
      </w:r>
      <w:bookmarkEnd w:id="5"/>
    </w:p>
    <w:p w14:paraId="396F81CA" w14:textId="77777777" w:rsidR="007E64B8" w:rsidRPr="00AE18FD" w:rsidRDefault="009E1DD3" w:rsidP="007A0E99">
      <w:pPr>
        <w:pStyle w:val="Heading2"/>
      </w:pPr>
      <w:bookmarkStart w:id="6" w:name="_Toc212487459"/>
      <w:r w:rsidRPr="00AE18FD">
        <w:t>Databases searched.</w:t>
      </w:r>
      <w:bookmarkEnd w:id="6"/>
    </w:p>
    <w:p w14:paraId="53E90C8C" w14:textId="05D2FC3A" w:rsidR="009E1DD3" w:rsidRPr="00AE18FD" w:rsidRDefault="009E1DD3" w:rsidP="009E1DD3">
      <w:pPr>
        <w:spacing w:line="360" w:lineRule="auto"/>
        <w:jc w:val="both"/>
        <w:rPr>
          <w:rFonts w:ascii="Arial" w:hAnsi="Arial"/>
        </w:rPr>
      </w:pPr>
      <w:r w:rsidRPr="00AE18FD">
        <w:rPr>
          <w:rFonts w:ascii="Arial" w:hAnsi="Arial"/>
        </w:rPr>
        <w:t>To gather relevant studies, three main academic databases were searched: CINAHL, PubMed, and Scopus. These databases were chosen because they cover a wide range of health and social care research, including nursing, medicine, psychology, and allied health studies. Using more than one database helped ensure the review was systematic and reduced the risk of missing key research (Page et al., 2021).</w:t>
      </w:r>
    </w:p>
    <w:p w14:paraId="48F0F9D1" w14:textId="77777777" w:rsidR="007E64B8" w:rsidRPr="00AE18FD" w:rsidRDefault="009E1DD3" w:rsidP="007A0E99">
      <w:pPr>
        <w:pStyle w:val="Heading2"/>
      </w:pPr>
      <w:bookmarkStart w:id="7" w:name="_Toc212487460"/>
      <w:r w:rsidRPr="00AE18FD">
        <w:lastRenderedPageBreak/>
        <w:t>Search strategy.</w:t>
      </w:r>
      <w:bookmarkEnd w:id="7"/>
    </w:p>
    <w:p w14:paraId="2E9342AF" w14:textId="5FAC93BA" w:rsidR="009E1DD3" w:rsidRPr="00AE18FD" w:rsidRDefault="009E1DD3" w:rsidP="009E1DD3">
      <w:pPr>
        <w:spacing w:line="360" w:lineRule="auto"/>
        <w:jc w:val="both"/>
        <w:rPr>
          <w:rFonts w:ascii="Arial" w:hAnsi="Arial"/>
        </w:rPr>
      </w:pPr>
      <w:r w:rsidRPr="00AE18FD">
        <w:rPr>
          <w:rFonts w:ascii="Arial" w:hAnsi="Arial"/>
        </w:rPr>
        <w:t xml:space="preserve">Keywords were developed from the review question and broken down into main concepts: </w:t>
      </w:r>
      <w:r w:rsidRPr="00AE18FD">
        <w:rPr>
          <w:rFonts w:ascii="Arial" w:hAnsi="Arial"/>
          <w:i/>
          <w:iCs/>
        </w:rPr>
        <w:t>dementia</w:t>
      </w:r>
      <w:r w:rsidRPr="00AE18FD">
        <w:rPr>
          <w:rFonts w:ascii="Arial" w:hAnsi="Arial"/>
        </w:rPr>
        <w:t xml:space="preserve">, </w:t>
      </w:r>
      <w:r w:rsidRPr="00AE18FD">
        <w:rPr>
          <w:rFonts w:ascii="Arial" w:hAnsi="Arial"/>
          <w:i/>
          <w:iCs/>
        </w:rPr>
        <w:t>mental health outcomes</w:t>
      </w:r>
      <w:r w:rsidRPr="00AE18FD">
        <w:rPr>
          <w:rFonts w:ascii="Arial" w:hAnsi="Arial"/>
        </w:rPr>
        <w:t xml:space="preserve">, and </w:t>
      </w:r>
      <w:r w:rsidRPr="00AE18FD">
        <w:rPr>
          <w:rFonts w:ascii="Arial" w:hAnsi="Arial"/>
          <w:i/>
          <w:iCs/>
        </w:rPr>
        <w:t>community-based social care interventions</w:t>
      </w:r>
      <w:r w:rsidRPr="00AE18FD">
        <w:rPr>
          <w:rFonts w:ascii="Arial" w:hAnsi="Arial"/>
        </w:rPr>
        <w:t xml:space="preserve"> in the UK. The following search terms were used:</w:t>
      </w:r>
    </w:p>
    <w:p w14:paraId="6271F5A9" w14:textId="77777777" w:rsidR="009E1DD3" w:rsidRPr="00AE18FD" w:rsidRDefault="009E1DD3" w:rsidP="009E1DD3">
      <w:pPr>
        <w:numPr>
          <w:ilvl w:val="0"/>
          <w:numId w:val="2"/>
        </w:numPr>
        <w:spacing w:line="360" w:lineRule="auto"/>
        <w:jc w:val="both"/>
        <w:rPr>
          <w:rFonts w:ascii="Arial" w:hAnsi="Arial"/>
        </w:rPr>
      </w:pPr>
      <w:r w:rsidRPr="00AE18FD">
        <w:rPr>
          <w:rFonts w:ascii="Arial" w:hAnsi="Arial"/>
        </w:rPr>
        <w:t>“dementia” OR “Alzheimer’s disease”</w:t>
      </w:r>
    </w:p>
    <w:p w14:paraId="48EA362D" w14:textId="77777777" w:rsidR="009E1DD3" w:rsidRPr="00AE18FD" w:rsidRDefault="009E1DD3" w:rsidP="009E1DD3">
      <w:pPr>
        <w:numPr>
          <w:ilvl w:val="0"/>
          <w:numId w:val="2"/>
        </w:numPr>
        <w:spacing w:line="360" w:lineRule="auto"/>
        <w:jc w:val="both"/>
        <w:rPr>
          <w:rFonts w:ascii="Arial" w:hAnsi="Arial"/>
        </w:rPr>
      </w:pPr>
      <w:r w:rsidRPr="00AE18FD">
        <w:rPr>
          <w:rFonts w:ascii="Arial" w:hAnsi="Arial"/>
        </w:rPr>
        <w:t>“</w:t>
      </w:r>
      <w:proofErr w:type="gramStart"/>
      <w:r w:rsidRPr="00AE18FD">
        <w:rPr>
          <w:rFonts w:ascii="Arial" w:hAnsi="Arial"/>
        </w:rPr>
        <w:t>mental</w:t>
      </w:r>
      <w:proofErr w:type="gramEnd"/>
      <w:r w:rsidRPr="00AE18FD">
        <w:rPr>
          <w:rFonts w:ascii="Arial" w:hAnsi="Arial"/>
        </w:rPr>
        <w:t xml:space="preserve"> health” OR “wellbeing” OR “depression” OR “anxiety” OR “quality of life”</w:t>
      </w:r>
    </w:p>
    <w:p w14:paraId="5C2D37C2" w14:textId="77777777" w:rsidR="009E1DD3" w:rsidRPr="00AE18FD" w:rsidRDefault="009E1DD3" w:rsidP="009E1DD3">
      <w:pPr>
        <w:numPr>
          <w:ilvl w:val="0"/>
          <w:numId w:val="2"/>
        </w:numPr>
        <w:spacing w:line="360" w:lineRule="auto"/>
        <w:jc w:val="both"/>
        <w:rPr>
          <w:rFonts w:ascii="Arial" w:hAnsi="Arial"/>
        </w:rPr>
      </w:pPr>
      <w:r w:rsidRPr="00AE18FD">
        <w:rPr>
          <w:rFonts w:ascii="Arial" w:hAnsi="Arial"/>
        </w:rPr>
        <w:t>“</w:t>
      </w:r>
      <w:proofErr w:type="gramStart"/>
      <w:r w:rsidRPr="00AE18FD">
        <w:rPr>
          <w:rFonts w:ascii="Arial" w:hAnsi="Arial"/>
        </w:rPr>
        <w:t>social</w:t>
      </w:r>
      <w:proofErr w:type="gramEnd"/>
      <w:r w:rsidRPr="00AE18FD">
        <w:rPr>
          <w:rFonts w:ascii="Arial" w:hAnsi="Arial"/>
        </w:rPr>
        <w:t xml:space="preserve"> care” OR “community care” OR “day centre*” OR “peer support” OR “activity programme” OR “arts intervention”</w:t>
      </w:r>
    </w:p>
    <w:p w14:paraId="4DC0FE65" w14:textId="77777777" w:rsidR="009E1DD3" w:rsidRPr="00AE18FD" w:rsidRDefault="009E1DD3" w:rsidP="009E1DD3">
      <w:pPr>
        <w:numPr>
          <w:ilvl w:val="0"/>
          <w:numId w:val="2"/>
        </w:numPr>
        <w:spacing w:line="360" w:lineRule="auto"/>
        <w:jc w:val="both"/>
        <w:rPr>
          <w:rFonts w:ascii="Arial" w:hAnsi="Arial"/>
        </w:rPr>
      </w:pPr>
      <w:r w:rsidRPr="00AE18FD">
        <w:rPr>
          <w:rFonts w:ascii="Arial" w:hAnsi="Arial"/>
        </w:rPr>
        <w:t>“United Kingdom” OR “UK” OR “England” OR “Wales” OR “Scotland” OR “Northern Ireland”</w:t>
      </w:r>
    </w:p>
    <w:p w14:paraId="7FEC3843" w14:textId="77777777" w:rsidR="009E1DD3" w:rsidRPr="00AE18FD" w:rsidRDefault="009E1DD3" w:rsidP="009E1DD3">
      <w:pPr>
        <w:spacing w:line="360" w:lineRule="auto"/>
        <w:jc w:val="both"/>
        <w:rPr>
          <w:rFonts w:ascii="Arial" w:hAnsi="Arial"/>
        </w:rPr>
      </w:pPr>
      <w:r w:rsidRPr="00AE18FD">
        <w:rPr>
          <w:rFonts w:ascii="Arial" w:hAnsi="Arial"/>
        </w:rPr>
        <w:t>Boolean operators (AND/OR) were applied to connect terms. For example:</w:t>
      </w:r>
      <w:r w:rsidRPr="00AE18FD">
        <w:rPr>
          <w:rFonts w:ascii="Arial" w:hAnsi="Arial"/>
        </w:rPr>
        <w:br/>
        <w:t>("dementia" AND "mental health" AND "social care" AND "UK").</w:t>
      </w:r>
      <w:r w:rsidRPr="00AE18FD">
        <w:rPr>
          <w:rFonts w:ascii="Arial" w:hAnsi="Arial"/>
        </w:rPr>
        <w:br/>
        <w:t>This approach allowed searches to be both broad and targeted, increasing the likelihood of identifying the most relevant studies (Snyder, 2019).</w:t>
      </w:r>
    </w:p>
    <w:p w14:paraId="375E3A6D" w14:textId="77777777" w:rsidR="007E64B8" w:rsidRPr="00AE18FD" w:rsidRDefault="009E1DD3" w:rsidP="007A0E99">
      <w:pPr>
        <w:pStyle w:val="Heading2"/>
      </w:pPr>
      <w:bookmarkStart w:id="8" w:name="_Toc212487461"/>
      <w:r w:rsidRPr="00AE18FD">
        <w:t>Inclusion and exclusion criteria.</w:t>
      </w:r>
      <w:bookmarkEnd w:id="8"/>
    </w:p>
    <w:p w14:paraId="24375ECC" w14:textId="34F42A23" w:rsidR="009E1DD3" w:rsidRPr="00AE18FD" w:rsidRDefault="009E1DD3" w:rsidP="009E1DD3">
      <w:pPr>
        <w:spacing w:line="360" w:lineRule="auto"/>
        <w:jc w:val="both"/>
        <w:rPr>
          <w:rFonts w:ascii="Arial" w:hAnsi="Arial"/>
        </w:rPr>
      </w:pPr>
      <w:r w:rsidRPr="00AE18FD">
        <w:rPr>
          <w:rFonts w:ascii="Arial" w:hAnsi="Arial"/>
        </w:rPr>
        <w:t>Studies were included if they met the following criteria:</w:t>
      </w:r>
    </w:p>
    <w:p w14:paraId="7B3C86B5" w14:textId="77777777" w:rsidR="009E1DD3" w:rsidRPr="00AE18FD" w:rsidRDefault="009E1DD3" w:rsidP="009E1DD3">
      <w:pPr>
        <w:numPr>
          <w:ilvl w:val="0"/>
          <w:numId w:val="3"/>
        </w:numPr>
        <w:spacing w:line="360" w:lineRule="auto"/>
        <w:jc w:val="both"/>
        <w:rPr>
          <w:rFonts w:ascii="Arial" w:hAnsi="Arial"/>
        </w:rPr>
      </w:pPr>
      <w:r w:rsidRPr="00AE18FD">
        <w:rPr>
          <w:rFonts w:ascii="Arial" w:hAnsi="Arial"/>
        </w:rPr>
        <w:t>Published between 2020–2025, to ensure findings were recent.</w:t>
      </w:r>
    </w:p>
    <w:p w14:paraId="5C08BC59" w14:textId="77777777" w:rsidR="009E1DD3" w:rsidRPr="00AE18FD" w:rsidRDefault="009E1DD3" w:rsidP="009E1DD3">
      <w:pPr>
        <w:numPr>
          <w:ilvl w:val="0"/>
          <w:numId w:val="3"/>
        </w:numPr>
        <w:spacing w:line="360" w:lineRule="auto"/>
        <w:jc w:val="both"/>
        <w:rPr>
          <w:rFonts w:ascii="Arial" w:hAnsi="Arial"/>
        </w:rPr>
      </w:pPr>
      <w:r w:rsidRPr="00AE18FD">
        <w:rPr>
          <w:rFonts w:ascii="Arial" w:hAnsi="Arial"/>
        </w:rPr>
        <w:t>Peer-reviewed journal articles.</w:t>
      </w:r>
    </w:p>
    <w:p w14:paraId="562E8011" w14:textId="77777777" w:rsidR="009E1DD3" w:rsidRPr="00AE18FD" w:rsidRDefault="009E1DD3" w:rsidP="009E1DD3">
      <w:pPr>
        <w:numPr>
          <w:ilvl w:val="0"/>
          <w:numId w:val="3"/>
        </w:numPr>
        <w:spacing w:line="360" w:lineRule="auto"/>
        <w:jc w:val="both"/>
        <w:rPr>
          <w:rFonts w:ascii="Arial" w:hAnsi="Arial"/>
        </w:rPr>
      </w:pPr>
      <w:r w:rsidRPr="00AE18FD">
        <w:rPr>
          <w:rFonts w:ascii="Arial" w:hAnsi="Arial"/>
        </w:rPr>
        <w:t>Focused on adults (aged 18+) with dementia.</w:t>
      </w:r>
    </w:p>
    <w:p w14:paraId="50F3EEEE" w14:textId="77777777" w:rsidR="009E1DD3" w:rsidRPr="00AE18FD" w:rsidRDefault="009E1DD3" w:rsidP="009E1DD3">
      <w:pPr>
        <w:numPr>
          <w:ilvl w:val="0"/>
          <w:numId w:val="3"/>
        </w:numPr>
        <w:spacing w:line="360" w:lineRule="auto"/>
        <w:jc w:val="both"/>
        <w:rPr>
          <w:rFonts w:ascii="Arial" w:hAnsi="Arial"/>
        </w:rPr>
      </w:pPr>
      <w:r w:rsidRPr="00AE18FD">
        <w:rPr>
          <w:rFonts w:ascii="Arial" w:hAnsi="Arial"/>
        </w:rPr>
        <w:t>Explored community-based or social care interventions (e.g., day centres, peer groups, arts activities, social prescribing).</w:t>
      </w:r>
    </w:p>
    <w:p w14:paraId="392209BC" w14:textId="77777777" w:rsidR="009E1DD3" w:rsidRPr="00AE18FD" w:rsidRDefault="009E1DD3" w:rsidP="009E1DD3">
      <w:pPr>
        <w:numPr>
          <w:ilvl w:val="0"/>
          <w:numId w:val="3"/>
        </w:numPr>
        <w:spacing w:line="360" w:lineRule="auto"/>
        <w:jc w:val="both"/>
        <w:rPr>
          <w:rFonts w:ascii="Arial" w:hAnsi="Arial"/>
        </w:rPr>
      </w:pPr>
      <w:r w:rsidRPr="00AE18FD">
        <w:rPr>
          <w:rFonts w:ascii="Arial" w:hAnsi="Arial"/>
        </w:rPr>
        <w:t>Based in the UK.</w:t>
      </w:r>
    </w:p>
    <w:p w14:paraId="69DC5300" w14:textId="77777777" w:rsidR="009E1DD3" w:rsidRPr="00AE18FD" w:rsidRDefault="009E1DD3" w:rsidP="009E1DD3">
      <w:pPr>
        <w:numPr>
          <w:ilvl w:val="0"/>
          <w:numId w:val="3"/>
        </w:numPr>
        <w:spacing w:line="360" w:lineRule="auto"/>
        <w:jc w:val="both"/>
        <w:rPr>
          <w:rFonts w:ascii="Arial" w:hAnsi="Arial"/>
        </w:rPr>
      </w:pPr>
      <w:r w:rsidRPr="00AE18FD">
        <w:rPr>
          <w:rFonts w:ascii="Arial" w:hAnsi="Arial"/>
        </w:rPr>
        <w:t>Reported on mental health outcomes such as wellbeing, depression, anxiety, or social connectedness.</w:t>
      </w:r>
    </w:p>
    <w:p w14:paraId="446921CF" w14:textId="77777777" w:rsidR="009E1DD3" w:rsidRPr="00AE18FD" w:rsidRDefault="009E1DD3" w:rsidP="009E1DD3">
      <w:pPr>
        <w:spacing w:line="360" w:lineRule="auto"/>
        <w:jc w:val="both"/>
        <w:rPr>
          <w:rFonts w:ascii="Arial" w:hAnsi="Arial"/>
        </w:rPr>
      </w:pPr>
      <w:r w:rsidRPr="00AE18FD">
        <w:rPr>
          <w:rFonts w:ascii="Arial" w:hAnsi="Arial"/>
        </w:rPr>
        <w:t>Studies were excluded if they:</w:t>
      </w:r>
    </w:p>
    <w:p w14:paraId="1042D0E1" w14:textId="77777777" w:rsidR="009E1DD3" w:rsidRPr="00AE18FD" w:rsidRDefault="009E1DD3" w:rsidP="009E1DD3">
      <w:pPr>
        <w:numPr>
          <w:ilvl w:val="0"/>
          <w:numId w:val="4"/>
        </w:numPr>
        <w:spacing w:line="360" w:lineRule="auto"/>
        <w:jc w:val="both"/>
        <w:rPr>
          <w:rFonts w:ascii="Arial" w:hAnsi="Arial"/>
        </w:rPr>
      </w:pPr>
      <w:r w:rsidRPr="00AE18FD">
        <w:rPr>
          <w:rFonts w:ascii="Arial" w:hAnsi="Arial"/>
        </w:rPr>
        <w:t>Focused only on hospital or acute care settings.</w:t>
      </w:r>
    </w:p>
    <w:p w14:paraId="6E53F092" w14:textId="77777777" w:rsidR="009E1DD3" w:rsidRPr="00AE18FD" w:rsidRDefault="009E1DD3" w:rsidP="009E1DD3">
      <w:pPr>
        <w:numPr>
          <w:ilvl w:val="0"/>
          <w:numId w:val="4"/>
        </w:numPr>
        <w:spacing w:line="360" w:lineRule="auto"/>
        <w:jc w:val="both"/>
        <w:rPr>
          <w:rFonts w:ascii="Arial" w:hAnsi="Arial"/>
        </w:rPr>
      </w:pPr>
      <w:r w:rsidRPr="00AE18FD">
        <w:rPr>
          <w:rFonts w:ascii="Arial" w:hAnsi="Arial"/>
        </w:rPr>
        <w:lastRenderedPageBreak/>
        <w:t>Were conducted outside the UK.</w:t>
      </w:r>
    </w:p>
    <w:p w14:paraId="25411105" w14:textId="77777777" w:rsidR="009E1DD3" w:rsidRPr="00AE18FD" w:rsidRDefault="009E1DD3" w:rsidP="009E1DD3">
      <w:pPr>
        <w:numPr>
          <w:ilvl w:val="0"/>
          <w:numId w:val="4"/>
        </w:numPr>
        <w:spacing w:line="360" w:lineRule="auto"/>
        <w:jc w:val="both"/>
        <w:rPr>
          <w:rFonts w:ascii="Arial" w:hAnsi="Arial"/>
        </w:rPr>
      </w:pPr>
      <w:proofErr w:type="spellStart"/>
      <w:r w:rsidRPr="00AE18FD">
        <w:rPr>
          <w:rFonts w:ascii="Arial" w:hAnsi="Arial"/>
        </w:rPr>
        <w:t>Were</w:t>
      </w:r>
      <w:proofErr w:type="spellEnd"/>
      <w:r w:rsidRPr="00AE18FD">
        <w:rPr>
          <w:rFonts w:ascii="Arial" w:hAnsi="Arial"/>
        </w:rPr>
        <w:t xml:space="preserve"> not peer-reviewed (e.g., conference abstracts, editorials, policy documents).</w:t>
      </w:r>
    </w:p>
    <w:p w14:paraId="4C36A995" w14:textId="77777777" w:rsidR="009E1DD3" w:rsidRPr="00AE18FD" w:rsidRDefault="009E1DD3" w:rsidP="009E1DD3">
      <w:pPr>
        <w:numPr>
          <w:ilvl w:val="0"/>
          <w:numId w:val="4"/>
        </w:numPr>
        <w:spacing w:line="360" w:lineRule="auto"/>
        <w:jc w:val="both"/>
        <w:rPr>
          <w:rFonts w:ascii="Arial" w:hAnsi="Arial"/>
        </w:rPr>
      </w:pPr>
      <w:r w:rsidRPr="00AE18FD">
        <w:rPr>
          <w:rFonts w:ascii="Arial" w:hAnsi="Arial"/>
        </w:rPr>
        <w:t>Did not address mental health outcomes.</w:t>
      </w:r>
    </w:p>
    <w:p w14:paraId="68149EE1" w14:textId="66809860" w:rsidR="009E1DD3" w:rsidRPr="00AE18FD" w:rsidRDefault="009E1DD3" w:rsidP="009E1DD3">
      <w:pPr>
        <w:spacing w:line="360" w:lineRule="auto"/>
        <w:jc w:val="both"/>
        <w:rPr>
          <w:rFonts w:ascii="Arial" w:hAnsi="Arial"/>
        </w:rPr>
      </w:pPr>
      <w:r w:rsidRPr="00AE18FD">
        <w:rPr>
          <w:rFonts w:ascii="Arial" w:hAnsi="Arial"/>
        </w:rPr>
        <w:t>This screening process was guided by PRISMA-</w:t>
      </w:r>
      <w:proofErr w:type="spellStart"/>
      <w:r w:rsidRPr="00AE18FD">
        <w:rPr>
          <w:rFonts w:ascii="Arial" w:hAnsi="Arial"/>
        </w:rPr>
        <w:t>ScR</w:t>
      </w:r>
      <w:proofErr w:type="spellEnd"/>
      <w:r w:rsidRPr="00AE18FD">
        <w:rPr>
          <w:rFonts w:ascii="Arial" w:hAnsi="Arial"/>
        </w:rPr>
        <w:t xml:space="preserve"> principles for scoping reviews, which recommend a transparent and systematic selection process (</w:t>
      </w:r>
      <w:proofErr w:type="spellStart"/>
      <w:r w:rsidRPr="00AE18FD">
        <w:rPr>
          <w:rFonts w:ascii="Arial" w:hAnsi="Arial"/>
        </w:rPr>
        <w:t>Tricco</w:t>
      </w:r>
      <w:proofErr w:type="spellEnd"/>
      <w:r w:rsidRPr="00AE18FD">
        <w:rPr>
          <w:rFonts w:ascii="Arial" w:hAnsi="Arial"/>
        </w:rPr>
        <w:t xml:space="preserve"> et al., 2018).</w:t>
      </w:r>
    </w:p>
    <w:p w14:paraId="3070A1F6" w14:textId="0BC2BAB3" w:rsidR="0051525E" w:rsidRPr="00AE18FD" w:rsidRDefault="00C612F7" w:rsidP="009E1DD3">
      <w:pPr>
        <w:spacing w:line="360" w:lineRule="auto"/>
        <w:jc w:val="both"/>
        <w:rPr>
          <w:rFonts w:ascii="Arial" w:hAnsi="Arial"/>
          <w:i/>
          <w:iCs/>
          <w:color w:val="156082" w:themeColor="accent1"/>
        </w:rPr>
      </w:pPr>
      <w:r w:rsidRPr="00AE18FD">
        <w:rPr>
          <w:rFonts w:ascii="Arial" w:hAnsi="Arial"/>
          <w:noProof/>
          <w:sz w:val="26"/>
          <w:szCs w:val="26"/>
        </w:rPr>
        <mc:AlternateContent>
          <mc:Choice Requires="wps">
            <w:drawing>
              <wp:anchor distT="0" distB="0" distL="114300" distR="114300" simplePos="0" relativeHeight="251667456" behindDoc="0" locked="0" layoutInCell="1" allowOverlap="1" wp14:anchorId="0A5660C8" wp14:editId="45860E66">
                <wp:simplePos x="0" y="0"/>
                <wp:positionH relativeFrom="column">
                  <wp:posOffset>2533650</wp:posOffset>
                </wp:positionH>
                <wp:positionV relativeFrom="paragraph">
                  <wp:posOffset>622300</wp:posOffset>
                </wp:positionV>
                <wp:extent cx="114300" cy="209550"/>
                <wp:effectExtent l="19050" t="0" r="38100" b="38100"/>
                <wp:wrapNone/>
                <wp:docPr id="1701141624" name="Arrow: Down 4"/>
                <wp:cNvGraphicFramePr/>
                <a:graphic xmlns:a="http://schemas.openxmlformats.org/drawingml/2006/main">
                  <a:graphicData uri="http://schemas.microsoft.com/office/word/2010/wordprocessingShape">
                    <wps:wsp>
                      <wps:cNvSpPr/>
                      <wps:spPr>
                        <a:xfrm>
                          <a:off x="0" y="0"/>
                          <a:ext cx="114300" cy="209550"/>
                        </a:xfrm>
                        <a:prstGeom prst="downArrow">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F8C636"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4" o:spid="_x0000_s1026" type="#_x0000_t67" style="position:absolute;margin-left:199.5pt;margin-top:49pt;width:9pt;height:1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" adj="15709" fillcolor="#f09f76 [2165]" strokecolor="#e97132 [3205]" strokeweight="1pt">
                <v:fill color2="#ed8b59 [2613]" rotate="t" colors="0 #f5b8a4;.5 #f2ab96;1 #f59e81" focus="100%" type="gradient">
                  <o:fill v:ext="view" type="gradientUnscaled"/>
                </v:fill>
              </v:shape>
            </w:pict>
          </mc:Fallback>
        </mc:AlternateContent>
      </w:r>
      <w:r w:rsidR="0064501F" w:rsidRPr="00AE18FD">
        <w:rPr>
          <w:rFonts w:ascii="Arial" w:hAnsi="Arial"/>
          <w:noProof/>
          <w:sz w:val="26"/>
          <w:szCs w:val="26"/>
        </w:rPr>
        <mc:AlternateContent>
          <mc:Choice Requires="wps">
            <w:drawing>
              <wp:anchor distT="0" distB="0" distL="114300" distR="114300" simplePos="0" relativeHeight="251665408" behindDoc="0" locked="0" layoutInCell="1" allowOverlap="1" wp14:anchorId="0C88452F" wp14:editId="069B6FD9">
                <wp:simplePos x="0" y="0"/>
                <wp:positionH relativeFrom="column">
                  <wp:posOffset>3638550</wp:posOffset>
                </wp:positionH>
                <wp:positionV relativeFrom="paragraph">
                  <wp:posOffset>1826260</wp:posOffset>
                </wp:positionV>
                <wp:extent cx="209550" cy="615950"/>
                <wp:effectExtent l="0" t="12700" r="0" b="44450"/>
                <wp:wrapNone/>
                <wp:docPr id="711660715" name="Arrow: Down 4"/>
                <wp:cNvGraphicFramePr/>
                <a:graphic xmlns:a="http://schemas.openxmlformats.org/drawingml/2006/main">
                  <a:graphicData uri="http://schemas.microsoft.com/office/word/2010/wordprocessingShape">
                    <wps:wsp>
                      <wps:cNvSpPr/>
                      <wps:spPr>
                        <a:xfrm rot="16200000">
                          <a:off x="0" y="0"/>
                          <a:ext cx="209550" cy="615950"/>
                        </a:xfrm>
                        <a:prstGeom prst="downArrow">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CCCA30" id="Arrow: Down 4" o:spid="_x0000_s1026" type="#_x0000_t67" style="position:absolute;margin-left:286.5pt;margin-top:143.8pt;width:16.5pt;height:48.5pt;rotation:-9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" adj="17926" fillcolor="#f09f76 [2165]" strokecolor="#e97132 [3205]" strokeweight="1pt">
                <v:fill color2="#ed8b59 [2613]" rotate="t" colors="0 #f5b8a4;.5 #f2ab96;1 #f59e81" focus="100%" type="gradient">
                  <o:fill v:ext="view" type="gradientUnscaled"/>
                </v:fill>
              </v:shape>
            </w:pict>
          </mc:Fallback>
        </mc:AlternateContent>
      </w:r>
      <w:r w:rsidR="0064501F" w:rsidRPr="00AE18FD">
        <w:rPr>
          <w:rFonts w:ascii="Arial" w:hAnsi="Arial"/>
          <w:noProof/>
          <w:sz w:val="26"/>
          <w:szCs w:val="26"/>
        </w:rPr>
        <mc:AlternateContent>
          <mc:Choice Requires="wps">
            <w:drawing>
              <wp:anchor distT="0" distB="0" distL="114300" distR="114300" simplePos="0" relativeHeight="251663360" behindDoc="0" locked="0" layoutInCell="1" allowOverlap="1" wp14:anchorId="12CAB00E" wp14:editId="1DFE365E">
                <wp:simplePos x="0" y="0"/>
                <wp:positionH relativeFrom="column">
                  <wp:posOffset>3581400</wp:posOffset>
                </wp:positionH>
                <wp:positionV relativeFrom="paragraph">
                  <wp:posOffset>831215</wp:posOffset>
                </wp:positionV>
                <wp:extent cx="209551" cy="615950"/>
                <wp:effectExtent l="0" t="12700" r="0" b="44450"/>
                <wp:wrapNone/>
                <wp:docPr id="820991040" name="Arrow: Down 4"/>
                <wp:cNvGraphicFramePr/>
                <a:graphic xmlns:a="http://schemas.openxmlformats.org/drawingml/2006/main">
                  <a:graphicData uri="http://schemas.microsoft.com/office/word/2010/wordprocessingShape">
                    <wps:wsp>
                      <wps:cNvSpPr/>
                      <wps:spPr>
                        <a:xfrm rot="16200000">
                          <a:off x="0" y="0"/>
                          <a:ext cx="209551" cy="615950"/>
                        </a:xfrm>
                        <a:prstGeom prst="downArrow">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56FACB" id="Arrow: Down 4" o:spid="_x0000_s1026" type="#_x0000_t67" style="position:absolute;margin-left:282pt;margin-top:65.45pt;width:16.5pt;height:48.5pt;rotation:-9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" adj="17926" fillcolor="#f09f76 [2165]" strokecolor="#e97132 [3205]" strokeweight="1pt">
                <v:fill color2="#ed8b59 [2613]" rotate="t" colors="0 #f5b8a4;.5 #f2ab96;1 #f59e81" focus="100%" type="gradient">
                  <o:fill v:ext="view" type="gradientUnscaled"/>
                </v:fill>
              </v:shape>
            </w:pict>
          </mc:Fallback>
        </mc:AlternateContent>
      </w:r>
      <w:r w:rsidR="0064501F" w:rsidRPr="00AE18FD">
        <w:rPr>
          <w:rFonts w:ascii="Arial" w:hAnsi="Arial"/>
          <w:noProof/>
          <w:sz w:val="26"/>
          <w:szCs w:val="26"/>
        </w:rPr>
        <mc:AlternateContent>
          <mc:Choice Requires="wps">
            <w:drawing>
              <wp:anchor distT="0" distB="0" distL="114300" distR="114300" simplePos="0" relativeHeight="251659264" behindDoc="0" locked="0" layoutInCell="1" allowOverlap="1" wp14:anchorId="513DE611" wp14:editId="19033852">
                <wp:simplePos x="0" y="0"/>
                <wp:positionH relativeFrom="column">
                  <wp:posOffset>2533650</wp:posOffset>
                </wp:positionH>
                <wp:positionV relativeFrom="paragraph">
                  <wp:posOffset>1447800</wp:posOffset>
                </wp:positionV>
                <wp:extent cx="171450" cy="273050"/>
                <wp:effectExtent l="19050" t="0" r="19050" b="31750"/>
                <wp:wrapNone/>
                <wp:docPr id="1597317419" name="Arrow: Down 4"/>
                <wp:cNvGraphicFramePr/>
                <a:graphic xmlns:a="http://schemas.openxmlformats.org/drawingml/2006/main">
                  <a:graphicData uri="http://schemas.microsoft.com/office/word/2010/wordprocessingShape">
                    <wps:wsp>
                      <wps:cNvSpPr/>
                      <wps:spPr>
                        <a:xfrm>
                          <a:off x="0" y="0"/>
                          <a:ext cx="171450" cy="273050"/>
                        </a:xfrm>
                        <a:prstGeom prst="downArrow">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18BFBD0" id="Arrow: Down 4" o:spid="_x0000_s1026" type="#_x0000_t67" style="position:absolute;margin-left:199.5pt;margin-top:114pt;width:13.5pt;height:21.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" adj="14819" fillcolor="#f09f76 [2165]" strokecolor="#e97132 [3205]" strokeweight="1pt">
                <v:fill color2="#ed8b59 [2613]" rotate="t" colors="0 #f5b8a4;.5 #f2ab96;1 #f59e81" focus="100%" type="gradient">
                  <o:fill v:ext="view" type="gradientUnscaled"/>
                </v:fill>
              </v:shape>
            </w:pict>
          </mc:Fallback>
        </mc:AlternateContent>
      </w:r>
      <w:r w:rsidR="00C67B4C" w:rsidRPr="00AE18FD">
        <w:rPr>
          <w:rFonts w:ascii="Arial" w:hAnsi="Arial"/>
          <w:noProof/>
          <w:sz w:val="26"/>
          <w:szCs w:val="26"/>
        </w:rPr>
        <mc:AlternateContent>
          <mc:Choice Requires="wps">
            <w:drawing>
              <wp:anchor distT="0" distB="0" distL="114300" distR="114300" simplePos="0" relativeHeight="251661312" behindDoc="0" locked="0" layoutInCell="1" allowOverlap="1" wp14:anchorId="376469CF" wp14:editId="5A8C4CC4">
                <wp:simplePos x="0" y="0"/>
                <wp:positionH relativeFrom="column">
                  <wp:posOffset>2609850</wp:posOffset>
                </wp:positionH>
                <wp:positionV relativeFrom="paragraph">
                  <wp:posOffset>2355850</wp:posOffset>
                </wp:positionV>
                <wp:extent cx="171450" cy="273050"/>
                <wp:effectExtent l="19050" t="0" r="19050" b="31750"/>
                <wp:wrapNone/>
                <wp:docPr id="1952781243" name="Arrow: Down 4"/>
                <wp:cNvGraphicFramePr/>
                <a:graphic xmlns:a="http://schemas.openxmlformats.org/drawingml/2006/main">
                  <a:graphicData uri="http://schemas.microsoft.com/office/word/2010/wordprocessingShape">
                    <wps:wsp>
                      <wps:cNvSpPr/>
                      <wps:spPr>
                        <a:xfrm>
                          <a:off x="0" y="0"/>
                          <a:ext cx="171450" cy="273050"/>
                        </a:xfrm>
                        <a:prstGeom prst="downArrow">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9EBFCD5" id="Arrow: Down 4" o:spid="_x0000_s1026" type="#_x0000_t67" style="position:absolute;margin-left:205.5pt;margin-top:185.5pt;width:13.5pt;height:21.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" adj="14819" fillcolor="#f09f76 [2165]" strokecolor="#e97132 [3205]" strokeweight="1pt">
                <v:fill color2="#ed8b59 [2613]" rotate="t" colors="0 #f5b8a4;.5 #f2ab96;1 #f59e81" focus="100%" type="gradient">
                  <o:fill v:ext="view" type="gradientUnscaled"/>
                </v:fill>
              </v:shape>
            </w:pict>
          </mc:Fallback>
        </mc:AlternateContent>
      </w:r>
      <w:r w:rsidR="0051525E" w:rsidRPr="00AE18FD">
        <w:rPr>
          <w:rFonts w:ascii="Arial" w:hAnsi="Arial"/>
          <w:noProof/>
          <w:sz w:val="26"/>
          <w:szCs w:val="26"/>
        </w:rPr>
        <w:drawing>
          <wp:inline distT="0" distB="0" distL="0" distR="0" wp14:anchorId="111BFBA5" wp14:editId="269327B0">
            <wp:extent cx="5486400" cy="3898900"/>
            <wp:effectExtent l="0" t="0" r="38100" b="0"/>
            <wp:docPr id="1663641337"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r w:rsidRPr="00AE18FD">
        <w:rPr>
          <w:rFonts w:ascii="Arial" w:hAnsi="Arial"/>
          <w:i/>
          <w:iCs/>
          <w:color w:val="156082" w:themeColor="accent1"/>
        </w:rPr>
        <w:t>Figure 1. PRISMA-</w:t>
      </w:r>
      <w:proofErr w:type="spellStart"/>
      <w:r w:rsidRPr="00AE18FD">
        <w:rPr>
          <w:rFonts w:ascii="Arial" w:hAnsi="Arial"/>
          <w:i/>
          <w:iCs/>
          <w:color w:val="156082" w:themeColor="accent1"/>
        </w:rPr>
        <w:t>ScR</w:t>
      </w:r>
      <w:proofErr w:type="spellEnd"/>
      <w:r w:rsidRPr="00AE18FD">
        <w:rPr>
          <w:rFonts w:ascii="Arial" w:hAnsi="Arial"/>
          <w:i/>
          <w:iCs/>
          <w:color w:val="156082" w:themeColor="accent1"/>
        </w:rPr>
        <w:t xml:space="preserve"> flow diagram of study selection process.</w:t>
      </w:r>
    </w:p>
    <w:p w14:paraId="3469604E" w14:textId="77777777" w:rsidR="0051525E" w:rsidRPr="00AE18FD" w:rsidRDefault="0051525E" w:rsidP="009E1DD3">
      <w:pPr>
        <w:spacing w:line="360" w:lineRule="auto"/>
        <w:jc w:val="both"/>
        <w:rPr>
          <w:rFonts w:ascii="Arial" w:hAnsi="Arial"/>
        </w:rPr>
      </w:pPr>
    </w:p>
    <w:p w14:paraId="288C43BD" w14:textId="77777777" w:rsidR="0051525E" w:rsidRPr="00AE18FD" w:rsidRDefault="0051525E" w:rsidP="009E1DD3">
      <w:pPr>
        <w:spacing w:line="360" w:lineRule="auto"/>
        <w:jc w:val="both"/>
        <w:rPr>
          <w:rFonts w:ascii="Arial" w:hAnsi="Arial"/>
        </w:rPr>
      </w:pPr>
    </w:p>
    <w:p w14:paraId="74828AB2" w14:textId="77777777" w:rsidR="0051525E" w:rsidRPr="00AE18FD" w:rsidRDefault="0051525E" w:rsidP="009E1DD3">
      <w:pPr>
        <w:spacing w:line="360" w:lineRule="auto"/>
        <w:jc w:val="both"/>
        <w:rPr>
          <w:rFonts w:ascii="Arial" w:hAnsi="Arial"/>
        </w:rPr>
      </w:pPr>
    </w:p>
    <w:p w14:paraId="2D4BF719" w14:textId="280F7830" w:rsidR="0051525E" w:rsidRPr="00AE18FD" w:rsidRDefault="009E1DD3" w:rsidP="007A0E99">
      <w:pPr>
        <w:pStyle w:val="Heading2"/>
      </w:pPr>
      <w:bookmarkStart w:id="9" w:name="_Toc212487462"/>
      <w:r w:rsidRPr="00AE18FD">
        <w:t>Data charting and analysis.</w:t>
      </w:r>
      <w:bookmarkEnd w:id="9"/>
    </w:p>
    <w:p w14:paraId="7A201133" w14:textId="5653574B" w:rsidR="009E1DD3" w:rsidRPr="00AE18FD" w:rsidRDefault="009E1DD3" w:rsidP="009E1DD3">
      <w:pPr>
        <w:spacing w:line="360" w:lineRule="auto"/>
        <w:jc w:val="both"/>
        <w:rPr>
          <w:rFonts w:ascii="Arial" w:hAnsi="Arial"/>
        </w:rPr>
      </w:pPr>
      <w:r w:rsidRPr="00AE18FD">
        <w:rPr>
          <w:rFonts w:ascii="Arial" w:hAnsi="Arial"/>
        </w:rPr>
        <w:t>The included studies were charted into a summary table, which recorded details such as author, year, setting, sample, intervention, outcomes, and key findings. Charting allowed the information to be organised in a consistent way across studies (Peters et al., 2020).</w:t>
      </w:r>
    </w:p>
    <w:p w14:paraId="3B40CE35" w14:textId="77777777" w:rsidR="009E1DD3" w:rsidRPr="00AE18FD" w:rsidRDefault="009E1DD3" w:rsidP="009E1DD3">
      <w:pPr>
        <w:spacing w:line="360" w:lineRule="auto"/>
        <w:jc w:val="both"/>
        <w:rPr>
          <w:rFonts w:ascii="Arial" w:hAnsi="Arial"/>
        </w:rPr>
      </w:pPr>
      <w:r w:rsidRPr="00AE18FD">
        <w:rPr>
          <w:rFonts w:ascii="Arial" w:hAnsi="Arial"/>
        </w:rPr>
        <w:lastRenderedPageBreak/>
        <w:t xml:space="preserve">For analysis, a thematic approach was used. Findings were read closely and grouped into themes, such as </w:t>
      </w:r>
      <w:r w:rsidRPr="00AE18FD">
        <w:rPr>
          <w:rFonts w:ascii="Arial" w:hAnsi="Arial"/>
          <w:i/>
          <w:iCs/>
        </w:rPr>
        <w:t>improvements in wellbeing</w:t>
      </w:r>
      <w:r w:rsidRPr="00AE18FD">
        <w:rPr>
          <w:rFonts w:ascii="Arial" w:hAnsi="Arial"/>
        </w:rPr>
        <w:t xml:space="preserve">, </w:t>
      </w:r>
      <w:r w:rsidRPr="00AE18FD">
        <w:rPr>
          <w:rFonts w:ascii="Arial" w:hAnsi="Arial"/>
          <w:i/>
          <w:iCs/>
        </w:rPr>
        <w:t>reductions in loneliness</w:t>
      </w:r>
      <w:r w:rsidRPr="00AE18FD">
        <w:rPr>
          <w:rFonts w:ascii="Arial" w:hAnsi="Arial"/>
        </w:rPr>
        <w:t xml:space="preserve">, or </w:t>
      </w:r>
      <w:r w:rsidRPr="00AE18FD">
        <w:rPr>
          <w:rFonts w:ascii="Arial" w:hAnsi="Arial"/>
          <w:i/>
          <w:iCs/>
        </w:rPr>
        <w:t>barriers to access</w:t>
      </w:r>
      <w:r w:rsidRPr="00AE18FD">
        <w:rPr>
          <w:rFonts w:ascii="Arial" w:hAnsi="Arial"/>
        </w:rPr>
        <w:t>. Thematic analysis is useful for scoping reviews because it highlights patterns and differences across diverse interventions without trying to measure effect size (Braun &amp; Clarke, 2021).</w:t>
      </w:r>
    </w:p>
    <w:p w14:paraId="21BD919A" w14:textId="77777777" w:rsidR="00275AB5" w:rsidRPr="00AE18FD" w:rsidRDefault="009E1DD3" w:rsidP="007A0E99">
      <w:pPr>
        <w:pStyle w:val="Heading2"/>
      </w:pPr>
      <w:bookmarkStart w:id="10" w:name="_Toc212487463"/>
      <w:r w:rsidRPr="00AE18FD">
        <w:t>Ethical considerations.</w:t>
      </w:r>
      <w:bookmarkEnd w:id="10"/>
    </w:p>
    <w:p w14:paraId="4033AAAF" w14:textId="0087734D" w:rsidR="009E1DD3" w:rsidRPr="00AE18FD" w:rsidRDefault="009E1DD3" w:rsidP="009E1DD3">
      <w:pPr>
        <w:spacing w:line="360" w:lineRule="auto"/>
        <w:jc w:val="both"/>
        <w:rPr>
          <w:rFonts w:ascii="Arial" w:hAnsi="Arial"/>
        </w:rPr>
      </w:pPr>
      <w:r w:rsidRPr="00AE18FD">
        <w:rPr>
          <w:rFonts w:ascii="Arial" w:hAnsi="Arial"/>
        </w:rPr>
        <w:t>As this was a scoping review of published studies, no direct participants were involved. Ethical approval was not required because the review relied only on secondary data (Snyder, 2019). However, ethical research practice was followed by using credible sources, referencing accurately, and ensuring transparency in reporting methods. This approach helps maintain trust and academic integrity.</w:t>
      </w:r>
    </w:p>
    <w:p w14:paraId="3808FF69" w14:textId="77777777" w:rsidR="003874EB" w:rsidRPr="00AE18FD" w:rsidRDefault="003874EB" w:rsidP="003874EB">
      <w:pPr>
        <w:pStyle w:val="Heading1"/>
      </w:pPr>
      <w:bookmarkStart w:id="11" w:name="_Toc212487464"/>
      <w:r w:rsidRPr="00AE18FD">
        <w:t>Results</w:t>
      </w:r>
      <w:bookmarkEnd w:id="11"/>
    </w:p>
    <w:p w14:paraId="4C3B4259" w14:textId="77777777" w:rsidR="003874EB" w:rsidRPr="00AE18FD" w:rsidRDefault="003874EB" w:rsidP="003874EB">
      <w:pPr>
        <w:spacing w:line="360" w:lineRule="auto"/>
        <w:jc w:val="both"/>
        <w:rPr>
          <w:rFonts w:ascii="Arial" w:hAnsi="Arial"/>
        </w:rPr>
      </w:pPr>
      <w:r w:rsidRPr="00AE18FD">
        <w:rPr>
          <w:rFonts w:ascii="Arial" w:hAnsi="Arial"/>
        </w:rPr>
        <w:t>The search identified five peer-reviewed studies that met the inclusion criteria. These studies all focused on community-based social care interventions for adults with dementia in the UK and reported outcomes related to mental health, wellbeing, or social connectedness. A summary of the included studies is shown in Table 1.</w:t>
      </w:r>
    </w:p>
    <w:p w14:paraId="186D3D0E" w14:textId="65B362E6" w:rsidR="003874EB" w:rsidRPr="00AE18FD" w:rsidRDefault="003874EB" w:rsidP="003874EB">
      <w:pPr>
        <w:spacing w:line="360" w:lineRule="auto"/>
        <w:jc w:val="both"/>
        <w:rPr>
          <w:rFonts w:ascii="Arial" w:hAnsi="Arial"/>
        </w:rPr>
      </w:pPr>
    </w:p>
    <w:p w14:paraId="31CC0B11" w14:textId="77777777" w:rsidR="003874EB" w:rsidRPr="00AE18FD" w:rsidRDefault="003874EB" w:rsidP="007A0E99">
      <w:pPr>
        <w:pStyle w:val="Heading2"/>
      </w:pPr>
      <w:bookmarkStart w:id="12" w:name="_Toc212487465"/>
      <w:r w:rsidRPr="00AE18FD">
        <w:t>Table 1. Summary of included studies</w:t>
      </w:r>
      <w:bookmarkEnd w:id="12"/>
    </w:p>
    <w:tbl>
      <w:tblPr>
        <w:tblStyle w:val="GridTable4-Accent6"/>
        <w:tblW w:w="0" w:type="auto"/>
        <w:tblLook w:val="04A0" w:firstRow="1" w:lastRow="0" w:firstColumn="1" w:lastColumn="0" w:noHBand="0" w:noVBand="1"/>
      </w:tblPr>
      <w:tblGrid>
        <w:gridCol w:w="1416"/>
        <w:gridCol w:w="1621"/>
        <w:gridCol w:w="1959"/>
        <w:gridCol w:w="1934"/>
        <w:gridCol w:w="2086"/>
      </w:tblGrid>
      <w:tr w:rsidR="003874EB" w:rsidRPr="00AE18FD" w14:paraId="105C2F62" w14:textId="77777777" w:rsidTr="00275AB5">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0" w:type="auto"/>
            <w:hideMark/>
          </w:tcPr>
          <w:p w14:paraId="7BD161DD" w14:textId="77777777" w:rsidR="003874EB" w:rsidRPr="00AE18FD" w:rsidRDefault="003874EB" w:rsidP="00275AB5">
            <w:pPr>
              <w:spacing w:after="160"/>
              <w:jc w:val="both"/>
              <w:rPr>
                <w:rFonts w:ascii="Arial" w:hAnsi="Arial"/>
                <w:b w:val="0"/>
                <w:bCs w:val="0"/>
                <w:sz w:val="22"/>
                <w:szCs w:val="22"/>
              </w:rPr>
            </w:pPr>
            <w:r w:rsidRPr="00AE18FD">
              <w:rPr>
                <w:rFonts w:ascii="Arial" w:hAnsi="Arial"/>
                <w:b w:val="0"/>
                <w:bCs w:val="0"/>
                <w:sz w:val="22"/>
                <w:szCs w:val="22"/>
              </w:rPr>
              <w:t>Author &amp; Year</w:t>
            </w:r>
          </w:p>
        </w:tc>
        <w:tc>
          <w:tcPr>
            <w:tcW w:w="0" w:type="auto"/>
            <w:hideMark/>
          </w:tcPr>
          <w:p w14:paraId="2AA4618F" w14:textId="77777777" w:rsidR="003874EB" w:rsidRPr="00AE18FD" w:rsidRDefault="003874EB" w:rsidP="00275AB5">
            <w:pPr>
              <w:spacing w:after="160"/>
              <w:jc w:val="both"/>
              <w:cnfStyle w:val="100000000000" w:firstRow="1" w:lastRow="0" w:firstColumn="0" w:lastColumn="0" w:oddVBand="0" w:evenVBand="0" w:oddHBand="0" w:evenHBand="0" w:firstRowFirstColumn="0" w:firstRowLastColumn="0" w:lastRowFirstColumn="0" w:lastRowLastColumn="0"/>
              <w:rPr>
                <w:rFonts w:ascii="Arial" w:hAnsi="Arial"/>
                <w:b w:val="0"/>
                <w:bCs w:val="0"/>
                <w:sz w:val="22"/>
                <w:szCs w:val="22"/>
              </w:rPr>
            </w:pPr>
            <w:r w:rsidRPr="00AE18FD">
              <w:rPr>
                <w:rFonts w:ascii="Arial" w:hAnsi="Arial"/>
                <w:b w:val="0"/>
                <w:bCs w:val="0"/>
                <w:sz w:val="22"/>
                <w:szCs w:val="22"/>
              </w:rPr>
              <w:t>Setting</w:t>
            </w:r>
          </w:p>
        </w:tc>
        <w:tc>
          <w:tcPr>
            <w:tcW w:w="0" w:type="auto"/>
            <w:hideMark/>
          </w:tcPr>
          <w:p w14:paraId="7F3F719A" w14:textId="77777777" w:rsidR="003874EB" w:rsidRPr="00AE18FD" w:rsidRDefault="003874EB" w:rsidP="00275AB5">
            <w:pPr>
              <w:spacing w:after="160"/>
              <w:jc w:val="both"/>
              <w:cnfStyle w:val="100000000000" w:firstRow="1" w:lastRow="0" w:firstColumn="0" w:lastColumn="0" w:oddVBand="0" w:evenVBand="0" w:oddHBand="0" w:evenHBand="0" w:firstRowFirstColumn="0" w:firstRowLastColumn="0" w:lastRowFirstColumn="0" w:lastRowLastColumn="0"/>
              <w:rPr>
                <w:rFonts w:ascii="Arial" w:hAnsi="Arial"/>
                <w:b w:val="0"/>
                <w:bCs w:val="0"/>
                <w:sz w:val="22"/>
                <w:szCs w:val="22"/>
              </w:rPr>
            </w:pPr>
            <w:r w:rsidRPr="00AE18FD">
              <w:rPr>
                <w:rFonts w:ascii="Arial" w:hAnsi="Arial"/>
                <w:b w:val="0"/>
                <w:bCs w:val="0"/>
                <w:sz w:val="22"/>
                <w:szCs w:val="22"/>
              </w:rPr>
              <w:t>Intervention</w:t>
            </w:r>
          </w:p>
        </w:tc>
        <w:tc>
          <w:tcPr>
            <w:tcW w:w="0" w:type="auto"/>
            <w:hideMark/>
          </w:tcPr>
          <w:p w14:paraId="3FF62C2A" w14:textId="77777777" w:rsidR="003874EB" w:rsidRPr="00AE18FD" w:rsidRDefault="003874EB" w:rsidP="00275AB5">
            <w:pPr>
              <w:spacing w:after="160"/>
              <w:jc w:val="both"/>
              <w:cnfStyle w:val="100000000000" w:firstRow="1" w:lastRow="0" w:firstColumn="0" w:lastColumn="0" w:oddVBand="0" w:evenVBand="0" w:oddHBand="0" w:evenHBand="0" w:firstRowFirstColumn="0" w:firstRowLastColumn="0" w:lastRowFirstColumn="0" w:lastRowLastColumn="0"/>
              <w:rPr>
                <w:rFonts w:ascii="Arial" w:hAnsi="Arial"/>
                <w:b w:val="0"/>
                <w:bCs w:val="0"/>
                <w:sz w:val="22"/>
                <w:szCs w:val="22"/>
              </w:rPr>
            </w:pPr>
            <w:r w:rsidRPr="00AE18FD">
              <w:rPr>
                <w:rFonts w:ascii="Arial" w:hAnsi="Arial"/>
                <w:b w:val="0"/>
                <w:bCs w:val="0"/>
                <w:sz w:val="22"/>
                <w:szCs w:val="22"/>
              </w:rPr>
              <w:t>Outcomes Measured</w:t>
            </w:r>
          </w:p>
        </w:tc>
        <w:tc>
          <w:tcPr>
            <w:tcW w:w="0" w:type="auto"/>
            <w:hideMark/>
          </w:tcPr>
          <w:p w14:paraId="62090D9D" w14:textId="77777777" w:rsidR="003874EB" w:rsidRPr="00AE18FD" w:rsidRDefault="003874EB" w:rsidP="00275AB5">
            <w:pPr>
              <w:spacing w:after="160"/>
              <w:jc w:val="both"/>
              <w:cnfStyle w:val="100000000000" w:firstRow="1" w:lastRow="0" w:firstColumn="0" w:lastColumn="0" w:oddVBand="0" w:evenVBand="0" w:oddHBand="0" w:evenHBand="0" w:firstRowFirstColumn="0" w:firstRowLastColumn="0" w:lastRowFirstColumn="0" w:lastRowLastColumn="0"/>
              <w:rPr>
                <w:rFonts w:ascii="Arial" w:hAnsi="Arial"/>
                <w:b w:val="0"/>
                <w:bCs w:val="0"/>
                <w:sz w:val="22"/>
                <w:szCs w:val="22"/>
              </w:rPr>
            </w:pPr>
            <w:r w:rsidRPr="00AE18FD">
              <w:rPr>
                <w:rFonts w:ascii="Arial" w:hAnsi="Arial"/>
                <w:b w:val="0"/>
                <w:bCs w:val="0"/>
                <w:sz w:val="22"/>
                <w:szCs w:val="22"/>
              </w:rPr>
              <w:t>Key Findings</w:t>
            </w:r>
          </w:p>
        </w:tc>
      </w:tr>
      <w:tr w:rsidR="003874EB" w:rsidRPr="00AE18FD" w14:paraId="75C16556" w14:textId="77777777" w:rsidTr="00275A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9272EE" w14:textId="77777777" w:rsidR="003874EB" w:rsidRPr="00AE18FD" w:rsidRDefault="003874EB" w:rsidP="00275AB5">
            <w:pPr>
              <w:spacing w:after="160"/>
              <w:jc w:val="both"/>
              <w:rPr>
                <w:rFonts w:ascii="Arial" w:hAnsi="Arial"/>
                <w:b w:val="0"/>
                <w:bCs w:val="0"/>
                <w:sz w:val="22"/>
                <w:szCs w:val="22"/>
              </w:rPr>
            </w:pPr>
            <w:r w:rsidRPr="00AE18FD">
              <w:rPr>
                <w:rFonts w:ascii="Arial" w:hAnsi="Arial"/>
                <w:b w:val="0"/>
                <w:bCs w:val="0"/>
                <w:sz w:val="22"/>
                <w:szCs w:val="22"/>
              </w:rPr>
              <w:t>Samsi et al. (2025)</w:t>
            </w:r>
          </w:p>
        </w:tc>
        <w:tc>
          <w:tcPr>
            <w:tcW w:w="0" w:type="auto"/>
            <w:hideMark/>
          </w:tcPr>
          <w:p w14:paraId="7C4FF45E" w14:textId="77777777" w:rsidR="003874EB" w:rsidRPr="00AE18FD" w:rsidRDefault="003874EB" w:rsidP="00275AB5">
            <w:pPr>
              <w:spacing w:after="160"/>
              <w:jc w:val="both"/>
              <w:cnfStyle w:val="000000100000" w:firstRow="0" w:lastRow="0" w:firstColumn="0" w:lastColumn="0" w:oddVBand="0" w:evenVBand="0" w:oddHBand="1" w:evenHBand="0" w:firstRowFirstColumn="0" w:firstRowLastColumn="0" w:lastRowFirstColumn="0" w:lastRowLastColumn="0"/>
              <w:rPr>
                <w:rFonts w:ascii="Arial" w:hAnsi="Arial"/>
                <w:sz w:val="22"/>
                <w:szCs w:val="22"/>
              </w:rPr>
            </w:pPr>
            <w:r w:rsidRPr="00AE18FD">
              <w:rPr>
                <w:rFonts w:ascii="Arial" w:hAnsi="Arial"/>
                <w:sz w:val="22"/>
                <w:szCs w:val="22"/>
              </w:rPr>
              <w:t>Day centres in England &amp; Scotland</w:t>
            </w:r>
          </w:p>
        </w:tc>
        <w:tc>
          <w:tcPr>
            <w:tcW w:w="0" w:type="auto"/>
            <w:hideMark/>
          </w:tcPr>
          <w:p w14:paraId="225EA72C" w14:textId="77777777" w:rsidR="003874EB" w:rsidRPr="00AE18FD" w:rsidRDefault="003874EB" w:rsidP="00275AB5">
            <w:pPr>
              <w:spacing w:after="160"/>
              <w:jc w:val="both"/>
              <w:cnfStyle w:val="000000100000" w:firstRow="0" w:lastRow="0" w:firstColumn="0" w:lastColumn="0" w:oddVBand="0" w:evenVBand="0" w:oddHBand="1" w:evenHBand="0" w:firstRowFirstColumn="0" w:firstRowLastColumn="0" w:lastRowFirstColumn="0" w:lastRowLastColumn="0"/>
              <w:rPr>
                <w:rFonts w:ascii="Arial" w:hAnsi="Arial"/>
                <w:sz w:val="22"/>
                <w:szCs w:val="22"/>
              </w:rPr>
            </w:pPr>
            <w:r w:rsidRPr="00AE18FD">
              <w:rPr>
                <w:rFonts w:ascii="Arial" w:hAnsi="Arial"/>
                <w:sz w:val="22"/>
                <w:szCs w:val="22"/>
              </w:rPr>
              <w:t>Day care programmes with group activities and respite for carers</w:t>
            </w:r>
          </w:p>
        </w:tc>
        <w:tc>
          <w:tcPr>
            <w:tcW w:w="0" w:type="auto"/>
            <w:hideMark/>
          </w:tcPr>
          <w:p w14:paraId="2440018D" w14:textId="77777777" w:rsidR="003874EB" w:rsidRPr="00AE18FD" w:rsidRDefault="003874EB" w:rsidP="00275AB5">
            <w:pPr>
              <w:spacing w:after="160"/>
              <w:jc w:val="both"/>
              <w:cnfStyle w:val="000000100000" w:firstRow="0" w:lastRow="0" w:firstColumn="0" w:lastColumn="0" w:oddVBand="0" w:evenVBand="0" w:oddHBand="1" w:evenHBand="0" w:firstRowFirstColumn="0" w:firstRowLastColumn="0" w:lastRowFirstColumn="0" w:lastRowLastColumn="0"/>
              <w:rPr>
                <w:rFonts w:ascii="Arial" w:hAnsi="Arial"/>
                <w:sz w:val="22"/>
                <w:szCs w:val="22"/>
              </w:rPr>
            </w:pPr>
            <w:r w:rsidRPr="00AE18FD">
              <w:rPr>
                <w:rFonts w:ascii="Arial" w:hAnsi="Arial"/>
                <w:sz w:val="22"/>
                <w:szCs w:val="22"/>
              </w:rPr>
              <w:t>Social connectedness, wellbeing, carer stress</w:t>
            </w:r>
          </w:p>
        </w:tc>
        <w:tc>
          <w:tcPr>
            <w:tcW w:w="0" w:type="auto"/>
            <w:hideMark/>
          </w:tcPr>
          <w:p w14:paraId="46884B66" w14:textId="77777777" w:rsidR="003874EB" w:rsidRPr="00AE18FD" w:rsidRDefault="003874EB" w:rsidP="00275AB5">
            <w:pPr>
              <w:spacing w:after="160"/>
              <w:jc w:val="both"/>
              <w:cnfStyle w:val="000000100000" w:firstRow="0" w:lastRow="0" w:firstColumn="0" w:lastColumn="0" w:oddVBand="0" w:evenVBand="0" w:oddHBand="1" w:evenHBand="0" w:firstRowFirstColumn="0" w:firstRowLastColumn="0" w:lastRowFirstColumn="0" w:lastRowLastColumn="0"/>
              <w:rPr>
                <w:rFonts w:ascii="Arial" w:hAnsi="Arial"/>
                <w:sz w:val="22"/>
                <w:szCs w:val="22"/>
              </w:rPr>
            </w:pPr>
            <w:r w:rsidRPr="00AE18FD">
              <w:rPr>
                <w:rFonts w:ascii="Arial" w:hAnsi="Arial"/>
                <w:sz w:val="22"/>
                <w:szCs w:val="22"/>
              </w:rPr>
              <w:t>Attending day centres reduced loneliness and improved mood for participants; carers reported relief and lower stress.</w:t>
            </w:r>
          </w:p>
        </w:tc>
      </w:tr>
      <w:tr w:rsidR="003874EB" w:rsidRPr="00AE18FD" w14:paraId="40F32EB7" w14:textId="77777777" w:rsidTr="00275AB5">
        <w:tc>
          <w:tcPr>
            <w:cnfStyle w:val="001000000000" w:firstRow="0" w:lastRow="0" w:firstColumn="1" w:lastColumn="0" w:oddVBand="0" w:evenVBand="0" w:oddHBand="0" w:evenHBand="0" w:firstRowFirstColumn="0" w:firstRowLastColumn="0" w:lastRowFirstColumn="0" w:lastRowLastColumn="0"/>
            <w:tcW w:w="0" w:type="auto"/>
            <w:hideMark/>
          </w:tcPr>
          <w:p w14:paraId="175999EB" w14:textId="77777777" w:rsidR="003874EB" w:rsidRPr="00AE18FD" w:rsidRDefault="003874EB" w:rsidP="00275AB5">
            <w:pPr>
              <w:spacing w:after="160"/>
              <w:jc w:val="both"/>
              <w:rPr>
                <w:rFonts w:ascii="Arial" w:hAnsi="Arial"/>
                <w:b w:val="0"/>
                <w:bCs w:val="0"/>
                <w:sz w:val="22"/>
                <w:szCs w:val="22"/>
              </w:rPr>
            </w:pPr>
            <w:r w:rsidRPr="00AE18FD">
              <w:rPr>
                <w:rFonts w:ascii="Arial" w:hAnsi="Arial"/>
                <w:b w:val="0"/>
                <w:bCs w:val="0"/>
                <w:sz w:val="22"/>
                <w:szCs w:val="22"/>
              </w:rPr>
              <w:t>Gridley et al. (2025)</w:t>
            </w:r>
          </w:p>
        </w:tc>
        <w:tc>
          <w:tcPr>
            <w:tcW w:w="0" w:type="auto"/>
            <w:hideMark/>
          </w:tcPr>
          <w:p w14:paraId="637281A5" w14:textId="77777777" w:rsidR="003874EB" w:rsidRPr="00AE18FD" w:rsidRDefault="003874EB" w:rsidP="00275AB5">
            <w:pPr>
              <w:spacing w:after="160"/>
              <w:jc w:val="both"/>
              <w:cnfStyle w:val="000000000000" w:firstRow="0" w:lastRow="0" w:firstColumn="0" w:lastColumn="0" w:oddVBand="0" w:evenVBand="0" w:oddHBand="0" w:evenHBand="0" w:firstRowFirstColumn="0" w:firstRowLastColumn="0" w:lastRowFirstColumn="0" w:lastRowLastColumn="0"/>
              <w:rPr>
                <w:rFonts w:ascii="Arial" w:hAnsi="Arial"/>
                <w:sz w:val="22"/>
                <w:szCs w:val="22"/>
              </w:rPr>
            </w:pPr>
            <w:r w:rsidRPr="00AE18FD">
              <w:rPr>
                <w:rFonts w:ascii="Arial" w:hAnsi="Arial"/>
                <w:sz w:val="22"/>
                <w:szCs w:val="22"/>
              </w:rPr>
              <w:t>Community dementia services in England</w:t>
            </w:r>
          </w:p>
        </w:tc>
        <w:tc>
          <w:tcPr>
            <w:tcW w:w="0" w:type="auto"/>
            <w:hideMark/>
          </w:tcPr>
          <w:p w14:paraId="3AE47667" w14:textId="77777777" w:rsidR="003874EB" w:rsidRPr="00AE18FD" w:rsidRDefault="003874EB" w:rsidP="00275AB5">
            <w:pPr>
              <w:spacing w:after="160"/>
              <w:jc w:val="both"/>
              <w:cnfStyle w:val="000000000000" w:firstRow="0" w:lastRow="0" w:firstColumn="0" w:lastColumn="0" w:oddVBand="0" w:evenVBand="0" w:oddHBand="0" w:evenHBand="0" w:firstRowFirstColumn="0" w:firstRowLastColumn="0" w:lastRowFirstColumn="0" w:lastRowLastColumn="0"/>
              <w:rPr>
                <w:rFonts w:ascii="Arial" w:hAnsi="Arial"/>
                <w:sz w:val="22"/>
                <w:szCs w:val="22"/>
              </w:rPr>
            </w:pPr>
            <w:r w:rsidRPr="00AE18FD">
              <w:rPr>
                <w:rFonts w:ascii="Arial" w:hAnsi="Arial"/>
                <w:sz w:val="22"/>
                <w:szCs w:val="22"/>
              </w:rPr>
              <w:t xml:space="preserve">Local community support networks (case studies from </w:t>
            </w:r>
            <w:proofErr w:type="spellStart"/>
            <w:r w:rsidRPr="00AE18FD">
              <w:rPr>
                <w:rFonts w:ascii="Arial" w:hAnsi="Arial"/>
                <w:sz w:val="22"/>
                <w:szCs w:val="22"/>
              </w:rPr>
              <w:t>PriDem</w:t>
            </w:r>
            <w:proofErr w:type="spellEnd"/>
            <w:r w:rsidRPr="00AE18FD">
              <w:rPr>
                <w:rFonts w:ascii="Arial" w:hAnsi="Arial"/>
                <w:sz w:val="22"/>
                <w:szCs w:val="22"/>
              </w:rPr>
              <w:t xml:space="preserve"> &amp; DETERMIND projects)</w:t>
            </w:r>
          </w:p>
        </w:tc>
        <w:tc>
          <w:tcPr>
            <w:tcW w:w="0" w:type="auto"/>
            <w:hideMark/>
          </w:tcPr>
          <w:p w14:paraId="699F10A0" w14:textId="77777777" w:rsidR="003874EB" w:rsidRPr="00AE18FD" w:rsidRDefault="003874EB" w:rsidP="00275AB5">
            <w:pPr>
              <w:spacing w:after="160"/>
              <w:jc w:val="both"/>
              <w:cnfStyle w:val="000000000000" w:firstRow="0" w:lastRow="0" w:firstColumn="0" w:lastColumn="0" w:oddVBand="0" w:evenVBand="0" w:oddHBand="0" w:evenHBand="0" w:firstRowFirstColumn="0" w:firstRowLastColumn="0" w:lastRowFirstColumn="0" w:lastRowLastColumn="0"/>
              <w:rPr>
                <w:rFonts w:ascii="Arial" w:hAnsi="Arial"/>
                <w:sz w:val="22"/>
                <w:szCs w:val="22"/>
              </w:rPr>
            </w:pPr>
            <w:r w:rsidRPr="00AE18FD">
              <w:rPr>
                <w:rFonts w:ascii="Arial" w:hAnsi="Arial"/>
                <w:sz w:val="22"/>
                <w:szCs w:val="22"/>
              </w:rPr>
              <w:t>Access to services, wellbeing, equity</w:t>
            </w:r>
          </w:p>
        </w:tc>
        <w:tc>
          <w:tcPr>
            <w:tcW w:w="0" w:type="auto"/>
            <w:hideMark/>
          </w:tcPr>
          <w:p w14:paraId="164DC7B5" w14:textId="77777777" w:rsidR="003874EB" w:rsidRPr="00AE18FD" w:rsidRDefault="003874EB" w:rsidP="00275AB5">
            <w:pPr>
              <w:spacing w:after="160"/>
              <w:jc w:val="both"/>
              <w:cnfStyle w:val="000000000000" w:firstRow="0" w:lastRow="0" w:firstColumn="0" w:lastColumn="0" w:oddVBand="0" w:evenVBand="0" w:oddHBand="0" w:evenHBand="0" w:firstRowFirstColumn="0" w:firstRowLastColumn="0" w:lastRowFirstColumn="0" w:lastRowLastColumn="0"/>
              <w:rPr>
                <w:rFonts w:ascii="Arial" w:hAnsi="Arial"/>
                <w:sz w:val="22"/>
                <w:szCs w:val="22"/>
              </w:rPr>
            </w:pPr>
            <w:r w:rsidRPr="00AE18FD">
              <w:rPr>
                <w:rFonts w:ascii="Arial" w:hAnsi="Arial"/>
                <w:sz w:val="22"/>
                <w:szCs w:val="22"/>
              </w:rPr>
              <w:t>Services were valued but access was uneven; families in deprived areas faced more barriers.</w:t>
            </w:r>
          </w:p>
        </w:tc>
      </w:tr>
      <w:tr w:rsidR="003874EB" w:rsidRPr="00AE18FD" w14:paraId="0A9D0DFE" w14:textId="77777777" w:rsidTr="00275A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53F2A7" w14:textId="77777777" w:rsidR="003874EB" w:rsidRPr="00AE18FD" w:rsidRDefault="003874EB" w:rsidP="00275AB5">
            <w:pPr>
              <w:spacing w:after="160"/>
              <w:jc w:val="both"/>
              <w:rPr>
                <w:rFonts w:ascii="Arial" w:hAnsi="Arial"/>
                <w:b w:val="0"/>
                <w:bCs w:val="0"/>
                <w:sz w:val="22"/>
                <w:szCs w:val="22"/>
              </w:rPr>
            </w:pPr>
            <w:r w:rsidRPr="00AE18FD">
              <w:rPr>
                <w:rFonts w:ascii="Arial" w:hAnsi="Arial"/>
                <w:b w:val="0"/>
                <w:bCs w:val="0"/>
                <w:sz w:val="22"/>
                <w:szCs w:val="22"/>
              </w:rPr>
              <w:lastRenderedPageBreak/>
              <w:t>McLoughlin et al. (2023)</w:t>
            </w:r>
          </w:p>
        </w:tc>
        <w:tc>
          <w:tcPr>
            <w:tcW w:w="0" w:type="auto"/>
            <w:hideMark/>
          </w:tcPr>
          <w:p w14:paraId="4B90D825" w14:textId="77777777" w:rsidR="003874EB" w:rsidRPr="00AE18FD" w:rsidRDefault="003874EB" w:rsidP="00275AB5">
            <w:pPr>
              <w:spacing w:after="160"/>
              <w:jc w:val="both"/>
              <w:cnfStyle w:val="000000100000" w:firstRow="0" w:lastRow="0" w:firstColumn="0" w:lastColumn="0" w:oddVBand="0" w:evenVBand="0" w:oddHBand="1" w:evenHBand="0" w:firstRowFirstColumn="0" w:firstRowLastColumn="0" w:lastRowFirstColumn="0" w:lastRowLastColumn="0"/>
              <w:rPr>
                <w:rFonts w:ascii="Arial" w:hAnsi="Arial"/>
                <w:sz w:val="22"/>
                <w:szCs w:val="22"/>
              </w:rPr>
            </w:pPr>
            <w:r w:rsidRPr="00AE18FD">
              <w:rPr>
                <w:rFonts w:ascii="Arial" w:hAnsi="Arial"/>
                <w:sz w:val="22"/>
                <w:szCs w:val="22"/>
              </w:rPr>
              <w:t>Online peer support (UK-wide)</w:t>
            </w:r>
          </w:p>
        </w:tc>
        <w:tc>
          <w:tcPr>
            <w:tcW w:w="0" w:type="auto"/>
            <w:hideMark/>
          </w:tcPr>
          <w:p w14:paraId="0EC0D75D" w14:textId="77777777" w:rsidR="003874EB" w:rsidRPr="00AE18FD" w:rsidRDefault="003874EB" w:rsidP="00275AB5">
            <w:pPr>
              <w:spacing w:after="160"/>
              <w:jc w:val="both"/>
              <w:cnfStyle w:val="000000100000" w:firstRow="0" w:lastRow="0" w:firstColumn="0" w:lastColumn="0" w:oddVBand="0" w:evenVBand="0" w:oddHBand="1" w:evenHBand="0" w:firstRowFirstColumn="0" w:firstRowLastColumn="0" w:lastRowFirstColumn="0" w:lastRowLastColumn="0"/>
              <w:rPr>
                <w:rFonts w:ascii="Arial" w:hAnsi="Arial"/>
                <w:sz w:val="22"/>
                <w:szCs w:val="22"/>
              </w:rPr>
            </w:pPr>
            <w:r w:rsidRPr="00AE18FD">
              <w:rPr>
                <w:rFonts w:ascii="Arial" w:hAnsi="Arial"/>
                <w:sz w:val="22"/>
                <w:szCs w:val="22"/>
              </w:rPr>
              <w:t>Carer and patient virtual support groups (via video calls)</w:t>
            </w:r>
          </w:p>
        </w:tc>
        <w:tc>
          <w:tcPr>
            <w:tcW w:w="0" w:type="auto"/>
            <w:hideMark/>
          </w:tcPr>
          <w:p w14:paraId="1712CF0C" w14:textId="77777777" w:rsidR="003874EB" w:rsidRPr="00AE18FD" w:rsidRDefault="003874EB" w:rsidP="00275AB5">
            <w:pPr>
              <w:spacing w:after="160"/>
              <w:jc w:val="both"/>
              <w:cnfStyle w:val="000000100000" w:firstRow="0" w:lastRow="0" w:firstColumn="0" w:lastColumn="0" w:oddVBand="0" w:evenVBand="0" w:oddHBand="1" w:evenHBand="0" w:firstRowFirstColumn="0" w:firstRowLastColumn="0" w:lastRowFirstColumn="0" w:lastRowLastColumn="0"/>
              <w:rPr>
                <w:rFonts w:ascii="Arial" w:hAnsi="Arial"/>
                <w:sz w:val="22"/>
                <w:szCs w:val="22"/>
              </w:rPr>
            </w:pPr>
            <w:r w:rsidRPr="00AE18FD">
              <w:rPr>
                <w:rFonts w:ascii="Arial" w:hAnsi="Arial"/>
                <w:sz w:val="22"/>
                <w:szCs w:val="22"/>
              </w:rPr>
              <w:t>Loneliness, anxiety, coping</w:t>
            </w:r>
          </w:p>
        </w:tc>
        <w:tc>
          <w:tcPr>
            <w:tcW w:w="0" w:type="auto"/>
            <w:hideMark/>
          </w:tcPr>
          <w:p w14:paraId="479DC50B" w14:textId="77777777" w:rsidR="003874EB" w:rsidRPr="00AE18FD" w:rsidRDefault="003874EB" w:rsidP="00275AB5">
            <w:pPr>
              <w:spacing w:after="160"/>
              <w:jc w:val="both"/>
              <w:cnfStyle w:val="000000100000" w:firstRow="0" w:lastRow="0" w:firstColumn="0" w:lastColumn="0" w:oddVBand="0" w:evenVBand="0" w:oddHBand="1" w:evenHBand="0" w:firstRowFirstColumn="0" w:firstRowLastColumn="0" w:lastRowFirstColumn="0" w:lastRowLastColumn="0"/>
              <w:rPr>
                <w:rFonts w:ascii="Arial" w:hAnsi="Arial"/>
                <w:sz w:val="22"/>
                <w:szCs w:val="22"/>
              </w:rPr>
            </w:pPr>
            <w:r w:rsidRPr="00AE18FD">
              <w:rPr>
                <w:rFonts w:ascii="Arial" w:hAnsi="Arial"/>
                <w:sz w:val="22"/>
                <w:szCs w:val="22"/>
              </w:rPr>
              <w:t>Participants reported reduced isolation and better coping; digital exclusion was a barrier for some.</w:t>
            </w:r>
          </w:p>
        </w:tc>
      </w:tr>
      <w:tr w:rsidR="003874EB" w:rsidRPr="00AE18FD" w14:paraId="317DDB0F" w14:textId="77777777" w:rsidTr="00275AB5">
        <w:tc>
          <w:tcPr>
            <w:cnfStyle w:val="001000000000" w:firstRow="0" w:lastRow="0" w:firstColumn="1" w:lastColumn="0" w:oddVBand="0" w:evenVBand="0" w:oddHBand="0" w:evenHBand="0" w:firstRowFirstColumn="0" w:firstRowLastColumn="0" w:lastRowFirstColumn="0" w:lastRowLastColumn="0"/>
            <w:tcW w:w="0" w:type="auto"/>
            <w:hideMark/>
          </w:tcPr>
          <w:p w14:paraId="462E7854" w14:textId="77777777" w:rsidR="003874EB" w:rsidRPr="00AE18FD" w:rsidRDefault="003874EB" w:rsidP="00275AB5">
            <w:pPr>
              <w:spacing w:after="160"/>
              <w:jc w:val="both"/>
              <w:rPr>
                <w:rFonts w:ascii="Arial" w:hAnsi="Arial"/>
                <w:b w:val="0"/>
                <w:bCs w:val="0"/>
                <w:sz w:val="22"/>
                <w:szCs w:val="22"/>
              </w:rPr>
            </w:pPr>
            <w:r w:rsidRPr="00AE18FD">
              <w:rPr>
                <w:rFonts w:ascii="Arial" w:hAnsi="Arial"/>
                <w:b w:val="0"/>
                <w:bCs w:val="0"/>
                <w:sz w:val="22"/>
                <w:szCs w:val="22"/>
              </w:rPr>
              <w:t>Ward et al. (2021)</w:t>
            </w:r>
          </w:p>
        </w:tc>
        <w:tc>
          <w:tcPr>
            <w:tcW w:w="0" w:type="auto"/>
            <w:hideMark/>
          </w:tcPr>
          <w:p w14:paraId="7FCB0B0C" w14:textId="77777777" w:rsidR="003874EB" w:rsidRPr="00AE18FD" w:rsidRDefault="003874EB" w:rsidP="00275AB5">
            <w:pPr>
              <w:spacing w:after="160"/>
              <w:jc w:val="both"/>
              <w:cnfStyle w:val="000000000000" w:firstRow="0" w:lastRow="0" w:firstColumn="0" w:lastColumn="0" w:oddVBand="0" w:evenVBand="0" w:oddHBand="0" w:evenHBand="0" w:firstRowFirstColumn="0" w:firstRowLastColumn="0" w:lastRowFirstColumn="0" w:lastRowLastColumn="0"/>
              <w:rPr>
                <w:rFonts w:ascii="Arial" w:hAnsi="Arial"/>
                <w:sz w:val="22"/>
                <w:szCs w:val="22"/>
              </w:rPr>
            </w:pPr>
            <w:r w:rsidRPr="00AE18FD">
              <w:rPr>
                <w:rFonts w:ascii="Arial" w:hAnsi="Arial"/>
                <w:sz w:val="22"/>
                <w:szCs w:val="22"/>
              </w:rPr>
              <w:t>Arts programmes in community centres</w:t>
            </w:r>
          </w:p>
        </w:tc>
        <w:tc>
          <w:tcPr>
            <w:tcW w:w="0" w:type="auto"/>
            <w:hideMark/>
          </w:tcPr>
          <w:p w14:paraId="2B73D814" w14:textId="77777777" w:rsidR="003874EB" w:rsidRPr="00AE18FD" w:rsidRDefault="003874EB" w:rsidP="00275AB5">
            <w:pPr>
              <w:spacing w:after="160"/>
              <w:jc w:val="both"/>
              <w:cnfStyle w:val="000000000000" w:firstRow="0" w:lastRow="0" w:firstColumn="0" w:lastColumn="0" w:oddVBand="0" w:evenVBand="0" w:oddHBand="0" w:evenHBand="0" w:firstRowFirstColumn="0" w:firstRowLastColumn="0" w:lastRowFirstColumn="0" w:lastRowLastColumn="0"/>
              <w:rPr>
                <w:rFonts w:ascii="Arial" w:hAnsi="Arial"/>
                <w:sz w:val="22"/>
                <w:szCs w:val="22"/>
              </w:rPr>
            </w:pPr>
            <w:r w:rsidRPr="00AE18FD">
              <w:rPr>
                <w:rFonts w:ascii="Arial" w:hAnsi="Arial"/>
                <w:sz w:val="22"/>
                <w:szCs w:val="22"/>
              </w:rPr>
              <w:t>Music, dance, and creative arts groups</w:t>
            </w:r>
          </w:p>
        </w:tc>
        <w:tc>
          <w:tcPr>
            <w:tcW w:w="0" w:type="auto"/>
            <w:hideMark/>
          </w:tcPr>
          <w:p w14:paraId="16352F8A" w14:textId="77777777" w:rsidR="003874EB" w:rsidRPr="00AE18FD" w:rsidRDefault="003874EB" w:rsidP="00275AB5">
            <w:pPr>
              <w:spacing w:after="160"/>
              <w:jc w:val="both"/>
              <w:cnfStyle w:val="000000000000" w:firstRow="0" w:lastRow="0" w:firstColumn="0" w:lastColumn="0" w:oddVBand="0" w:evenVBand="0" w:oddHBand="0" w:evenHBand="0" w:firstRowFirstColumn="0" w:firstRowLastColumn="0" w:lastRowFirstColumn="0" w:lastRowLastColumn="0"/>
              <w:rPr>
                <w:rFonts w:ascii="Arial" w:hAnsi="Arial"/>
                <w:sz w:val="22"/>
                <w:szCs w:val="22"/>
              </w:rPr>
            </w:pPr>
            <w:r w:rsidRPr="00AE18FD">
              <w:rPr>
                <w:rFonts w:ascii="Arial" w:hAnsi="Arial"/>
                <w:sz w:val="22"/>
                <w:szCs w:val="22"/>
              </w:rPr>
              <w:t>Quality of life, confidence, mood</w:t>
            </w:r>
          </w:p>
        </w:tc>
        <w:tc>
          <w:tcPr>
            <w:tcW w:w="0" w:type="auto"/>
            <w:hideMark/>
          </w:tcPr>
          <w:p w14:paraId="116D846C" w14:textId="77777777" w:rsidR="003874EB" w:rsidRPr="00AE18FD" w:rsidRDefault="003874EB" w:rsidP="00275AB5">
            <w:pPr>
              <w:spacing w:after="160"/>
              <w:jc w:val="both"/>
              <w:cnfStyle w:val="000000000000" w:firstRow="0" w:lastRow="0" w:firstColumn="0" w:lastColumn="0" w:oddVBand="0" w:evenVBand="0" w:oddHBand="0" w:evenHBand="0" w:firstRowFirstColumn="0" w:firstRowLastColumn="0" w:lastRowFirstColumn="0" w:lastRowLastColumn="0"/>
              <w:rPr>
                <w:rFonts w:ascii="Arial" w:hAnsi="Arial"/>
                <w:sz w:val="22"/>
                <w:szCs w:val="22"/>
              </w:rPr>
            </w:pPr>
            <w:r w:rsidRPr="00AE18FD">
              <w:rPr>
                <w:rFonts w:ascii="Arial" w:hAnsi="Arial"/>
                <w:sz w:val="22"/>
                <w:szCs w:val="22"/>
              </w:rPr>
              <w:t>Arts programmes boosted mood, supported identity, and reduced anxiety; participants enjoyed creative expression.</w:t>
            </w:r>
          </w:p>
        </w:tc>
      </w:tr>
      <w:tr w:rsidR="003874EB" w:rsidRPr="00AE18FD" w14:paraId="36D268FA" w14:textId="77777777" w:rsidTr="00275A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498E4A" w14:textId="77777777" w:rsidR="003874EB" w:rsidRPr="00AE18FD" w:rsidRDefault="003874EB" w:rsidP="00275AB5">
            <w:pPr>
              <w:spacing w:after="160"/>
              <w:jc w:val="both"/>
              <w:rPr>
                <w:rFonts w:ascii="Arial" w:hAnsi="Arial"/>
                <w:b w:val="0"/>
                <w:bCs w:val="0"/>
                <w:sz w:val="22"/>
                <w:szCs w:val="22"/>
              </w:rPr>
            </w:pPr>
            <w:r w:rsidRPr="00AE18FD">
              <w:rPr>
                <w:rFonts w:ascii="Arial" w:hAnsi="Arial"/>
                <w:b w:val="0"/>
                <w:bCs w:val="0"/>
                <w:sz w:val="22"/>
                <w:szCs w:val="22"/>
              </w:rPr>
              <w:t>Nguyen et al. (2024)</w:t>
            </w:r>
          </w:p>
        </w:tc>
        <w:tc>
          <w:tcPr>
            <w:tcW w:w="0" w:type="auto"/>
            <w:hideMark/>
          </w:tcPr>
          <w:p w14:paraId="54E47D6E" w14:textId="77777777" w:rsidR="003874EB" w:rsidRPr="00AE18FD" w:rsidRDefault="003874EB" w:rsidP="00275AB5">
            <w:pPr>
              <w:spacing w:after="160"/>
              <w:jc w:val="both"/>
              <w:cnfStyle w:val="000000100000" w:firstRow="0" w:lastRow="0" w:firstColumn="0" w:lastColumn="0" w:oddVBand="0" w:evenVBand="0" w:oddHBand="1" w:evenHBand="0" w:firstRowFirstColumn="0" w:firstRowLastColumn="0" w:lastRowFirstColumn="0" w:lastRowLastColumn="0"/>
              <w:rPr>
                <w:rFonts w:ascii="Arial" w:hAnsi="Arial"/>
                <w:sz w:val="22"/>
                <w:szCs w:val="22"/>
              </w:rPr>
            </w:pPr>
            <w:r w:rsidRPr="00AE18FD">
              <w:rPr>
                <w:rFonts w:ascii="Arial" w:hAnsi="Arial"/>
                <w:sz w:val="22"/>
                <w:szCs w:val="22"/>
              </w:rPr>
              <w:t>UK adult day programmes (review data)</w:t>
            </w:r>
          </w:p>
        </w:tc>
        <w:tc>
          <w:tcPr>
            <w:tcW w:w="0" w:type="auto"/>
            <w:hideMark/>
          </w:tcPr>
          <w:p w14:paraId="5CACC8EA" w14:textId="77777777" w:rsidR="003874EB" w:rsidRPr="00AE18FD" w:rsidRDefault="003874EB" w:rsidP="00275AB5">
            <w:pPr>
              <w:spacing w:after="160"/>
              <w:jc w:val="both"/>
              <w:cnfStyle w:val="000000100000" w:firstRow="0" w:lastRow="0" w:firstColumn="0" w:lastColumn="0" w:oddVBand="0" w:evenVBand="0" w:oddHBand="1" w:evenHBand="0" w:firstRowFirstColumn="0" w:firstRowLastColumn="0" w:lastRowFirstColumn="0" w:lastRowLastColumn="0"/>
              <w:rPr>
                <w:rFonts w:ascii="Arial" w:hAnsi="Arial"/>
                <w:sz w:val="22"/>
                <w:szCs w:val="22"/>
              </w:rPr>
            </w:pPr>
            <w:r w:rsidRPr="00AE18FD">
              <w:rPr>
                <w:rFonts w:ascii="Arial" w:hAnsi="Arial"/>
                <w:sz w:val="22"/>
                <w:szCs w:val="22"/>
              </w:rPr>
              <w:t>Day programmes combining social, recreational, and cognitive activities</w:t>
            </w:r>
          </w:p>
        </w:tc>
        <w:tc>
          <w:tcPr>
            <w:tcW w:w="0" w:type="auto"/>
            <w:hideMark/>
          </w:tcPr>
          <w:p w14:paraId="6BA49EAF" w14:textId="77777777" w:rsidR="003874EB" w:rsidRPr="00AE18FD" w:rsidRDefault="003874EB" w:rsidP="00275AB5">
            <w:pPr>
              <w:spacing w:after="160"/>
              <w:jc w:val="both"/>
              <w:cnfStyle w:val="000000100000" w:firstRow="0" w:lastRow="0" w:firstColumn="0" w:lastColumn="0" w:oddVBand="0" w:evenVBand="0" w:oddHBand="1" w:evenHBand="0" w:firstRowFirstColumn="0" w:firstRowLastColumn="0" w:lastRowFirstColumn="0" w:lastRowLastColumn="0"/>
              <w:rPr>
                <w:rFonts w:ascii="Arial" w:hAnsi="Arial"/>
                <w:sz w:val="22"/>
                <w:szCs w:val="22"/>
              </w:rPr>
            </w:pPr>
            <w:r w:rsidRPr="00AE18FD">
              <w:rPr>
                <w:rFonts w:ascii="Arial" w:hAnsi="Arial"/>
                <w:sz w:val="22"/>
                <w:szCs w:val="22"/>
              </w:rPr>
              <w:t>Wellbeing, depression, carer outcomes</w:t>
            </w:r>
          </w:p>
        </w:tc>
        <w:tc>
          <w:tcPr>
            <w:tcW w:w="0" w:type="auto"/>
            <w:hideMark/>
          </w:tcPr>
          <w:p w14:paraId="25688C13" w14:textId="77777777" w:rsidR="003874EB" w:rsidRPr="00AE18FD" w:rsidRDefault="003874EB" w:rsidP="00275AB5">
            <w:pPr>
              <w:spacing w:after="160"/>
              <w:jc w:val="both"/>
              <w:cnfStyle w:val="000000100000" w:firstRow="0" w:lastRow="0" w:firstColumn="0" w:lastColumn="0" w:oddVBand="0" w:evenVBand="0" w:oddHBand="1" w:evenHBand="0" w:firstRowFirstColumn="0" w:firstRowLastColumn="0" w:lastRowFirstColumn="0" w:lastRowLastColumn="0"/>
              <w:rPr>
                <w:rFonts w:ascii="Arial" w:hAnsi="Arial"/>
                <w:sz w:val="22"/>
                <w:szCs w:val="22"/>
              </w:rPr>
            </w:pPr>
            <w:r w:rsidRPr="00AE18FD">
              <w:rPr>
                <w:rFonts w:ascii="Arial" w:hAnsi="Arial"/>
                <w:sz w:val="22"/>
                <w:szCs w:val="22"/>
              </w:rPr>
              <w:t>Evidence showed day programmes improved wellbeing and reduced depressive symptoms, while also supporting carers.</w:t>
            </w:r>
          </w:p>
        </w:tc>
      </w:tr>
    </w:tbl>
    <w:p w14:paraId="411221E0" w14:textId="78D634A0" w:rsidR="003874EB" w:rsidRPr="00AE18FD" w:rsidRDefault="00275AB5" w:rsidP="003874EB">
      <w:pPr>
        <w:spacing w:line="360" w:lineRule="auto"/>
        <w:jc w:val="both"/>
        <w:rPr>
          <w:i/>
          <w:iCs/>
          <w:color w:val="4C94D8" w:themeColor="text2" w:themeTint="80"/>
        </w:rPr>
      </w:pPr>
      <w:r w:rsidRPr="00AE18FD">
        <w:rPr>
          <w:i/>
          <w:iCs/>
          <w:color w:val="4C94D8" w:themeColor="text2" w:themeTint="80"/>
        </w:rPr>
        <w:t xml:space="preserve">Table </w:t>
      </w:r>
      <w:r w:rsidRPr="00AE18FD">
        <w:rPr>
          <w:i/>
          <w:iCs/>
          <w:color w:val="4C94D8" w:themeColor="text2" w:themeTint="80"/>
        </w:rPr>
        <w:fldChar w:fldCharType="begin"/>
      </w:r>
      <w:r w:rsidRPr="00AE18FD">
        <w:rPr>
          <w:i/>
          <w:iCs/>
          <w:color w:val="4C94D8" w:themeColor="text2" w:themeTint="80"/>
        </w:rPr>
        <w:instrText xml:space="preserve"> SEQ Table \* ARABIC </w:instrText>
      </w:r>
      <w:r w:rsidRPr="00AE18FD">
        <w:rPr>
          <w:i/>
          <w:iCs/>
          <w:color w:val="4C94D8" w:themeColor="text2" w:themeTint="80"/>
        </w:rPr>
        <w:fldChar w:fldCharType="separate"/>
      </w:r>
      <w:r w:rsidRPr="00AE18FD">
        <w:rPr>
          <w:i/>
          <w:iCs/>
          <w:noProof/>
          <w:color w:val="4C94D8" w:themeColor="text2" w:themeTint="80"/>
        </w:rPr>
        <w:t>1</w:t>
      </w:r>
      <w:r w:rsidRPr="00AE18FD">
        <w:rPr>
          <w:i/>
          <w:iCs/>
          <w:color w:val="4C94D8" w:themeColor="text2" w:themeTint="80"/>
        </w:rPr>
        <w:fldChar w:fldCharType="end"/>
      </w:r>
      <w:r w:rsidRPr="00AE18FD">
        <w:rPr>
          <w:i/>
          <w:iCs/>
          <w:color w:val="4C94D8" w:themeColor="text2" w:themeTint="80"/>
        </w:rPr>
        <w:t>:</w:t>
      </w:r>
      <w:r w:rsidR="00F21810" w:rsidRPr="00AE18FD">
        <w:rPr>
          <w:i/>
          <w:iCs/>
          <w:color w:val="4C94D8" w:themeColor="text2" w:themeTint="80"/>
        </w:rPr>
        <w:t xml:space="preserve"> </w:t>
      </w:r>
      <w:r w:rsidR="00F21810" w:rsidRPr="00AE18FD">
        <w:rPr>
          <w:i/>
          <w:iCs/>
          <w:color w:val="4C94D8" w:themeColor="text2" w:themeTint="80"/>
        </w:rPr>
        <w:t>Summary of included studies</w:t>
      </w:r>
    </w:p>
    <w:p w14:paraId="3D94459F" w14:textId="77777777" w:rsidR="00275AB5" w:rsidRPr="00AE18FD" w:rsidRDefault="00275AB5" w:rsidP="003874EB">
      <w:pPr>
        <w:spacing w:line="360" w:lineRule="auto"/>
        <w:jc w:val="both"/>
        <w:rPr>
          <w:rFonts w:ascii="Arial" w:hAnsi="Arial"/>
          <w:i/>
          <w:iCs/>
        </w:rPr>
      </w:pPr>
    </w:p>
    <w:p w14:paraId="02555C6D" w14:textId="77777777" w:rsidR="00275AB5" w:rsidRPr="00AE18FD" w:rsidRDefault="00275AB5" w:rsidP="003874EB">
      <w:pPr>
        <w:spacing w:line="360" w:lineRule="auto"/>
        <w:jc w:val="both"/>
      </w:pPr>
      <w:r w:rsidRPr="00AE18FD">
        <w:rPr>
          <w:rFonts w:ascii="Arial" w:hAnsi="Arial"/>
        </w:rPr>
        <w:t xml:space="preserve">        </w:t>
      </w:r>
    </w:p>
    <w:p w14:paraId="1FC7857C" w14:textId="604927E3" w:rsidR="00275AB5" w:rsidRPr="00AE18FD" w:rsidRDefault="00275AB5" w:rsidP="00275AB5">
      <w:pPr>
        <w:pStyle w:val="Caption"/>
        <w:keepNext/>
        <w:jc w:val="both"/>
      </w:pPr>
    </w:p>
    <w:p w14:paraId="456CF873" w14:textId="12D14BCB" w:rsidR="00275AB5" w:rsidRPr="00AE18FD" w:rsidRDefault="00275AB5" w:rsidP="003874EB">
      <w:pPr>
        <w:spacing w:line="360" w:lineRule="auto"/>
        <w:jc w:val="both"/>
        <w:rPr>
          <w:rFonts w:ascii="Arial" w:hAnsi="Arial"/>
        </w:rPr>
      </w:pPr>
      <w:r w:rsidRPr="00AE18FD">
        <w:rPr>
          <w:noProof/>
        </w:rPr>
        <w:drawing>
          <wp:inline distT="0" distB="0" distL="0" distR="0" wp14:anchorId="63D68D21" wp14:editId="4B3B0339">
            <wp:extent cx="4961905" cy="2914286"/>
            <wp:effectExtent l="0" t="0" r="0" b="635"/>
            <wp:docPr id="1317576022" name="Picture 1" descr="A diagram of different types of blue box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576022" name="Picture 1" descr="A diagram of different types of blue boxes&#10;&#10;AI-generated content may be incorrect."/>
                    <pic:cNvPicPr/>
                  </pic:nvPicPr>
                  <pic:blipFill>
                    <a:blip r:embed="rId16"/>
                    <a:stretch>
                      <a:fillRect/>
                    </a:stretch>
                  </pic:blipFill>
                  <pic:spPr>
                    <a:xfrm>
                      <a:off x="0" y="0"/>
                      <a:ext cx="4961905" cy="2914286"/>
                    </a:xfrm>
                    <a:prstGeom prst="rect">
                      <a:avLst/>
                    </a:prstGeom>
                  </pic:spPr>
                </pic:pic>
              </a:graphicData>
            </a:graphic>
          </wp:inline>
        </w:drawing>
      </w:r>
    </w:p>
    <w:p w14:paraId="263950E5" w14:textId="7FE12C7E" w:rsidR="00275AB5" w:rsidRPr="00AE18FD" w:rsidRDefault="00275AB5" w:rsidP="003874EB">
      <w:pPr>
        <w:spacing w:line="360" w:lineRule="auto"/>
        <w:jc w:val="both"/>
        <w:rPr>
          <w:rFonts w:ascii="Arial" w:hAnsi="Arial"/>
          <w:i/>
          <w:iCs/>
          <w:color w:val="4C94D8" w:themeColor="text2" w:themeTint="80"/>
          <w:sz w:val="20"/>
          <w:szCs w:val="20"/>
        </w:rPr>
      </w:pPr>
      <w:r w:rsidRPr="00AE18FD">
        <w:rPr>
          <w:i/>
          <w:iCs/>
          <w:color w:val="4C94D8" w:themeColor="text2" w:themeTint="80"/>
          <w:sz w:val="20"/>
          <w:szCs w:val="20"/>
        </w:rPr>
        <w:lastRenderedPageBreak/>
        <w:t xml:space="preserve">Table </w:t>
      </w:r>
      <w:r w:rsidRPr="00AE18FD">
        <w:rPr>
          <w:i/>
          <w:iCs/>
          <w:color w:val="4C94D8" w:themeColor="text2" w:themeTint="80"/>
          <w:sz w:val="20"/>
          <w:szCs w:val="20"/>
        </w:rPr>
        <w:fldChar w:fldCharType="begin"/>
      </w:r>
      <w:r w:rsidRPr="00AE18FD">
        <w:rPr>
          <w:i/>
          <w:iCs/>
          <w:color w:val="4C94D8" w:themeColor="text2" w:themeTint="80"/>
          <w:sz w:val="20"/>
          <w:szCs w:val="20"/>
        </w:rPr>
        <w:instrText xml:space="preserve"> SEQ Table \* ARABIC </w:instrText>
      </w:r>
      <w:r w:rsidRPr="00AE18FD">
        <w:rPr>
          <w:i/>
          <w:iCs/>
          <w:color w:val="4C94D8" w:themeColor="text2" w:themeTint="80"/>
          <w:sz w:val="20"/>
          <w:szCs w:val="20"/>
        </w:rPr>
        <w:fldChar w:fldCharType="separate"/>
      </w:r>
      <w:r w:rsidRPr="00AE18FD">
        <w:rPr>
          <w:i/>
          <w:iCs/>
          <w:noProof/>
          <w:color w:val="4C94D8" w:themeColor="text2" w:themeTint="80"/>
          <w:sz w:val="20"/>
          <w:szCs w:val="20"/>
        </w:rPr>
        <w:t>2</w:t>
      </w:r>
      <w:r w:rsidRPr="00AE18FD">
        <w:rPr>
          <w:i/>
          <w:iCs/>
          <w:color w:val="4C94D8" w:themeColor="text2" w:themeTint="80"/>
          <w:sz w:val="20"/>
          <w:szCs w:val="20"/>
        </w:rPr>
        <w:fldChar w:fldCharType="end"/>
      </w:r>
      <w:r w:rsidRPr="00AE18FD">
        <w:rPr>
          <w:i/>
          <w:iCs/>
          <w:color w:val="4C94D8" w:themeColor="text2" w:themeTint="80"/>
          <w:sz w:val="20"/>
          <w:szCs w:val="20"/>
        </w:rPr>
        <w:t>: Distribution of intervention types among included studies.</w:t>
      </w:r>
    </w:p>
    <w:p w14:paraId="6FAA6D28" w14:textId="718C161D" w:rsidR="003874EB" w:rsidRPr="00AE18FD" w:rsidRDefault="003874EB" w:rsidP="007A0E99">
      <w:pPr>
        <w:pStyle w:val="Heading2"/>
      </w:pPr>
      <w:bookmarkStart w:id="13" w:name="_Toc212487466"/>
      <w:r w:rsidRPr="00AE18FD">
        <w:t>Emerging Themes</w:t>
      </w:r>
      <w:bookmarkEnd w:id="13"/>
    </w:p>
    <w:p w14:paraId="782A8F1D" w14:textId="77777777" w:rsidR="003874EB" w:rsidRPr="00AE18FD" w:rsidRDefault="003874EB" w:rsidP="003874EB">
      <w:pPr>
        <w:spacing w:line="360" w:lineRule="auto"/>
        <w:jc w:val="both"/>
        <w:rPr>
          <w:rFonts w:ascii="Arial" w:hAnsi="Arial"/>
        </w:rPr>
      </w:pPr>
      <w:r w:rsidRPr="00AE18FD">
        <w:rPr>
          <w:rFonts w:ascii="Arial" w:hAnsi="Arial"/>
        </w:rPr>
        <w:t>From these studies, three main themes were identified:</w:t>
      </w:r>
    </w:p>
    <w:p w14:paraId="13C147D8" w14:textId="77777777" w:rsidR="003874EB" w:rsidRPr="00AE18FD" w:rsidRDefault="003874EB" w:rsidP="00CC1679">
      <w:pPr>
        <w:pStyle w:val="Heading3"/>
      </w:pPr>
      <w:bookmarkStart w:id="14" w:name="_Toc212487467"/>
      <w:r w:rsidRPr="00AE18FD">
        <w:t>1. Reducing loneliness and promoting social connection</w:t>
      </w:r>
      <w:bookmarkEnd w:id="14"/>
    </w:p>
    <w:p w14:paraId="78EDEA21" w14:textId="77777777" w:rsidR="003874EB" w:rsidRPr="00AE18FD" w:rsidRDefault="003874EB" w:rsidP="003874EB">
      <w:pPr>
        <w:spacing w:line="360" w:lineRule="auto"/>
        <w:jc w:val="both"/>
        <w:rPr>
          <w:rFonts w:ascii="Arial" w:hAnsi="Arial"/>
        </w:rPr>
      </w:pPr>
      <w:r w:rsidRPr="00AE18FD">
        <w:rPr>
          <w:rFonts w:ascii="Arial" w:hAnsi="Arial"/>
        </w:rPr>
        <w:t>A strong and consistent finding was that community-based services reduce loneliness and improve social connectedness for people with dementia. For example, Samsi et al. (2025) showed that day centres provided meaningful routines, interaction, and companionship, which supported mood and reduced feelings of isolation. Similarly, McLoughlin et al. (2023) found that online peer groups helped both carers and people with dementia feel “less alone,” especially during times when face-to-face contact was difficult, such as after the COVID-19 pandemic. These results suggest that structured community opportunities for social contact, whether in person or online, play a key role in protecting mental health.</w:t>
      </w:r>
    </w:p>
    <w:p w14:paraId="5A3BEAD3" w14:textId="77777777" w:rsidR="003874EB" w:rsidRPr="00AE18FD" w:rsidRDefault="003874EB" w:rsidP="00CC1679">
      <w:pPr>
        <w:pStyle w:val="Heading3"/>
      </w:pPr>
      <w:bookmarkStart w:id="15" w:name="_Toc212487468"/>
      <w:r w:rsidRPr="00AE18FD">
        <w:t>2. Improving wellbeing and emotional health</w:t>
      </w:r>
      <w:bookmarkEnd w:id="15"/>
    </w:p>
    <w:p w14:paraId="47AC7DCA" w14:textId="77777777" w:rsidR="003874EB" w:rsidRPr="00AE18FD" w:rsidRDefault="003874EB" w:rsidP="003874EB">
      <w:pPr>
        <w:spacing w:line="360" w:lineRule="auto"/>
        <w:jc w:val="both"/>
        <w:rPr>
          <w:rFonts w:ascii="Arial" w:hAnsi="Arial"/>
        </w:rPr>
      </w:pPr>
      <w:r w:rsidRPr="00AE18FD">
        <w:rPr>
          <w:rFonts w:ascii="Arial" w:hAnsi="Arial"/>
        </w:rPr>
        <w:t>Several interventions reported positive effects on wellbeing, mood, and quality of life. Arts-based programmes gave people opportunities to express themselves, which was linked to enjoyment, reduced anxiety, and a stronger sense of identity (Ward et al., 2021). Day programmes with varied activities (Nguyen et al., 2024) were linked with improved wellbeing and fewer depressive symptoms. Taken together, these findings highlight that non-clinical, creative, and social interventions can help people maintain emotional balance and live more positively with dementia.</w:t>
      </w:r>
    </w:p>
    <w:p w14:paraId="3F627FC1" w14:textId="77777777" w:rsidR="003874EB" w:rsidRPr="00AE18FD" w:rsidRDefault="003874EB" w:rsidP="00CC1679">
      <w:pPr>
        <w:pStyle w:val="Heading3"/>
      </w:pPr>
      <w:bookmarkStart w:id="16" w:name="_Toc212487469"/>
      <w:r w:rsidRPr="00AE18FD">
        <w:t>3. Challenges of access and inequalities</w:t>
      </w:r>
      <w:bookmarkEnd w:id="16"/>
    </w:p>
    <w:p w14:paraId="40CBF2FE" w14:textId="77777777" w:rsidR="003874EB" w:rsidRPr="00AE18FD" w:rsidRDefault="003874EB" w:rsidP="003874EB">
      <w:pPr>
        <w:spacing w:line="360" w:lineRule="auto"/>
        <w:jc w:val="both"/>
        <w:rPr>
          <w:rFonts w:ascii="Arial" w:hAnsi="Arial"/>
        </w:rPr>
      </w:pPr>
      <w:r w:rsidRPr="00AE18FD">
        <w:rPr>
          <w:rFonts w:ascii="Arial" w:hAnsi="Arial"/>
        </w:rPr>
        <w:t>Despite the benefits, some studies reported significant barriers to accessing services. Gridley et al. (2025) found that access was uneven, with families in deprived or rural areas experiencing more difficulties, such as transport problems or lack of local provision. McLoughlin et al. (2023) also noted digital exclusion, where people without internet access or digital literacy could not benefit from online support groups. These inequalities are important because they show that while interventions exist, they are not equally available or accessible to everyone.</w:t>
      </w:r>
    </w:p>
    <w:p w14:paraId="6B35D8FB" w14:textId="77777777" w:rsidR="003874EB" w:rsidRPr="00AE18FD" w:rsidRDefault="003874EB" w:rsidP="00CC1679">
      <w:pPr>
        <w:pStyle w:val="Heading3"/>
      </w:pPr>
      <w:bookmarkStart w:id="17" w:name="_Toc212487470"/>
      <w:r w:rsidRPr="00AE18FD">
        <w:lastRenderedPageBreak/>
        <w:t>4. Value for carers and families</w:t>
      </w:r>
      <w:bookmarkEnd w:id="17"/>
    </w:p>
    <w:p w14:paraId="0BD205CE" w14:textId="77777777" w:rsidR="003874EB" w:rsidRPr="00AE18FD" w:rsidRDefault="003874EB" w:rsidP="003874EB">
      <w:pPr>
        <w:spacing w:line="360" w:lineRule="auto"/>
        <w:jc w:val="both"/>
        <w:rPr>
          <w:rFonts w:ascii="Arial" w:hAnsi="Arial"/>
        </w:rPr>
      </w:pPr>
      <w:r w:rsidRPr="00AE18FD">
        <w:rPr>
          <w:rFonts w:ascii="Arial" w:hAnsi="Arial"/>
        </w:rPr>
        <w:t>Carers also benefited from community-based interventions. Day centres and structured programmes offered respite, giving carers time to rest or manage other responsibilities (Samsi et al., 2025; Nguyen et al., 2024). Carers in peer support groups reported improved coping skills and reduced stress (McLoughlin et al., 2023). This indicates that community-based interventions are not only valuable for people with dementia but also for those who provide daily care, which in turn supports wider family wellbeing.</w:t>
      </w:r>
    </w:p>
    <w:p w14:paraId="1335639D" w14:textId="77777777" w:rsidR="003874EB" w:rsidRPr="00AE18FD" w:rsidRDefault="003874EB" w:rsidP="00CC1679">
      <w:pPr>
        <w:pStyle w:val="Heading3"/>
      </w:pPr>
      <w:bookmarkStart w:id="18" w:name="_Toc212487471"/>
      <w:r w:rsidRPr="00AE18FD">
        <w:t>5. Limitations and gaps in evidence</w:t>
      </w:r>
      <w:bookmarkEnd w:id="18"/>
    </w:p>
    <w:p w14:paraId="023B4539" w14:textId="77777777" w:rsidR="003874EB" w:rsidRPr="00AE18FD" w:rsidRDefault="003874EB" w:rsidP="003874EB">
      <w:pPr>
        <w:spacing w:line="360" w:lineRule="auto"/>
        <w:jc w:val="both"/>
        <w:rPr>
          <w:rFonts w:ascii="Arial" w:hAnsi="Arial"/>
        </w:rPr>
      </w:pPr>
      <w:r w:rsidRPr="00AE18FD">
        <w:rPr>
          <w:rFonts w:ascii="Arial" w:hAnsi="Arial"/>
        </w:rPr>
        <w:t>Although positive outcomes were reported, the studies had some limitations. For instance, most studies had relatively small sample sizes, meaning results may not apply to all people with dementia in the UK. Differences in outcome measures (e.g., different scales for wellbeing or loneliness) also made it hard to compare results across studies (Ward et al., 2021; Gridley et al., 2025). Cost-effectiveness was rarely reported in detail, although some studies suggested that keeping people engaged in the community could reduce hospital admissions and delay residential care, which may reduce costs in the long term (Nguyen et al., 2024).</w:t>
      </w:r>
    </w:p>
    <w:p w14:paraId="36DB3E40" w14:textId="2B41F868" w:rsidR="003874EB" w:rsidRPr="00AE18FD" w:rsidRDefault="003874EB" w:rsidP="003874EB">
      <w:pPr>
        <w:spacing w:line="360" w:lineRule="auto"/>
        <w:jc w:val="both"/>
        <w:rPr>
          <w:rFonts w:ascii="Arial" w:hAnsi="Arial"/>
        </w:rPr>
      </w:pPr>
    </w:p>
    <w:p w14:paraId="13EFECFB" w14:textId="77777777" w:rsidR="003874EB" w:rsidRPr="00AE18FD" w:rsidRDefault="003874EB" w:rsidP="00AE18FD">
      <w:pPr>
        <w:pStyle w:val="Heading2"/>
      </w:pPr>
      <w:bookmarkStart w:id="19" w:name="_Toc212487472"/>
      <w:r w:rsidRPr="00AE18FD">
        <w:t>Summary of results</w:t>
      </w:r>
      <w:bookmarkEnd w:id="19"/>
    </w:p>
    <w:p w14:paraId="7663077C" w14:textId="77777777" w:rsidR="003874EB" w:rsidRPr="00AE18FD" w:rsidRDefault="003874EB" w:rsidP="003874EB">
      <w:pPr>
        <w:spacing w:line="360" w:lineRule="auto"/>
        <w:jc w:val="both"/>
        <w:rPr>
          <w:rFonts w:ascii="Arial" w:hAnsi="Arial"/>
        </w:rPr>
      </w:pPr>
      <w:r w:rsidRPr="00AE18FD">
        <w:rPr>
          <w:rFonts w:ascii="Arial" w:hAnsi="Arial"/>
        </w:rPr>
        <w:t>In summary, the five studies reviewed show that community-based social care interventions—including day centres, peer support groups, arts programmes, and online supports—can play an important role in improving mental health and wellbeing for people living with dementia in the UK. The interventions consistently reduced loneliness, promoted social connection, and supported emotional health. Carers also experienced benefits, including lower stress and better coping. However, gaps remain in terms of equitable access and robust evidence on cost-effectiveness. These themes will be explored further in the discussion.</w:t>
      </w:r>
    </w:p>
    <w:p w14:paraId="20D71634" w14:textId="77777777" w:rsidR="004971D8" w:rsidRPr="00AE18FD" w:rsidRDefault="004971D8" w:rsidP="004971D8">
      <w:pPr>
        <w:pStyle w:val="Heading1"/>
      </w:pPr>
      <w:bookmarkStart w:id="20" w:name="_Toc212487473"/>
      <w:r w:rsidRPr="00AE18FD">
        <w:t>Discussion</w:t>
      </w:r>
      <w:bookmarkEnd w:id="20"/>
    </w:p>
    <w:p w14:paraId="767B96E3" w14:textId="77777777" w:rsidR="004971D8" w:rsidRPr="00AE18FD" w:rsidRDefault="004971D8" w:rsidP="004971D8">
      <w:pPr>
        <w:spacing w:line="360" w:lineRule="auto"/>
        <w:jc w:val="both"/>
        <w:rPr>
          <w:rFonts w:ascii="Arial" w:hAnsi="Arial"/>
        </w:rPr>
      </w:pPr>
      <w:r w:rsidRPr="00AE18FD">
        <w:rPr>
          <w:rFonts w:ascii="Arial" w:hAnsi="Arial"/>
        </w:rPr>
        <w:t xml:space="preserve">This scoping review explored evidence on community-based social care interventions to support the mental health of adults with dementia in the UK. Five studies were </w:t>
      </w:r>
      <w:r w:rsidRPr="00AE18FD">
        <w:rPr>
          <w:rFonts w:ascii="Arial" w:hAnsi="Arial"/>
        </w:rPr>
        <w:lastRenderedPageBreak/>
        <w:t>included, covering day centres, peer support groups, arts-based activities, and online programmes. The results suggested consistent benefits for reducing loneliness, improving wellbeing, and supporting carers, but also highlighted barriers to access and gaps in the evidence base. This discussion critically examines the findings in relation to wider literature, while also considering implications for practice and policy in the UK.</w:t>
      </w:r>
    </w:p>
    <w:p w14:paraId="7E588609" w14:textId="45DF1BBA" w:rsidR="004971D8" w:rsidRPr="00AE18FD" w:rsidRDefault="004971D8" w:rsidP="004971D8">
      <w:pPr>
        <w:spacing w:line="360" w:lineRule="auto"/>
        <w:jc w:val="both"/>
        <w:rPr>
          <w:rFonts w:ascii="Arial" w:hAnsi="Arial"/>
        </w:rPr>
      </w:pPr>
    </w:p>
    <w:p w14:paraId="251B05FA" w14:textId="77777777" w:rsidR="004971D8" w:rsidRPr="00AE18FD" w:rsidRDefault="004971D8" w:rsidP="00AE18FD">
      <w:pPr>
        <w:pStyle w:val="Heading2"/>
      </w:pPr>
      <w:bookmarkStart w:id="21" w:name="_Toc212487474"/>
      <w:r w:rsidRPr="00AE18FD">
        <w:t>Strengths of the evidence</w:t>
      </w:r>
      <w:bookmarkEnd w:id="21"/>
    </w:p>
    <w:p w14:paraId="18C1014B" w14:textId="77777777" w:rsidR="004971D8" w:rsidRPr="00AE18FD" w:rsidRDefault="004971D8" w:rsidP="004971D8">
      <w:pPr>
        <w:spacing w:line="360" w:lineRule="auto"/>
        <w:jc w:val="both"/>
        <w:rPr>
          <w:rFonts w:ascii="Arial" w:hAnsi="Arial"/>
        </w:rPr>
      </w:pPr>
      <w:r w:rsidRPr="00AE18FD">
        <w:rPr>
          <w:rFonts w:ascii="Arial" w:hAnsi="Arial"/>
        </w:rPr>
        <w:t>A clear strength is that the interventions reviewed were directly relevant to people’s everyday lives. Rather than focusing only on medical treatment, these interventions addressed social contact, meaningful activity, and support for families. This is in line with person-centred approaches promoted by NICE guidance (2025), which emphasises enabling people with dementia to live well.</w:t>
      </w:r>
    </w:p>
    <w:p w14:paraId="3F5B59EF" w14:textId="77F6E83D" w:rsidR="004971D8" w:rsidRPr="00AE18FD" w:rsidRDefault="004971D8" w:rsidP="004971D8">
      <w:pPr>
        <w:spacing w:line="360" w:lineRule="auto"/>
        <w:jc w:val="both"/>
        <w:rPr>
          <w:rFonts w:ascii="Arial" w:hAnsi="Arial"/>
        </w:rPr>
      </w:pPr>
      <w:r w:rsidRPr="00AE18FD">
        <w:rPr>
          <w:rFonts w:ascii="Arial" w:hAnsi="Arial"/>
        </w:rPr>
        <w:t xml:space="preserve">The reviewed studies also covered a variety of intervention types, from structured day centres (Samsi et al., 2025) to creative arts programmes (Ward et al., 2021) and peer support (McLoughlin et al., 2023). This variety reflects the diversity of needs among people with dementia. It also supports the argument that no single intervention is suitable for all, and that offering a mix of community services allows for flexibility and personal choice </w:t>
      </w:r>
      <w:r w:rsidR="00B924BA" w:rsidRPr="00AE18FD">
        <w:rPr>
          <w:rFonts w:ascii="Arial" w:hAnsi="Arial"/>
        </w:rPr>
        <w:t xml:space="preserve">(Quinn </w:t>
      </w:r>
      <w:r w:rsidR="00B924BA" w:rsidRPr="00AE18FD">
        <w:rPr>
          <w:rFonts w:ascii="Arial" w:hAnsi="Arial"/>
          <w:i/>
          <w:iCs/>
        </w:rPr>
        <w:t>et al.</w:t>
      </w:r>
      <w:r w:rsidR="00B924BA" w:rsidRPr="00AE18FD">
        <w:rPr>
          <w:rFonts w:ascii="Arial" w:hAnsi="Arial"/>
        </w:rPr>
        <w:t>, 2024)</w:t>
      </w:r>
      <w:r w:rsidRPr="00AE18FD">
        <w:rPr>
          <w:rFonts w:ascii="Arial" w:hAnsi="Arial"/>
        </w:rPr>
        <w:t>.</w:t>
      </w:r>
    </w:p>
    <w:p w14:paraId="2E960ECD" w14:textId="77777777" w:rsidR="004971D8" w:rsidRPr="00AE18FD" w:rsidRDefault="004971D8" w:rsidP="004971D8">
      <w:pPr>
        <w:spacing w:line="360" w:lineRule="auto"/>
        <w:jc w:val="both"/>
        <w:rPr>
          <w:rFonts w:ascii="Arial" w:hAnsi="Arial"/>
        </w:rPr>
      </w:pPr>
      <w:r w:rsidRPr="00AE18FD">
        <w:rPr>
          <w:rFonts w:ascii="Arial" w:hAnsi="Arial"/>
        </w:rPr>
        <w:t xml:space="preserve">Another strength was the inclusion of carers’ experiences, particularly in studies of day centres and peer groups. Carers reported reduced stress and greater coping ability when these supports were available (Nguyen et al., 2024). Given that carers provide </w:t>
      </w:r>
      <w:proofErr w:type="gramStart"/>
      <w:r w:rsidRPr="00AE18FD">
        <w:rPr>
          <w:rFonts w:ascii="Arial" w:hAnsi="Arial"/>
        </w:rPr>
        <w:t>the majority of</w:t>
      </w:r>
      <w:proofErr w:type="gramEnd"/>
      <w:r w:rsidRPr="00AE18FD">
        <w:rPr>
          <w:rFonts w:ascii="Arial" w:hAnsi="Arial"/>
        </w:rPr>
        <w:t xml:space="preserve"> dementia care in the UK, these findings underline the importance of community-based services for both people living with dementia and their families.</w:t>
      </w:r>
    </w:p>
    <w:p w14:paraId="4DC2944E" w14:textId="42DD7BB1" w:rsidR="004971D8" w:rsidRPr="00AE18FD" w:rsidRDefault="004971D8" w:rsidP="004971D8">
      <w:pPr>
        <w:spacing w:line="360" w:lineRule="auto"/>
        <w:jc w:val="both"/>
        <w:rPr>
          <w:rFonts w:ascii="Arial" w:hAnsi="Arial"/>
        </w:rPr>
      </w:pPr>
    </w:p>
    <w:p w14:paraId="3CC05944" w14:textId="77777777" w:rsidR="004971D8" w:rsidRPr="00AE18FD" w:rsidRDefault="004971D8" w:rsidP="00AE18FD">
      <w:pPr>
        <w:pStyle w:val="Heading2"/>
      </w:pPr>
      <w:bookmarkStart w:id="22" w:name="_Toc212487475"/>
      <w:r w:rsidRPr="00AE18FD">
        <w:t>Weaknesses and gaps</w:t>
      </w:r>
      <w:bookmarkEnd w:id="22"/>
    </w:p>
    <w:p w14:paraId="3A2D52E1" w14:textId="5A014586" w:rsidR="004971D8" w:rsidRPr="00AE18FD" w:rsidRDefault="003C3E44" w:rsidP="004971D8">
      <w:pPr>
        <w:spacing w:line="360" w:lineRule="auto"/>
        <w:jc w:val="both"/>
        <w:rPr>
          <w:rFonts w:ascii="Arial" w:hAnsi="Arial"/>
        </w:rPr>
      </w:pPr>
      <w:r w:rsidRPr="00AE18FD">
        <w:rPr>
          <w:rFonts w:ascii="Arial" w:hAnsi="Arial"/>
        </w:rPr>
        <w:t>Most studies were small-scale or qualitative, limiting generalisability. Inconsistent outcome measures also made it difficult to compare effectiveness across interventions (Ward et al., 2021; Giebel et al., 2024).</w:t>
      </w:r>
    </w:p>
    <w:p w14:paraId="77D15F05" w14:textId="6BAE65E0" w:rsidR="004971D8" w:rsidRPr="00AE18FD" w:rsidRDefault="004971D8" w:rsidP="004971D8">
      <w:pPr>
        <w:spacing w:line="360" w:lineRule="auto"/>
        <w:jc w:val="both"/>
        <w:rPr>
          <w:rFonts w:ascii="Arial" w:hAnsi="Arial"/>
        </w:rPr>
      </w:pPr>
      <w:r w:rsidRPr="00AE18FD">
        <w:rPr>
          <w:rFonts w:ascii="Arial" w:hAnsi="Arial"/>
        </w:rPr>
        <w:lastRenderedPageBreak/>
        <w:t xml:space="preserve">Another weakness was the inconsistent measurement of outcomes. While some studies used validated scales for wellbeing or depression, others relied on descriptive reports or interviews. This inconsistency makes it hard to compare across studies or to know which interventions are most effective (Ward et al., 2021; Giebel et al., 2024). It also means there is limited evidence on the cost-effectiveness of community programmes, even though this is crucial for commissioners deciding how to allocate limited resources </w:t>
      </w:r>
      <w:r w:rsidR="004A0A87" w:rsidRPr="00AE18FD">
        <w:rPr>
          <w:rFonts w:ascii="Arial" w:hAnsi="Arial"/>
        </w:rPr>
        <w:t xml:space="preserve">(Ghaffari Darab </w:t>
      </w:r>
      <w:r w:rsidR="004A0A87" w:rsidRPr="00AE18FD">
        <w:rPr>
          <w:rFonts w:ascii="Arial" w:hAnsi="Arial"/>
          <w:i/>
          <w:iCs/>
        </w:rPr>
        <w:t>et al.</w:t>
      </w:r>
      <w:r w:rsidR="004A0A87" w:rsidRPr="00AE18FD">
        <w:rPr>
          <w:rFonts w:ascii="Arial" w:hAnsi="Arial"/>
        </w:rPr>
        <w:t>, 2024).</w:t>
      </w:r>
    </w:p>
    <w:p w14:paraId="3637487D" w14:textId="77777777" w:rsidR="004971D8" w:rsidRPr="00AE18FD" w:rsidRDefault="004971D8" w:rsidP="004971D8">
      <w:pPr>
        <w:spacing w:line="360" w:lineRule="auto"/>
        <w:jc w:val="both"/>
        <w:rPr>
          <w:rFonts w:ascii="Arial" w:hAnsi="Arial"/>
        </w:rPr>
      </w:pPr>
      <w:r w:rsidRPr="00AE18FD">
        <w:rPr>
          <w:rFonts w:ascii="Arial" w:hAnsi="Arial"/>
        </w:rPr>
        <w:t>A further gap concerns equity and access. Several studies highlighted barriers such as transport difficulties, lack of local provision, or digital exclusion in online groups (McLoughlin et al., 2023; Gridley et al., 2025). Wider literature confirms these inequalities, with research showing that people in rural areas, minority ethnic groups, and deprived communities often face more challenges in accessing dementia support (All Party Parliamentary Group on Dementia, 2021; Giebel et al., 2024). Without addressing these barriers, community-based services risk widening rather than reducing health inequalities.</w:t>
      </w:r>
    </w:p>
    <w:p w14:paraId="01E4BF0D" w14:textId="315FCA37" w:rsidR="004971D8" w:rsidRPr="00AE18FD" w:rsidRDefault="004971D8" w:rsidP="004971D8">
      <w:pPr>
        <w:spacing w:line="360" w:lineRule="auto"/>
        <w:jc w:val="both"/>
        <w:rPr>
          <w:rFonts w:ascii="Arial" w:hAnsi="Arial"/>
        </w:rPr>
      </w:pPr>
    </w:p>
    <w:p w14:paraId="3F820ED2" w14:textId="77777777" w:rsidR="004971D8" w:rsidRPr="00AE18FD" w:rsidRDefault="004971D8" w:rsidP="00AE18FD">
      <w:pPr>
        <w:pStyle w:val="Heading2"/>
      </w:pPr>
      <w:bookmarkStart w:id="23" w:name="_Toc212487476"/>
      <w:r w:rsidRPr="00AE18FD">
        <w:t>Comparison with wider literature</w:t>
      </w:r>
      <w:bookmarkEnd w:id="23"/>
    </w:p>
    <w:p w14:paraId="7B7F5180" w14:textId="74F1016F" w:rsidR="004971D8" w:rsidRPr="00AE18FD" w:rsidRDefault="004971D8" w:rsidP="004971D8">
      <w:pPr>
        <w:spacing w:line="360" w:lineRule="auto"/>
        <w:jc w:val="both"/>
        <w:rPr>
          <w:rFonts w:ascii="Arial" w:hAnsi="Arial"/>
        </w:rPr>
      </w:pPr>
      <w:r w:rsidRPr="00AE18FD">
        <w:rPr>
          <w:rFonts w:ascii="Arial" w:hAnsi="Arial"/>
        </w:rPr>
        <w:t xml:space="preserve">The findings of this review are consistent with international literature that links social connection and meaningful activity with better mental health outcomes in dementia. A systematic review of psychosocial interventions found that group-based and activity-based approaches often lead to improved mood and quality of life </w:t>
      </w:r>
      <w:r w:rsidR="00AB020E" w:rsidRPr="00AE18FD">
        <w:rPr>
          <w:rFonts w:ascii="Arial" w:hAnsi="Arial"/>
        </w:rPr>
        <w:t xml:space="preserve">(McDermott </w:t>
      </w:r>
      <w:r w:rsidR="00AB020E" w:rsidRPr="00AE18FD">
        <w:rPr>
          <w:rFonts w:ascii="Arial" w:hAnsi="Arial"/>
          <w:i/>
          <w:iCs/>
        </w:rPr>
        <w:t>et al.</w:t>
      </w:r>
      <w:r w:rsidR="00AB020E" w:rsidRPr="00AE18FD">
        <w:rPr>
          <w:rFonts w:ascii="Arial" w:hAnsi="Arial"/>
        </w:rPr>
        <w:t>, 2019).</w:t>
      </w:r>
      <w:r w:rsidRPr="00AE18FD">
        <w:rPr>
          <w:rFonts w:ascii="Arial" w:hAnsi="Arial"/>
        </w:rPr>
        <w:t xml:space="preserve"> Similarly, resilience-building programmes for older adults with dementia have been shown to reduce depression and improve wellbeing (Wang et al., 2021).</w:t>
      </w:r>
    </w:p>
    <w:p w14:paraId="5E6689B8" w14:textId="57AE4CE2" w:rsidR="004971D8" w:rsidRPr="00AE18FD" w:rsidRDefault="004971D8" w:rsidP="004971D8">
      <w:pPr>
        <w:spacing w:line="360" w:lineRule="auto"/>
        <w:jc w:val="both"/>
        <w:rPr>
          <w:rFonts w:ascii="Arial" w:hAnsi="Arial"/>
        </w:rPr>
      </w:pPr>
      <w:r w:rsidRPr="00AE18FD">
        <w:rPr>
          <w:rFonts w:ascii="Arial" w:hAnsi="Arial"/>
        </w:rPr>
        <w:t xml:space="preserve">Evidence on arts-based programmes has grown in recent years, with studies in Europe and North America showing positive effects on mood, self-expression, and carer–patient relationships </w:t>
      </w:r>
      <w:r w:rsidR="00B924BA" w:rsidRPr="00AE18FD">
        <w:rPr>
          <w:rFonts w:ascii="Arial" w:hAnsi="Arial"/>
        </w:rPr>
        <w:t>(</w:t>
      </w:r>
      <w:proofErr w:type="spellStart"/>
      <w:r w:rsidR="00B924BA" w:rsidRPr="00AE18FD">
        <w:rPr>
          <w:rFonts w:ascii="Arial" w:hAnsi="Arial"/>
        </w:rPr>
        <w:t>Letrondo</w:t>
      </w:r>
      <w:proofErr w:type="spellEnd"/>
      <w:r w:rsidR="00B924BA" w:rsidRPr="00AE18FD">
        <w:rPr>
          <w:rFonts w:ascii="Arial" w:hAnsi="Arial"/>
        </w:rPr>
        <w:t xml:space="preserve"> et al., 2023</w:t>
      </w:r>
      <w:r w:rsidRPr="00AE18FD">
        <w:rPr>
          <w:rFonts w:ascii="Arial" w:hAnsi="Arial"/>
        </w:rPr>
        <w:t>; Ward et al., 2021). These findings reinforce the UK evidence, suggesting that creative activities provide unique benefits that go beyond what is typically measured in medical models of care.</w:t>
      </w:r>
    </w:p>
    <w:p w14:paraId="1EBE392E" w14:textId="62E91231" w:rsidR="004971D8" w:rsidRPr="00AE18FD" w:rsidRDefault="004971D8" w:rsidP="004971D8">
      <w:pPr>
        <w:spacing w:line="360" w:lineRule="auto"/>
        <w:jc w:val="both"/>
        <w:rPr>
          <w:rFonts w:ascii="Arial" w:hAnsi="Arial"/>
        </w:rPr>
      </w:pPr>
      <w:r w:rsidRPr="00AE18FD">
        <w:rPr>
          <w:rFonts w:ascii="Arial" w:hAnsi="Arial"/>
        </w:rPr>
        <w:t xml:space="preserve">At the same time, wider research also highlights the challenges. Many community interventions rely on short-term funding or local charities, making them vulnerable to </w:t>
      </w:r>
      <w:r w:rsidRPr="00AE18FD">
        <w:rPr>
          <w:rFonts w:ascii="Arial" w:hAnsi="Arial"/>
        </w:rPr>
        <w:lastRenderedPageBreak/>
        <w:t xml:space="preserve">cuts or closure </w:t>
      </w:r>
      <w:r w:rsidR="00B54340" w:rsidRPr="00AE18FD">
        <w:rPr>
          <w:rFonts w:ascii="Arial" w:hAnsi="Arial"/>
        </w:rPr>
        <w:t xml:space="preserve">(Mathie </w:t>
      </w:r>
      <w:r w:rsidR="00B54340" w:rsidRPr="00AE18FD">
        <w:rPr>
          <w:rFonts w:ascii="Arial" w:hAnsi="Arial"/>
          <w:i/>
          <w:iCs/>
        </w:rPr>
        <w:t>et al.</w:t>
      </w:r>
      <w:r w:rsidR="00B54340" w:rsidRPr="00AE18FD">
        <w:rPr>
          <w:rFonts w:ascii="Arial" w:hAnsi="Arial"/>
        </w:rPr>
        <w:t xml:space="preserve">, 2022) </w:t>
      </w:r>
      <w:r w:rsidRPr="00AE18FD">
        <w:rPr>
          <w:rFonts w:ascii="Arial" w:hAnsi="Arial"/>
        </w:rPr>
        <w:t>This lack of stability limits the sustainability of programmes, which is a recognised issue across UK social care services.</w:t>
      </w:r>
    </w:p>
    <w:p w14:paraId="02A44B51" w14:textId="433708F7" w:rsidR="004971D8" w:rsidRPr="00AE18FD" w:rsidRDefault="004971D8" w:rsidP="004971D8">
      <w:pPr>
        <w:spacing w:line="360" w:lineRule="auto"/>
        <w:jc w:val="both"/>
        <w:rPr>
          <w:rFonts w:ascii="Arial" w:hAnsi="Arial"/>
        </w:rPr>
      </w:pPr>
    </w:p>
    <w:p w14:paraId="73EA1F57" w14:textId="77777777" w:rsidR="004971D8" w:rsidRPr="00AE18FD" w:rsidRDefault="004971D8" w:rsidP="00AE18FD">
      <w:pPr>
        <w:pStyle w:val="Heading2"/>
      </w:pPr>
      <w:bookmarkStart w:id="24" w:name="_Toc212487477"/>
      <w:r w:rsidRPr="00AE18FD">
        <w:t>Implications for practice in the UK</w:t>
      </w:r>
      <w:bookmarkEnd w:id="24"/>
    </w:p>
    <w:p w14:paraId="77C1404B" w14:textId="77777777" w:rsidR="004971D8" w:rsidRPr="00AE18FD" w:rsidRDefault="004971D8" w:rsidP="004971D8">
      <w:pPr>
        <w:spacing w:line="360" w:lineRule="auto"/>
        <w:jc w:val="both"/>
        <w:rPr>
          <w:rFonts w:ascii="Arial" w:hAnsi="Arial"/>
        </w:rPr>
      </w:pPr>
      <w:r w:rsidRPr="00AE18FD">
        <w:rPr>
          <w:rFonts w:ascii="Arial" w:hAnsi="Arial"/>
        </w:rPr>
        <w:t>The review findings have several implications for health and social care practice. First, services should continue to invest in day centres, peer groups, and creative programmes as part of holistic dementia care. These interventions provide clear benefits for mental health, which are central to living well with dementia.</w:t>
      </w:r>
    </w:p>
    <w:p w14:paraId="4BCC7F8C" w14:textId="77777777" w:rsidR="004971D8" w:rsidRPr="00AE18FD" w:rsidRDefault="004971D8" w:rsidP="004971D8">
      <w:pPr>
        <w:spacing w:line="360" w:lineRule="auto"/>
        <w:jc w:val="both"/>
        <w:rPr>
          <w:rFonts w:ascii="Arial" w:hAnsi="Arial"/>
        </w:rPr>
      </w:pPr>
      <w:r w:rsidRPr="00AE18FD">
        <w:rPr>
          <w:rFonts w:ascii="Arial" w:hAnsi="Arial"/>
        </w:rPr>
        <w:t>Second, there is a need for better integration between health services, social care, and community organisations. NHS England’s focus on social prescribing is one example of how people can be connected to local support, but more consistent pathways are required to ensure people know what is available and how to access it (NHS England, 2024).</w:t>
      </w:r>
    </w:p>
    <w:p w14:paraId="7F45F2E6" w14:textId="536B3B2D" w:rsidR="004971D8" w:rsidRPr="00AE18FD" w:rsidRDefault="004971D8" w:rsidP="004971D8">
      <w:pPr>
        <w:spacing w:line="360" w:lineRule="auto"/>
        <w:jc w:val="both"/>
        <w:rPr>
          <w:rFonts w:ascii="Arial" w:hAnsi="Arial"/>
        </w:rPr>
      </w:pPr>
      <w:r w:rsidRPr="00AE18FD">
        <w:rPr>
          <w:rFonts w:ascii="Arial" w:hAnsi="Arial"/>
        </w:rPr>
        <w:t>Third, policymakers should address the equity gap. Commissioning should prioritise underserved groups, ensuring that rural communities, ethnic minority groups, and those affected by poverty have fair access to dementia-friendly services. Transport support, culturally appropriate programmes, and digital inclusion strategies could help close these gaps (Giebel et al., 202</w:t>
      </w:r>
      <w:r w:rsidR="004C2480" w:rsidRPr="00AE18FD">
        <w:rPr>
          <w:rFonts w:ascii="Arial" w:hAnsi="Arial"/>
        </w:rPr>
        <w:t>3</w:t>
      </w:r>
      <w:r w:rsidRPr="00AE18FD">
        <w:rPr>
          <w:rFonts w:ascii="Arial" w:hAnsi="Arial"/>
        </w:rPr>
        <w:t>).</w:t>
      </w:r>
    </w:p>
    <w:p w14:paraId="398467FA" w14:textId="77777777" w:rsidR="004971D8" w:rsidRPr="00AE18FD" w:rsidRDefault="004971D8" w:rsidP="004971D8">
      <w:pPr>
        <w:spacing w:line="360" w:lineRule="auto"/>
        <w:jc w:val="both"/>
        <w:rPr>
          <w:rFonts w:ascii="Arial" w:hAnsi="Arial"/>
        </w:rPr>
      </w:pPr>
      <w:r w:rsidRPr="00AE18FD">
        <w:rPr>
          <w:rFonts w:ascii="Arial" w:hAnsi="Arial"/>
        </w:rPr>
        <w:t>Fourth, future research and evaluation should use consistent outcome measures and assess cost-effectiveness. This will provide stronger evidence for commissioners and policymakers, supporting the sustainability of effective interventions.</w:t>
      </w:r>
    </w:p>
    <w:p w14:paraId="2795B691" w14:textId="2331A942" w:rsidR="004971D8" w:rsidRPr="00AE18FD" w:rsidRDefault="004971D8" w:rsidP="004971D8">
      <w:pPr>
        <w:spacing w:line="360" w:lineRule="auto"/>
        <w:jc w:val="both"/>
        <w:rPr>
          <w:rFonts w:ascii="Arial" w:hAnsi="Arial"/>
        </w:rPr>
      </w:pPr>
    </w:p>
    <w:p w14:paraId="35899CDD" w14:textId="77777777" w:rsidR="004971D8" w:rsidRPr="00AE18FD" w:rsidRDefault="004971D8" w:rsidP="004971D8">
      <w:pPr>
        <w:spacing w:line="360" w:lineRule="auto"/>
        <w:jc w:val="both"/>
        <w:rPr>
          <w:rFonts w:ascii="Arial" w:hAnsi="Arial"/>
        </w:rPr>
      </w:pPr>
      <w:r w:rsidRPr="00AE18FD">
        <w:rPr>
          <w:rFonts w:ascii="Arial" w:hAnsi="Arial"/>
        </w:rPr>
        <w:t>Summary of discussion</w:t>
      </w:r>
    </w:p>
    <w:p w14:paraId="7B5388FF" w14:textId="77777777" w:rsidR="004971D8" w:rsidRPr="00AE18FD" w:rsidRDefault="004971D8" w:rsidP="004971D8">
      <w:pPr>
        <w:spacing w:line="360" w:lineRule="auto"/>
        <w:jc w:val="both"/>
        <w:rPr>
          <w:rFonts w:ascii="Arial" w:hAnsi="Arial"/>
        </w:rPr>
      </w:pPr>
      <w:r w:rsidRPr="00AE18FD">
        <w:rPr>
          <w:rFonts w:ascii="Arial" w:hAnsi="Arial"/>
        </w:rPr>
        <w:t xml:space="preserve">Overall, the review shows that community-based social care interventions can play a vital role in supporting the mental health of adults with dementia in the UK. Strengths include their person-centred focus, variety of approaches, and benefits for both people with dementia and carers. Weaknesses include small sample sizes, inconsistent outcome measures, and limited evidence on cost-effectiveness. Gaps remain in access and equity, with some groups facing barriers to support. These findings align </w:t>
      </w:r>
      <w:r w:rsidRPr="00AE18FD">
        <w:rPr>
          <w:rFonts w:ascii="Arial" w:hAnsi="Arial"/>
        </w:rPr>
        <w:lastRenderedPageBreak/>
        <w:t>with wider literature and highlight the importance of embedding community-based services into UK dementia policy and practice.</w:t>
      </w:r>
    </w:p>
    <w:p w14:paraId="0894F9E2" w14:textId="77777777" w:rsidR="004971D8" w:rsidRPr="00AE18FD" w:rsidRDefault="004971D8" w:rsidP="00AE18FD">
      <w:pPr>
        <w:pStyle w:val="Heading1"/>
      </w:pPr>
      <w:bookmarkStart w:id="25" w:name="_Toc212487478"/>
      <w:r w:rsidRPr="00AE18FD">
        <w:t>Conclusion and Recommendations</w:t>
      </w:r>
      <w:bookmarkEnd w:id="25"/>
    </w:p>
    <w:p w14:paraId="56430F1E" w14:textId="77777777" w:rsidR="004971D8" w:rsidRPr="00AE18FD" w:rsidRDefault="004971D8" w:rsidP="004971D8">
      <w:pPr>
        <w:spacing w:line="360" w:lineRule="auto"/>
        <w:jc w:val="both"/>
        <w:rPr>
          <w:rFonts w:ascii="Arial" w:hAnsi="Arial"/>
        </w:rPr>
      </w:pPr>
      <w:r w:rsidRPr="00AE18FD">
        <w:rPr>
          <w:rFonts w:ascii="Arial" w:hAnsi="Arial"/>
        </w:rPr>
        <w:t>This scoping review looked at community-based social care interventions that support the mental health of adults with dementia in the UK. The evidence from five peer-reviewed studies showed that services such as day centres, peer support groups, arts-based programmes, and online support can bring meaningful benefits. These included reduced loneliness, improved wellbeing, better coping for carers, and greater social connectedness. The results support the idea that living well with dementia depends not only on medical care, but also on access to supportive and engaging community-based services.</w:t>
      </w:r>
    </w:p>
    <w:p w14:paraId="65A7DEB1" w14:textId="3AAE3CB0" w:rsidR="004971D8" w:rsidRPr="00AE18FD" w:rsidRDefault="00EC1CA5" w:rsidP="004971D8">
      <w:pPr>
        <w:spacing w:line="360" w:lineRule="auto"/>
        <w:jc w:val="both"/>
        <w:rPr>
          <w:rFonts w:ascii="Arial" w:hAnsi="Arial"/>
        </w:rPr>
      </w:pPr>
      <w:r w:rsidRPr="00AE18FD">
        <w:rPr>
          <w:rFonts w:ascii="Arial" w:hAnsi="Arial"/>
        </w:rPr>
        <w:t xml:space="preserve">Challenges </w:t>
      </w:r>
      <w:proofErr w:type="gramStart"/>
      <w:r w:rsidRPr="00AE18FD">
        <w:rPr>
          <w:rFonts w:ascii="Arial" w:hAnsi="Arial"/>
        </w:rPr>
        <w:t>remain:</w:t>
      </w:r>
      <w:proofErr w:type="gramEnd"/>
      <w:r w:rsidRPr="00AE18FD">
        <w:rPr>
          <w:rFonts w:ascii="Arial" w:hAnsi="Arial"/>
        </w:rPr>
        <w:t xml:space="preserve"> access is uneven due to transport, cost, local provision, and digital exclusion, while the evidence base is fragmented with small studies and inconsistent outcome measures.</w:t>
      </w:r>
    </w:p>
    <w:p w14:paraId="7417229C" w14:textId="77777777" w:rsidR="004971D8" w:rsidRPr="00AE18FD" w:rsidRDefault="004971D8" w:rsidP="004971D8">
      <w:pPr>
        <w:spacing w:line="360" w:lineRule="auto"/>
        <w:jc w:val="both"/>
        <w:rPr>
          <w:rFonts w:ascii="Arial" w:hAnsi="Arial"/>
        </w:rPr>
      </w:pPr>
      <w:r w:rsidRPr="00AE18FD">
        <w:rPr>
          <w:rFonts w:ascii="Arial" w:hAnsi="Arial"/>
        </w:rPr>
        <w:t xml:space="preserve">Overall, the findings confirm that community-based social care interventions play a vital role in improving mental health outcomes for people with dementia and supporting their </w:t>
      </w:r>
      <w:proofErr w:type="spellStart"/>
      <w:r w:rsidRPr="00AE18FD">
        <w:rPr>
          <w:rFonts w:ascii="Arial" w:hAnsi="Arial"/>
        </w:rPr>
        <w:t>carers</w:t>
      </w:r>
      <w:proofErr w:type="spellEnd"/>
      <w:r w:rsidRPr="00AE18FD">
        <w:rPr>
          <w:rFonts w:ascii="Arial" w:hAnsi="Arial"/>
        </w:rPr>
        <w:t>. However, for these interventions to have a wider and fairer impact, action is needed at both practice and policy levels.</w:t>
      </w:r>
    </w:p>
    <w:p w14:paraId="3697B39B" w14:textId="25AAC419" w:rsidR="004971D8" w:rsidRPr="00AE18FD" w:rsidRDefault="004971D8" w:rsidP="004971D8">
      <w:pPr>
        <w:spacing w:line="360" w:lineRule="auto"/>
        <w:jc w:val="both"/>
        <w:rPr>
          <w:rFonts w:ascii="Arial" w:hAnsi="Arial"/>
        </w:rPr>
      </w:pPr>
    </w:p>
    <w:p w14:paraId="74D221BD" w14:textId="77777777" w:rsidR="004971D8" w:rsidRPr="00AE18FD" w:rsidRDefault="004971D8" w:rsidP="004971D8">
      <w:pPr>
        <w:spacing w:line="360" w:lineRule="auto"/>
        <w:jc w:val="both"/>
        <w:rPr>
          <w:rFonts w:ascii="Arial" w:hAnsi="Arial"/>
        </w:rPr>
      </w:pPr>
      <w:r w:rsidRPr="00AE18FD">
        <w:rPr>
          <w:rFonts w:ascii="Arial" w:hAnsi="Arial"/>
        </w:rPr>
        <w:t>Recommendations</w:t>
      </w:r>
    </w:p>
    <w:p w14:paraId="3C654719" w14:textId="77777777" w:rsidR="004971D8" w:rsidRPr="00AE18FD" w:rsidRDefault="004971D8" w:rsidP="004971D8">
      <w:pPr>
        <w:spacing w:line="360" w:lineRule="auto"/>
        <w:jc w:val="both"/>
        <w:rPr>
          <w:rFonts w:ascii="Arial" w:hAnsi="Arial"/>
        </w:rPr>
      </w:pPr>
      <w:r w:rsidRPr="00AE18FD">
        <w:rPr>
          <w:rFonts w:ascii="Arial" w:hAnsi="Arial"/>
        </w:rPr>
        <w:t>For practice:</w:t>
      </w:r>
    </w:p>
    <w:p w14:paraId="1465523E" w14:textId="77777777" w:rsidR="004971D8" w:rsidRPr="00AE18FD" w:rsidRDefault="004971D8" w:rsidP="004971D8">
      <w:pPr>
        <w:numPr>
          <w:ilvl w:val="0"/>
          <w:numId w:val="5"/>
        </w:numPr>
        <w:spacing w:line="360" w:lineRule="auto"/>
        <w:jc w:val="both"/>
        <w:rPr>
          <w:rFonts w:ascii="Arial" w:hAnsi="Arial"/>
        </w:rPr>
      </w:pPr>
      <w:r w:rsidRPr="00AE18FD">
        <w:rPr>
          <w:rFonts w:ascii="Arial" w:hAnsi="Arial"/>
        </w:rPr>
        <w:t>Expand the use of day centres, arts activities, and peer support groups, as these show consistent benefits for wellbeing.</w:t>
      </w:r>
    </w:p>
    <w:p w14:paraId="0E10C4EE" w14:textId="77777777" w:rsidR="004971D8" w:rsidRPr="00AE18FD" w:rsidRDefault="004971D8" w:rsidP="004971D8">
      <w:pPr>
        <w:numPr>
          <w:ilvl w:val="0"/>
          <w:numId w:val="5"/>
        </w:numPr>
        <w:spacing w:line="360" w:lineRule="auto"/>
        <w:jc w:val="both"/>
        <w:rPr>
          <w:rFonts w:ascii="Arial" w:hAnsi="Arial"/>
        </w:rPr>
      </w:pPr>
      <w:r w:rsidRPr="00AE18FD">
        <w:rPr>
          <w:rFonts w:ascii="Arial" w:hAnsi="Arial"/>
        </w:rPr>
        <w:t xml:space="preserve">Ensure services are person-centred, flexible, and inclusive of both people with dementia and their </w:t>
      </w:r>
      <w:proofErr w:type="spellStart"/>
      <w:r w:rsidRPr="00AE18FD">
        <w:rPr>
          <w:rFonts w:ascii="Arial" w:hAnsi="Arial"/>
        </w:rPr>
        <w:t>carers</w:t>
      </w:r>
      <w:proofErr w:type="spellEnd"/>
      <w:r w:rsidRPr="00AE18FD">
        <w:rPr>
          <w:rFonts w:ascii="Arial" w:hAnsi="Arial"/>
        </w:rPr>
        <w:t>.</w:t>
      </w:r>
    </w:p>
    <w:p w14:paraId="345F9EFA" w14:textId="77777777" w:rsidR="004971D8" w:rsidRPr="00AE18FD" w:rsidRDefault="004971D8" w:rsidP="004971D8">
      <w:pPr>
        <w:numPr>
          <w:ilvl w:val="0"/>
          <w:numId w:val="5"/>
        </w:numPr>
        <w:spacing w:line="360" w:lineRule="auto"/>
        <w:jc w:val="both"/>
        <w:rPr>
          <w:rFonts w:ascii="Arial" w:hAnsi="Arial"/>
        </w:rPr>
      </w:pPr>
      <w:r w:rsidRPr="00AE18FD">
        <w:rPr>
          <w:rFonts w:ascii="Arial" w:hAnsi="Arial"/>
        </w:rPr>
        <w:t>Use social prescribing pathways to connect people more easily to community services.</w:t>
      </w:r>
    </w:p>
    <w:p w14:paraId="53629F5B" w14:textId="77777777" w:rsidR="004971D8" w:rsidRPr="00AE18FD" w:rsidRDefault="004971D8" w:rsidP="004971D8">
      <w:pPr>
        <w:spacing w:line="360" w:lineRule="auto"/>
        <w:jc w:val="both"/>
        <w:rPr>
          <w:rFonts w:ascii="Arial" w:hAnsi="Arial"/>
        </w:rPr>
      </w:pPr>
      <w:r w:rsidRPr="00AE18FD">
        <w:rPr>
          <w:rFonts w:ascii="Arial" w:hAnsi="Arial"/>
        </w:rPr>
        <w:t>For policy:</w:t>
      </w:r>
    </w:p>
    <w:p w14:paraId="09884B4A" w14:textId="77777777" w:rsidR="004971D8" w:rsidRPr="00AE18FD" w:rsidRDefault="004971D8" w:rsidP="004971D8">
      <w:pPr>
        <w:numPr>
          <w:ilvl w:val="0"/>
          <w:numId w:val="6"/>
        </w:numPr>
        <w:spacing w:line="360" w:lineRule="auto"/>
        <w:jc w:val="both"/>
        <w:rPr>
          <w:rFonts w:ascii="Arial" w:hAnsi="Arial"/>
        </w:rPr>
      </w:pPr>
      <w:r w:rsidRPr="00AE18FD">
        <w:rPr>
          <w:rFonts w:ascii="Arial" w:hAnsi="Arial"/>
        </w:rPr>
        <w:lastRenderedPageBreak/>
        <w:t>Address inequalities in access by commissioning services in deprived and rural areas and supporting digital inclusion.</w:t>
      </w:r>
    </w:p>
    <w:p w14:paraId="4CBD1892" w14:textId="77777777" w:rsidR="004971D8" w:rsidRPr="00AE18FD" w:rsidRDefault="004971D8" w:rsidP="004971D8">
      <w:pPr>
        <w:numPr>
          <w:ilvl w:val="0"/>
          <w:numId w:val="6"/>
        </w:numPr>
        <w:spacing w:line="360" w:lineRule="auto"/>
        <w:jc w:val="both"/>
        <w:rPr>
          <w:rFonts w:ascii="Arial" w:hAnsi="Arial"/>
        </w:rPr>
      </w:pPr>
      <w:r w:rsidRPr="00AE18FD">
        <w:rPr>
          <w:rFonts w:ascii="Arial" w:hAnsi="Arial"/>
        </w:rPr>
        <w:t>Provide sustainable funding for community organisations to reduce reliance on short-term grants.</w:t>
      </w:r>
    </w:p>
    <w:p w14:paraId="0D6465D8" w14:textId="77777777" w:rsidR="004971D8" w:rsidRPr="00AE18FD" w:rsidRDefault="004971D8" w:rsidP="004971D8">
      <w:pPr>
        <w:numPr>
          <w:ilvl w:val="0"/>
          <w:numId w:val="6"/>
        </w:numPr>
        <w:spacing w:line="360" w:lineRule="auto"/>
        <w:jc w:val="both"/>
        <w:rPr>
          <w:rFonts w:ascii="Arial" w:hAnsi="Arial"/>
        </w:rPr>
      </w:pPr>
      <w:r w:rsidRPr="00AE18FD">
        <w:rPr>
          <w:rFonts w:ascii="Arial" w:hAnsi="Arial"/>
        </w:rPr>
        <w:t>Integrate dementia-friendly community services into NHS and social care planning.</w:t>
      </w:r>
    </w:p>
    <w:p w14:paraId="5FA3C9E9" w14:textId="77777777" w:rsidR="004971D8" w:rsidRPr="00AE18FD" w:rsidRDefault="004971D8" w:rsidP="004971D8">
      <w:pPr>
        <w:spacing w:line="360" w:lineRule="auto"/>
        <w:jc w:val="both"/>
        <w:rPr>
          <w:rFonts w:ascii="Arial" w:hAnsi="Arial"/>
        </w:rPr>
      </w:pPr>
      <w:r w:rsidRPr="00AE18FD">
        <w:rPr>
          <w:rFonts w:ascii="Arial" w:hAnsi="Arial"/>
        </w:rPr>
        <w:t>For research:</w:t>
      </w:r>
    </w:p>
    <w:p w14:paraId="2985E38F" w14:textId="77777777" w:rsidR="004971D8" w:rsidRPr="00AE18FD" w:rsidRDefault="004971D8" w:rsidP="004971D8">
      <w:pPr>
        <w:numPr>
          <w:ilvl w:val="0"/>
          <w:numId w:val="7"/>
        </w:numPr>
        <w:spacing w:line="360" w:lineRule="auto"/>
        <w:jc w:val="both"/>
        <w:rPr>
          <w:rFonts w:ascii="Arial" w:hAnsi="Arial"/>
        </w:rPr>
      </w:pPr>
      <w:r w:rsidRPr="00AE18FD">
        <w:rPr>
          <w:rFonts w:ascii="Arial" w:hAnsi="Arial"/>
        </w:rPr>
        <w:t>Use larger, well-designed studies to provide stronger evidence on effectiveness.</w:t>
      </w:r>
    </w:p>
    <w:p w14:paraId="1077BEB7" w14:textId="77777777" w:rsidR="004971D8" w:rsidRPr="00AE18FD" w:rsidRDefault="004971D8" w:rsidP="004971D8">
      <w:pPr>
        <w:numPr>
          <w:ilvl w:val="0"/>
          <w:numId w:val="7"/>
        </w:numPr>
        <w:spacing w:line="360" w:lineRule="auto"/>
        <w:jc w:val="both"/>
        <w:rPr>
          <w:rFonts w:ascii="Arial" w:hAnsi="Arial"/>
        </w:rPr>
      </w:pPr>
      <w:r w:rsidRPr="00AE18FD">
        <w:rPr>
          <w:rFonts w:ascii="Arial" w:hAnsi="Arial"/>
        </w:rPr>
        <w:t>Apply consistent measures for wellbeing, mood, and quality of life to allow comparison across studies.</w:t>
      </w:r>
    </w:p>
    <w:p w14:paraId="5CDC3D2F" w14:textId="77777777" w:rsidR="004971D8" w:rsidRPr="00AE18FD" w:rsidRDefault="004971D8" w:rsidP="004971D8">
      <w:pPr>
        <w:numPr>
          <w:ilvl w:val="0"/>
          <w:numId w:val="7"/>
        </w:numPr>
        <w:spacing w:line="360" w:lineRule="auto"/>
        <w:jc w:val="both"/>
        <w:rPr>
          <w:rFonts w:ascii="Arial" w:hAnsi="Arial"/>
        </w:rPr>
      </w:pPr>
      <w:r w:rsidRPr="00AE18FD">
        <w:rPr>
          <w:rFonts w:ascii="Arial" w:hAnsi="Arial"/>
        </w:rPr>
        <w:t>Evaluate cost-effectiveness, so policymakers can understand both the health and economic benefits of interventions.</w:t>
      </w:r>
    </w:p>
    <w:p w14:paraId="08241197" w14:textId="5D3DC491" w:rsidR="004971D8" w:rsidRPr="00AE18FD" w:rsidRDefault="004971D8" w:rsidP="004971D8">
      <w:pPr>
        <w:spacing w:line="360" w:lineRule="auto"/>
        <w:jc w:val="both"/>
        <w:rPr>
          <w:rFonts w:ascii="Arial" w:hAnsi="Arial"/>
        </w:rPr>
      </w:pPr>
    </w:p>
    <w:p w14:paraId="6AC37557" w14:textId="77777777" w:rsidR="004971D8" w:rsidRPr="00AE18FD" w:rsidRDefault="004971D8" w:rsidP="004971D8">
      <w:pPr>
        <w:spacing w:line="360" w:lineRule="auto"/>
        <w:jc w:val="both"/>
        <w:rPr>
          <w:rFonts w:ascii="Arial" w:hAnsi="Arial"/>
        </w:rPr>
      </w:pPr>
      <w:r w:rsidRPr="00AE18FD">
        <w:rPr>
          <w:rFonts w:ascii="Arial" w:hAnsi="Arial"/>
        </w:rPr>
        <w:t>In conclusion, community-based social care interventions are a promising way to improve the mental health of people living with dementia in the UK. With better access, sustainable funding, and stronger evidence, these services can become a central part of dementia care and help people live well for longer.</w:t>
      </w:r>
    </w:p>
    <w:p w14:paraId="072E2ECE" w14:textId="77777777" w:rsidR="00443581" w:rsidRPr="00AE18FD" w:rsidRDefault="00482C36" w:rsidP="00443581">
      <w:pPr>
        <w:pStyle w:val="Heading1"/>
      </w:pPr>
      <w:r w:rsidRPr="00AE18FD">
        <w:rPr>
          <w:rFonts w:ascii="Arial" w:hAnsi="Arial"/>
        </w:rPr>
        <w:br w:type="page"/>
      </w:r>
      <w:bookmarkStart w:id="26" w:name="_Toc212487479"/>
      <w:r w:rsidR="00443581" w:rsidRPr="00AE18FD">
        <w:lastRenderedPageBreak/>
        <w:t>Reference</w:t>
      </w:r>
      <w:bookmarkEnd w:id="26"/>
      <w:r w:rsidR="00443581" w:rsidRPr="00AE18FD">
        <w:t xml:space="preserve"> </w:t>
      </w:r>
    </w:p>
    <w:p w14:paraId="11C63CC7" w14:textId="77777777" w:rsidR="00443581" w:rsidRPr="00AE18FD" w:rsidRDefault="00443581" w:rsidP="00443581">
      <w:pPr>
        <w:ind w:left="360"/>
        <w:jc w:val="both"/>
        <w:rPr>
          <w:rFonts w:ascii="Arial" w:hAnsi="Arial"/>
        </w:rPr>
      </w:pPr>
      <w:r w:rsidRPr="00AE18FD">
        <w:rPr>
          <w:rFonts w:ascii="Arial" w:hAnsi="Arial"/>
        </w:rPr>
        <w:t xml:space="preserve">All Party Parliamentary Group on Dementia (2021) </w:t>
      </w:r>
      <w:r w:rsidRPr="00AE18FD">
        <w:rPr>
          <w:rFonts w:ascii="Arial" w:hAnsi="Arial"/>
          <w:i/>
          <w:iCs/>
        </w:rPr>
        <w:t>Fuelling the moonshot: making the UK the best place in the world to live with dementia by 2025</w:t>
      </w:r>
      <w:r w:rsidRPr="00AE18FD">
        <w:rPr>
          <w:rFonts w:ascii="Arial" w:hAnsi="Arial"/>
        </w:rPr>
        <w:t>. London: Alzheimer’s Society.</w:t>
      </w:r>
    </w:p>
    <w:p w14:paraId="7D1661A4" w14:textId="77777777" w:rsidR="00443581" w:rsidRPr="00AE18FD" w:rsidRDefault="00443581" w:rsidP="00443581">
      <w:pPr>
        <w:ind w:left="360"/>
        <w:jc w:val="both"/>
        <w:rPr>
          <w:rFonts w:ascii="Arial" w:hAnsi="Arial"/>
        </w:rPr>
      </w:pPr>
      <w:r w:rsidRPr="00AE18FD">
        <w:rPr>
          <w:rFonts w:ascii="Arial" w:hAnsi="Arial"/>
        </w:rPr>
        <w:t xml:space="preserve">Alzheimer’s Society (2024) </w:t>
      </w:r>
      <w:r w:rsidRPr="00AE18FD">
        <w:rPr>
          <w:rFonts w:ascii="Arial" w:hAnsi="Arial"/>
          <w:i/>
          <w:iCs/>
        </w:rPr>
        <w:t>How many people have dementia in the UK?</w:t>
      </w:r>
      <w:r w:rsidRPr="00AE18FD">
        <w:rPr>
          <w:rFonts w:ascii="Arial" w:hAnsi="Arial"/>
        </w:rPr>
        <w:t xml:space="preserve"> Available at: https://www.alzheimers.org.uk/ (Accessed: [insert date]).</w:t>
      </w:r>
    </w:p>
    <w:p w14:paraId="5EACCCD8" w14:textId="77777777" w:rsidR="00443581" w:rsidRPr="00AE18FD" w:rsidRDefault="00443581" w:rsidP="00443581">
      <w:pPr>
        <w:ind w:left="360"/>
        <w:jc w:val="both"/>
        <w:rPr>
          <w:rFonts w:ascii="Arial" w:hAnsi="Arial"/>
        </w:rPr>
      </w:pPr>
      <w:r w:rsidRPr="00AE18FD">
        <w:rPr>
          <w:rFonts w:ascii="Arial" w:hAnsi="Arial"/>
        </w:rPr>
        <w:t xml:space="preserve">Ghaffari Darab, M., Engel, L., Henzler, D., </w:t>
      </w:r>
      <w:proofErr w:type="spellStart"/>
      <w:r w:rsidRPr="00AE18FD">
        <w:rPr>
          <w:rFonts w:ascii="Arial" w:hAnsi="Arial"/>
        </w:rPr>
        <w:t>Lauerer</w:t>
      </w:r>
      <w:proofErr w:type="spellEnd"/>
      <w:r w:rsidRPr="00AE18FD">
        <w:rPr>
          <w:rFonts w:ascii="Arial" w:hAnsi="Arial"/>
        </w:rPr>
        <w:t xml:space="preserve">, M., Nagel, E., Brown, V., Mihalopoulos, C. et al. (2024) ‘Model-Based Economic Evaluations of Interventions for Dementia: An Updated Systematic Review and Quality Assessment’, </w:t>
      </w:r>
      <w:r w:rsidRPr="00AE18FD">
        <w:rPr>
          <w:rFonts w:ascii="Arial" w:hAnsi="Arial"/>
          <w:i/>
          <w:iCs/>
        </w:rPr>
        <w:t>Applied Health Economics and Health Policy</w:t>
      </w:r>
      <w:r w:rsidRPr="00AE18FD">
        <w:rPr>
          <w:rFonts w:ascii="Arial" w:hAnsi="Arial"/>
        </w:rPr>
        <w:t>, 22(4), pp. 503–525. doi:10.1007/s40258-024-00878-0.</w:t>
      </w:r>
    </w:p>
    <w:p w14:paraId="263B713B" w14:textId="77777777" w:rsidR="00443581" w:rsidRPr="00AE18FD" w:rsidRDefault="00443581" w:rsidP="00443581">
      <w:pPr>
        <w:ind w:left="360"/>
        <w:jc w:val="both"/>
        <w:rPr>
          <w:rFonts w:ascii="Arial" w:hAnsi="Arial"/>
        </w:rPr>
      </w:pPr>
      <w:r w:rsidRPr="00AE18FD">
        <w:rPr>
          <w:rFonts w:ascii="Arial" w:hAnsi="Arial"/>
        </w:rPr>
        <w:t xml:space="preserve">Braun, V. and Clarke, V. (2021) </w:t>
      </w:r>
      <w:r w:rsidRPr="00AE18FD">
        <w:rPr>
          <w:rFonts w:ascii="Arial" w:hAnsi="Arial"/>
          <w:i/>
          <w:iCs/>
        </w:rPr>
        <w:t>Thematic analysis: a practical guide</w:t>
      </w:r>
      <w:r w:rsidRPr="00AE18FD">
        <w:rPr>
          <w:rFonts w:ascii="Arial" w:hAnsi="Arial"/>
        </w:rPr>
        <w:t xml:space="preserve">. 1st </w:t>
      </w:r>
      <w:proofErr w:type="spellStart"/>
      <w:r w:rsidRPr="00AE18FD">
        <w:rPr>
          <w:rFonts w:ascii="Arial" w:hAnsi="Arial"/>
        </w:rPr>
        <w:t>edn</w:t>
      </w:r>
      <w:proofErr w:type="spellEnd"/>
      <w:r w:rsidRPr="00AE18FD">
        <w:rPr>
          <w:rFonts w:ascii="Arial" w:hAnsi="Arial"/>
        </w:rPr>
        <w:t>. London: SAGE Publications Ltd. ISBN: 9781473953246.</w:t>
      </w:r>
    </w:p>
    <w:p w14:paraId="5173BA73" w14:textId="77777777" w:rsidR="00443581" w:rsidRPr="00AE18FD" w:rsidRDefault="00443581" w:rsidP="00443581">
      <w:pPr>
        <w:ind w:left="360"/>
        <w:jc w:val="both"/>
        <w:rPr>
          <w:rFonts w:ascii="Arial" w:hAnsi="Arial"/>
        </w:rPr>
      </w:pPr>
      <w:r w:rsidRPr="00AE18FD">
        <w:rPr>
          <w:rFonts w:ascii="Arial" w:hAnsi="Arial"/>
        </w:rPr>
        <w:t>Quinn, C., Toms, G., Rippon, I., Nelis, S. M., Henderson, C., Morris, R. G., Rusted, J. M., Thom, J. M., van den Heuvel, E., Victor, C., Clare, L. &amp; the IDEAL Programme Team (2024) ‘Positive experiences in dementia care-giving: findings from the IDEAL programme’, Ageing &amp; Society, 44(5), pp. 1-21.</w:t>
      </w:r>
    </w:p>
    <w:p w14:paraId="5FC4BBB2" w14:textId="77777777" w:rsidR="00443581" w:rsidRPr="00AE18FD" w:rsidRDefault="00443581" w:rsidP="00443581">
      <w:pPr>
        <w:ind w:left="360"/>
        <w:jc w:val="both"/>
        <w:rPr>
          <w:rFonts w:ascii="Arial" w:hAnsi="Arial"/>
        </w:rPr>
      </w:pPr>
      <w:r w:rsidRPr="00AE18FD">
        <w:rPr>
          <w:rFonts w:ascii="Arial" w:hAnsi="Arial"/>
        </w:rPr>
        <w:t xml:space="preserve">Dementia Statistics Hub (2024) </w:t>
      </w:r>
      <w:r w:rsidRPr="00AE18FD">
        <w:rPr>
          <w:rFonts w:ascii="Arial" w:hAnsi="Arial"/>
          <w:i/>
          <w:iCs/>
        </w:rPr>
        <w:t>Prevalence and incidence of dementia</w:t>
      </w:r>
      <w:r w:rsidRPr="00AE18FD">
        <w:rPr>
          <w:rFonts w:ascii="Arial" w:hAnsi="Arial"/>
        </w:rPr>
        <w:t>. Available at: https://dementiastatistics.org/ (Accessed: [insert date]).</w:t>
      </w:r>
    </w:p>
    <w:p w14:paraId="1961876A" w14:textId="77777777" w:rsidR="00443581" w:rsidRPr="00AE18FD" w:rsidRDefault="00443581" w:rsidP="00443581">
      <w:pPr>
        <w:ind w:left="360"/>
        <w:jc w:val="both"/>
        <w:rPr>
          <w:rFonts w:ascii="Arial" w:hAnsi="Arial"/>
        </w:rPr>
      </w:pPr>
      <w:r w:rsidRPr="00AE18FD">
        <w:rPr>
          <w:rFonts w:ascii="Arial" w:hAnsi="Arial"/>
        </w:rPr>
        <w:t xml:space="preserve">Department of Health and Social Care (2023) </w:t>
      </w:r>
      <w:r w:rsidRPr="00AE18FD">
        <w:rPr>
          <w:rFonts w:ascii="Arial" w:hAnsi="Arial"/>
          <w:i/>
          <w:iCs/>
        </w:rPr>
        <w:t>Major conditions strategy: case for change and strategic framework</w:t>
      </w:r>
      <w:r w:rsidRPr="00AE18FD">
        <w:rPr>
          <w:rFonts w:ascii="Arial" w:hAnsi="Arial"/>
        </w:rPr>
        <w:t>. London: DHSC.</w:t>
      </w:r>
    </w:p>
    <w:p w14:paraId="4D94A8A0" w14:textId="77777777" w:rsidR="00443581" w:rsidRPr="00AE18FD" w:rsidRDefault="00443581" w:rsidP="00443581">
      <w:pPr>
        <w:ind w:left="360"/>
        <w:jc w:val="both"/>
        <w:rPr>
          <w:rFonts w:ascii="Arial" w:hAnsi="Arial"/>
        </w:rPr>
      </w:pPr>
      <w:proofErr w:type="spellStart"/>
      <w:r w:rsidRPr="00AE18FD">
        <w:rPr>
          <w:rFonts w:ascii="Arial" w:hAnsi="Arial"/>
        </w:rPr>
        <w:t>Letrondo</w:t>
      </w:r>
      <w:proofErr w:type="spellEnd"/>
      <w:r w:rsidRPr="00AE18FD">
        <w:rPr>
          <w:rFonts w:ascii="Arial" w:hAnsi="Arial"/>
        </w:rPr>
        <w:t>, P.A., Ashley, S.A., Flinn, A., Burton, A., Kador, T. &amp; Mukadam, N. (2023) ‘Systematic review of arts and culture</w:t>
      </w:r>
      <w:r w:rsidRPr="00AE18FD">
        <w:rPr>
          <w:rFonts w:ascii="Cambria Math" w:hAnsi="Cambria Math" w:cs="Cambria Math"/>
        </w:rPr>
        <w:t>‐</w:t>
      </w:r>
      <w:r w:rsidRPr="00AE18FD">
        <w:rPr>
          <w:rFonts w:ascii="Arial" w:hAnsi="Arial"/>
        </w:rPr>
        <w:t>based interventions for people living with dementia and their caregivers</w:t>
      </w:r>
      <w:r w:rsidRPr="00AE18FD">
        <w:rPr>
          <w:rFonts w:ascii="Arial" w:hAnsi="Arial" w:cs="Aptos"/>
        </w:rPr>
        <w:t>’</w:t>
      </w:r>
      <w:r w:rsidRPr="00AE18FD">
        <w:rPr>
          <w:rFonts w:ascii="Arial" w:hAnsi="Arial"/>
        </w:rPr>
        <w:t xml:space="preserve">, </w:t>
      </w:r>
      <w:r w:rsidRPr="00AE18FD">
        <w:rPr>
          <w:rFonts w:ascii="Arial" w:hAnsi="Arial"/>
          <w:i/>
          <w:iCs/>
        </w:rPr>
        <w:t>Ageing Research Reviews</w:t>
      </w:r>
      <w:r w:rsidRPr="00AE18FD">
        <w:rPr>
          <w:rFonts w:ascii="Arial" w:hAnsi="Arial"/>
        </w:rPr>
        <w:t>, 83, 101793.</w:t>
      </w:r>
    </w:p>
    <w:p w14:paraId="5B15E807" w14:textId="77777777" w:rsidR="00443581" w:rsidRPr="00AE18FD" w:rsidRDefault="00443581" w:rsidP="00443581">
      <w:pPr>
        <w:ind w:left="360"/>
        <w:jc w:val="both"/>
        <w:rPr>
          <w:rFonts w:ascii="Arial" w:hAnsi="Arial"/>
        </w:rPr>
      </w:pPr>
      <w:r w:rsidRPr="00AE18FD">
        <w:rPr>
          <w:rFonts w:ascii="Arial" w:hAnsi="Arial"/>
        </w:rPr>
        <w:t xml:space="preserve">Giebel, C., Hanna, K., Watson, J., Faulkner, T., O’Connell, L., Smith, S., Donnellan, W.J. (2023) ‘A systematic review on inequalities in accessing and using community-based social care in dementia’, International Psychogeriatrics, 36(7), pp. 540-563. </w:t>
      </w:r>
      <w:proofErr w:type="spellStart"/>
      <w:r w:rsidRPr="00AE18FD">
        <w:rPr>
          <w:rFonts w:ascii="Arial" w:hAnsi="Arial"/>
        </w:rPr>
        <w:t>doi</w:t>
      </w:r>
      <w:proofErr w:type="spellEnd"/>
      <w:r w:rsidRPr="00AE18FD">
        <w:rPr>
          <w:rFonts w:ascii="Arial" w:hAnsi="Arial"/>
        </w:rPr>
        <w:t>: 10.1017/S104161022300042X.</w:t>
      </w:r>
    </w:p>
    <w:p w14:paraId="72732F94" w14:textId="77777777" w:rsidR="00443581" w:rsidRPr="00AE18FD" w:rsidRDefault="00443581" w:rsidP="00443581">
      <w:pPr>
        <w:ind w:left="360"/>
        <w:jc w:val="both"/>
        <w:rPr>
          <w:rFonts w:ascii="Arial" w:hAnsi="Arial"/>
        </w:rPr>
      </w:pPr>
      <w:r w:rsidRPr="00AE18FD">
        <w:rPr>
          <w:rFonts w:ascii="Arial" w:hAnsi="Arial"/>
        </w:rPr>
        <w:t xml:space="preserve">Gridley, K., Poole, M., Birks, Y., Hicks, B., Dixon, J., Wheatley, A., Robinson, L. &amp; Banerjee, S. (2025) ‘The importance of the social environment for people living with dementia and their carers: qualitative evidence from DETERMIND and </w:t>
      </w:r>
      <w:proofErr w:type="spellStart"/>
      <w:r w:rsidRPr="00AE18FD">
        <w:rPr>
          <w:rFonts w:ascii="Arial" w:hAnsi="Arial"/>
        </w:rPr>
        <w:t>PriDem</w:t>
      </w:r>
      <w:proofErr w:type="spellEnd"/>
      <w:r w:rsidRPr="00AE18FD">
        <w:rPr>
          <w:rFonts w:ascii="Arial" w:hAnsi="Arial"/>
        </w:rPr>
        <w:t xml:space="preserve"> on the impact of COVID-19 service changes and restrictions in England and Wales’, Dementia (London). Advance online publication. </w:t>
      </w:r>
      <w:proofErr w:type="spellStart"/>
      <w:r w:rsidRPr="00AE18FD">
        <w:rPr>
          <w:rFonts w:ascii="Arial" w:hAnsi="Arial"/>
        </w:rPr>
        <w:t>doi</w:t>
      </w:r>
      <w:proofErr w:type="spellEnd"/>
      <w:r w:rsidRPr="00AE18FD">
        <w:rPr>
          <w:rFonts w:ascii="Arial" w:hAnsi="Arial"/>
        </w:rPr>
        <w:t>: 10.1177/14713012251361189.</w:t>
      </w:r>
    </w:p>
    <w:p w14:paraId="47F53534" w14:textId="77777777" w:rsidR="00443581" w:rsidRPr="00AE18FD" w:rsidRDefault="00443581" w:rsidP="00443581">
      <w:pPr>
        <w:ind w:left="360"/>
        <w:jc w:val="both"/>
        <w:rPr>
          <w:rFonts w:ascii="Arial" w:hAnsi="Arial"/>
        </w:rPr>
      </w:pPr>
      <w:r w:rsidRPr="00AE18FD">
        <w:rPr>
          <w:rFonts w:ascii="Arial" w:hAnsi="Arial"/>
        </w:rPr>
        <w:t xml:space="preserve">Livingston, G., Huntley, J., </w:t>
      </w:r>
      <w:proofErr w:type="spellStart"/>
      <w:r w:rsidRPr="00AE18FD">
        <w:rPr>
          <w:rFonts w:ascii="Arial" w:hAnsi="Arial"/>
        </w:rPr>
        <w:t>Sommerlad</w:t>
      </w:r>
      <w:proofErr w:type="spellEnd"/>
      <w:r w:rsidRPr="00AE18FD">
        <w:rPr>
          <w:rFonts w:ascii="Arial" w:hAnsi="Arial"/>
        </w:rPr>
        <w:t xml:space="preserve">, A., Ames, D., Ballard, C., Banerjee, S., </w:t>
      </w:r>
      <w:proofErr w:type="spellStart"/>
      <w:r w:rsidRPr="00AE18FD">
        <w:rPr>
          <w:rFonts w:ascii="Arial" w:hAnsi="Arial"/>
        </w:rPr>
        <w:t>Brayne</w:t>
      </w:r>
      <w:proofErr w:type="spellEnd"/>
      <w:r w:rsidRPr="00AE18FD">
        <w:rPr>
          <w:rFonts w:ascii="Arial" w:hAnsi="Arial"/>
        </w:rPr>
        <w:t xml:space="preserve">, C., Burns, A., Cohen-Mansfield, J. and Cooper, C. (2020) ‘Dementia </w:t>
      </w:r>
      <w:r w:rsidRPr="00AE18FD">
        <w:rPr>
          <w:rFonts w:ascii="Arial" w:hAnsi="Arial"/>
        </w:rPr>
        <w:lastRenderedPageBreak/>
        <w:t xml:space="preserve">prevention, intervention, and care: 2020 report of the Lancet Commission’, </w:t>
      </w:r>
      <w:r w:rsidRPr="00AE18FD">
        <w:rPr>
          <w:rFonts w:ascii="Arial" w:hAnsi="Arial"/>
          <w:i/>
          <w:iCs/>
        </w:rPr>
        <w:t>The Lancet</w:t>
      </w:r>
      <w:r w:rsidRPr="00AE18FD">
        <w:rPr>
          <w:rFonts w:ascii="Arial" w:hAnsi="Arial"/>
        </w:rPr>
        <w:t>, 396(10248), pp. 413–446.</w:t>
      </w:r>
    </w:p>
    <w:p w14:paraId="2506F039" w14:textId="77777777" w:rsidR="00443581" w:rsidRPr="00AE18FD" w:rsidRDefault="00443581" w:rsidP="00443581">
      <w:pPr>
        <w:ind w:left="360"/>
        <w:jc w:val="both"/>
        <w:rPr>
          <w:rFonts w:ascii="Arial" w:hAnsi="Arial"/>
        </w:rPr>
      </w:pPr>
      <w:r w:rsidRPr="00AE18FD">
        <w:rPr>
          <w:rFonts w:ascii="Arial" w:hAnsi="Arial"/>
        </w:rPr>
        <w:t xml:space="preserve">Mathie, E., Arthur, A., Killett, A., Darlington, N., Buckner, S. &amp; Lafortune, L. (2022) ‘Dementia-friendly communities: The involvement of people living with dementia’, </w:t>
      </w:r>
      <w:r w:rsidRPr="00AE18FD">
        <w:rPr>
          <w:rFonts w:ascii="Arial" w:hAnsi="Arial"/>
          <w:i/>
          <w:iCs/>
        </w:rPr>
        <w:t>Dementia</w:t>
      </w:r>
      <w:r w:rsidRPr="00AE18FD">
        <w:rPr>
          <w:rFonts w:ascii="Arial" w:hAnsi="Arial"/>
        </w:rPr>
        <w:t>, 21(7), pp. 2364-2379.</w:t>
      </w:r>
    </w:p>
    <w:p w14:paraId="163A7681" w14:textId="77777777" w:rsidR="00443581" w:rsidRPr="00AE18FD" w:rsidRDefault="00443581" w:rsidP="00443581">
      <w:pPr>
        <w:ind w:left="360"/>
        <w:jc w:val="both"/>
        <w:rPr>
          <w:rFonts w:ascii="Arial" w:hAnsi="Arial"/>
        </w:rPr>
      </w:pPr>
      <w:r w:rsidRPr="00AE18FD">
        <w:rPr>
          <w:rFonts w:ascii="Arial" w:hAnsi="Arial"/>
        </w:rPr>
        <w:t xml:space="preserve">Bethany McLoughlin, Helen Atherton, John </w:t>
      </w:r>
      <w:proofErr w:type="spellStart"/>
      <w:r w:rsidRPr="00AE18FD">
        <w:rPr>
          <w:rFonts w:ascii="Arial" w:hAnsi="Arial"/>
        </w:rPr>
        <w:t>MacArtney</w:t>
      </w:r>
      <w:proofErr w:type="spellEnd"/>
      <w:r w:rsidRPr="00AE18FD">
        <w:rPr>
          <w:rFonts w:ascii="Arial" w:hAnsi="Arial"/>
        </w:rPr>
        <w:t xml:space="preserve"> &amp; Jeremy Dale (2023) ‘Online support groups for carers of people living with dementia: an investigation of videoconferencing support groups in lockdown’, </w:t>
      </w:r>
      <w:r w:rsidRPr="00AE18FD">
        <w:rPr>
          <w:rFonts w:ascii="Arial" w:hAnsi="Arial"/>
          <w:i/>
          <w:iCs/>
        </w:rPr>
        <w:t>Dementia (London)</w:t>
      </w:r>
      <w:r w:rsidRPr="00AE18FD">
        <w:rPr>
          <w:rFonts w:ascii="Arial" w:hAnsi="Arial"/>
        </w:rPr>
        <w:t xml:space="preserve">, 22(3), pp. 561–575. </w:t>
      </w:r>
      <w:proofErr w:type="spellStart"/>
      <w:r w:rsidRPr="00AE18FD">
        <w:rPr>
          <w:rFonts w:ascii="Arial" w:hAnsi="Arial"/>
        </w:rPr>
        <w:t>doi</w:t>
      </w:r>
      <w:proofErr w:type="spellEnd"/>
      <w:r w:rsidRPr="00AE18FD">
        <w:rPr>
          <w:rFonts w:ascii="Arial" w:hAnsi="Arial"/>
        </w:rPr>
        <w:t>: 10.1177/14713012231153431.</w:t>
      </w:r>
    </w:p>
    <w:p w14:paraId="5BE0E464" w14:textId="77777777" w:rsidR="00443581" w:rsidRPr="00AE18FD" w:rsidRDefault="00443581" w:rsidP="00443581">
      <w:pPr>
        <w:ind w:left="360"/>
        <w:jc w:val="both"/>
        <w:rPr>
          <w:rFonts w:ascii="Arial" w:hAnsi="Arial"/>
        </w:rPr>
      </w:pPr>
      <w:r w:rsidRPr="00AE18FD">
        <w:rPr>
          <w:rFonts w:ascii="Arial" w:hAnsi="Arial"/>
        </w:rPr>
        <w:t xml:space="preserve">National Institute for Health and Care Excellence (NICE) (2023) </w:t>
      </w:r>
      <w:r w:rsidRPr="00AE18FD">
        <w:rPr>
          <w:rFonts w:ascii="Arial" w:hAnsi="Arial"/>
          <w:i/>
          <w:iCs/>
        </w:rPr>
        <w:t>Exceptional surveillance of dementia (NG97): 2023 update</w:t>
      </w:r>
      <w:r w:rsidRPr="00AE18FD">
        <w:rPr>
          <w:rFonts w:ascii="Arial" w:hAnsi="Arial"/>
        </w:rPr>
        <w:t>. London: NICE.</w:t>
      </w:r>
    </w:p>
    <w:p w14:paraId="5DA6ACA3" w14:textId="77777777" w:rsidR="00443581" w:rsidRPr="00AE18FD" w:rsidRDefault="00443581" w:rsidP="00443581">
      <w:pPr>
        <w:ind w:left="360"/>
        <w:jc w:val="both"/>
        <w:rPr>
          <w:rFonts w:ascii="Arial" w:hAnsi="Arial"/>
        </w:rPr>
      </w:pPr>
      <w:r w:rsidRPr="00AE18FD">
        <w:rPr>
          <w:rFonts w:ascii="Arial" w:hAnsi="Arial"/>
        </w:rPr>
        <w:t xml:space="preserve">National Institute for Health and Care Excellence (NICE) (2025) </w:t>
      </w:r>
      <w:r w:rsidRPr="00AE18FD">
        <w:rPr>
          <w:rFonts w:ascii="Arial" w:hAnsi="Arial"/>
          <w:i/>
          <w:iCs/>
        </w:rPr>
        <w:t>Dementia: assessment, management and support for people living with dementia and their carers (NG97)</w:t>
      </w:r>
      <w:r w:rsidRPr="00AE18FD">
        <w:rPr>
          <w:rFonts w:ascii="Arial" w:hAnsi="Arial"/>
        </w:rPr>
        <w:t>. Last reviewed October 2025. London: NICE.</w:t>
      </w:r>
    </w:p>
    <w:p w14:paraId="5E39E106" w14:textId="77777777" w:rsidR="00443581" w:rsidRPr="00AE18FD" w:rsidRDefault="00443581" w:rsidP="00443581">
      <w:pPr>
        <w:ind w:left="360"/>
        <w:jc w:val="both"/>
        <w:rPr>
          <w:rFonts w:ascii="Arial" w:hAnsi="Arial"/>
        </w:rPr>
      </w:pPr>
      <w:r w:rsidRPr="00AE18FD">
        <w:rPr>
          <w:rFonts w:ascii="Arial" w:hAnsi="Arial"/>
        </w:rPr>
        <w:t xml:space="preserve">NHS England (2024) </w:t>
      </w:r>
      <w:proofErr w:type="spellStart"/>
      <w:r w:rsidRPr="00AE18FD">
        <w:rPr>
          <w:rFonts w:ascii="Arial" w:hAnsi="Arial"/>
          <w:i/>
          <w:iCs/>
        </w:rPr>
        <w:t>RightCare</w:t>
      </w:r>
      <w:proofErr w:type="spellEnd"/>
      <w:r w:rsidRPr="00AE18FD">
        <w:rPr>
          <w:rFonts w:ascii="Arial" w:hAnsi="Arial"/>
          <w:i/>
          <w:iCs/>
        </w:rPr>
        <w:t xml:space="preserve"> dementia scenario</w:t>
      </w:r>
      <w:r w:rsidRPr="00AE18FD">
        <w:rPr>
          <w:rFonts w:ascii="Arial" w:hAnsi="Arial"/>
        </w:rPr>
        <w:t>. Available at: https://www.england.nhs.uk/ (Accessed: 24 October 2024).</w:t>
      </w:r>
    </w:p>
    <w:p w14:paraId="6D7A8E06" w14:textId="77777777" w:rsidR="00443581" w:rsidRPr="00AE18FD" w:rsidRDefault="00443581" w:rsidP="00443581">
      <w:pPr>
        <w:ind w:left="360"/>
        <w:jc w:val="both"/>
        <w:rPr>
          <w:rFonts w:ascii="Arial" w:hAnsi="Arial"/>
        </w:rPr>
      </w:pPr>
      <w:r w:rsidRPr="00AE18FD">
        <w:rPr>
          <w:rFonts w:ascii="Arial" w:hAnsi="Arial"/>
        </w:rPr>
        <w:t xml:space="preserve">NHS England (2024a) </w:t>
      </w:r>
      <w:r w:rsidRPr="00AE18FD">
        <w:rPr>
          <w:rFonts w:ascii="Arial" w:hAnsi="Arial"/>
          <w:i/>
          <w:iCs/>
        </w:rPr>
        <w:t>Social prescribing</w:t>
      </w:r>
      <w:r w:rsidRPr="00AE18FD">
        <w:rPr>
          <w:rFonts w:ascii="Arial" w:hAnsi="Arial"/>
        </w:rPr>
        <w:t>. Available at: https://www.england.nhs.uk/ (Accessed: 26 October 2025).</w:t>
      </w:r>
    </w:p>
    <w:p w14:paraId="11A77D22" w14:textId="77777777" w:rsidR="00443581" w:rsidRPr="00AE18FD" w:rsidRDefault="00443581" w:rsidP="00443581">
      <w:pPr>
        <w:ind w:left="360"/>
        <w:jc w:val="both"/>
        <w:rPr>
          <w:rFonts w:ascii="Arial" w:hAnsi="Arial"/>
        </w:rPr>
      </w:pPr>
      <w:r w:rsidRPr="00AE18FD">
        <w:rPr>
          <w:rFonts w:ascii="Arial" w:hAnsi="Arial"/>
        </w:rPr>
        <w:t xml:space="preserve">NHS England (n.d.) </w:t>
      </w:r>
      <w:r w:rsidRPr="00AE18FD">
        <w:rPr>
          <w:rFonts w:ascii="Arial" w:hAnsi="Arial"/>
          <w:i/>
          <w:iCs/>
        </w:rPr>
        <w:t>Dementia</w:t>
      </w:r>
      <w:r w:rsidRPr="00AE18FD">
        <w:rPr>
          <w:rFonts w:ascii="Arial" w:hAnsi="Arial"/>
        </w:rPr>
        <w:t xml:space="preserve">. Available at: </w:t>
      </w:r>
      <w:hyperlink r:id="rId17" w:tgtFrame="_new" w:history="1">
        <w:r w:rsidRPr="00AE18FD">
          <w:rPr>
            <w:rStyle w:val="Hyperlink"/>
            <w:rFonts w:ascii="Arial" w:hAnsi="Arial"/>
          </w:rPr>
          <w:t>https://www.england.nhs.uk/mental-health/dementia/</w:t>
        </w:r>
      </w:hyperlink>
      <w:r w:rsidRPr="00AE18FD">
        <w:rPr>
          <w:rFonts w:ascii="Arial" w:hAnsi="Arial"/>
        </w:rPr>
        <w:t xml:space="preserve"> (Accessed: 26 October 2025).</w:t>
      </w:r>
    </w:p>
    <w:p w14:paraId="61784C0E" w14:textId="77777777" w:rsidR="00443581" w:rsidRPr="00AE18FD" w:rsidRDefault="00443581" w:rsidP="00443581">
      <w:pPr>
        <w:ind w:left="360"/>
        <w:jc w:val="both"/>
        <w:rPr>
          <w:rFonts w:ascii="Arial" w:hAnsi="Arial"/>
        </w:rPr>
      </w:pPr>
      <w:r w:rsidRPr="00AE18FD">
        <w:rPr>
          <w:rFonts w:ascii="Arial" w:hAnsi="Arial"/>
        </w:rPr>
        <w:t xml:space="preserve">Nguyen, H., Rahman, A., </w:t>
      </w:r>
      <w:proofErr w:type="spellStart"/>
      <w:r w:rsidRPr="00AE18FD">
        <w:rPr>
          <w:rFonts w:ascii="Arial" w:hAnsi="Arial"/>
        </w:rPr>
        <w:t>Ubell</w:t>
      </w:r>
      <w:proofErr w:type="spellEnd"/>
      <w:r w:rsidRPr="00AE18FD">
        <w:rPr>
          <w:rFonts w:ascii="Arial" w:hAnsi="Arial"/>
        </w:rPr>
        <w:t>, A., Goodarzi, Z., Maxwell, C.J., Allana, S., Tate, K., Symonds-Brown, H., Weeks, L., Caspar, S., Mann, J. and Hoben, M. (2024) ‘Adult day programs and their effects on individuals with dementia and their caregivers (ADAPT-</w:t>
      </w:r>
      <w:proofErr w:type="spellStart"/>
      <w:r w:rsidRPr="00AE18FD">
        <w:rPr>
          <w:rFonts w:ascii="Arial" w:hAnsi="Arial"/>
        </w:rPr>
        <w:t>DemCare</w:t>
      </w:r>
      <w:proofErr w:type="spellEnd"/>
      <w:r w:rsidRPr="00AE18FD">
        <w:rPr>
          <w:rFonts w:ascii="Arial" w:hAnsi="Arial"/>
        </w:rPr>
        <w:t xml:space="preserve">): a realist synthesis to develop program theories on the how and why’, </w:t>
      </w:r>
      <w:r w:rsidRPr="00AE18FD">
        <w:rPr>
          <w:rFonts w:ascii="Arial" w:hAnsi="Arial"/>
          <w:i/>
          <w:iCs/>
        </w:rPr>
        <w:t>Systematic Reviews</w:t>
      </w:r>
      <w:r w:rsidRPr="00AE18FD">
        <w:rPr>
          <w:rFonts w:ascii="Arial" w:hAnsi="Arial"/>
        </w:rPr>
        <w:t xml:space="preserve">, 13, 265. </w:t>
      </w:r>
      <w:proofErr w:type="spellStart"/>
      <w:r w:rsidRPr="00AE18FD">
        <w:rPr>
          <w:rFonts w:ascii="Arial" w:hAnsi="Arial"/>
        </w:rPr>
        <w:t>doi</w:t>
      </w:r>
      <w:proofErr w:type="spellEnd"/>
      <w:r w:rsidRPr="00AE18FD">
        <w:rPr>
          <w:rFonts w:ascii="Arial" w:hAnsi="Arial"/>
        </w:rPr>
        <w:t>: 10.1186/s13643-024-02683-1.</w:t>
      </w:r>
    </w:p>
    <w:p w14:paraId="5F0A9298" w14:textId="77777777" w:rsidR="00443581" w:rsidRPr="00AE18FD" w:rsidRDefault="00443581" w:rsidP="00443581">
      <w:pPr>
        <w:ind w:left="360"/>
        <w:jc w:val="both"/>
        <w:rPr>
          <w:rFonts w:ascii="Arial" w:hAnsi="Arial"/>
        </w:rPr>
      </w:pPr>
      <w:r w:rsidRPr="00AE18FD">
        <w:rPr>
          <w:rFonts w:ascii="Arial" w:hAnsi="Arial"/>
        </w:rPr>
        <w:t xml:space="preserve">Office for National Statistics (2024) </w:t>
      </w:r>
      <w:r w:rsidRPr="00AE18FD">
        <w:rPr>
          <w:rFonts w:ascii="Arial" w:hAnsi="Arial"/>
          <w:i/>
          <w:iCs/>
        </w:rPr>
        <w:t>Deaths registered in England and Wales: 2023</w:t>
      </w:r>
      <w:r w:rsidRPr="00AE18FD">
        <w:rPr>
          <w:rFonts w:ascii="Arial" w:hAnsi="Arial"/>
        </w:rPr>
        <w:t>. Newport: ONS.</w:t>
      </w:r>
    </w:p>
    <w:p w14:paraId="33A6C56F" w14:textId="77777777" w:rsidR="00443581" w:rsidRPr="00AE18FD" w:rsidRDefault="00443581" w:rsidP="00443581">
      <w:pPr>
        <w:ind w:left="360"/>
        <w:jc w:val="both"/>
        <w:rPr>
          <w:rFonts w:ascii="Arial" w:hAnsi="Arial"/>
        </w:rPr>
      </w:pPr>
      <w:r w:rsidRPr="00AE18FD">
        <w:rPr>
          <w:rFonts w:ascii="Arial" w:hAnsi="Arial"/>
        </w:rPr>
        <w:t xml:space="preserve">Page, M.J., McKenzie, J.E., Bossuyt, P.M., </w:t>
      </w:r>
      <w:proofErr w:type="spellStart"/>
      <w:r w:rsidRPr="00AE18FD">
        <w:rPr>
          <w:rFonts w:ascii="Arial" w:hAnsi="Arial"/>
        </w:rPr>
        <w:t>Boutron</w:t>
      </w:r>
      <w:proofErr w:type="spellEnd"/>
      <w:r w:rsidRPr="00AE18FD">
        <w:rPr>
          <w:rFonts w:ascii="Arial" w:hAnsi="Arial"/>
        </w:rPr>
        <w:t xml:space="preserve">, I., Hoffmann, T.C. and Mulrow, C.D. (2021) ‘PRISMA 2020 explanation and elaboration: updated guidance and exemplars for reporting systematic reviews’, </w:t>
      </w:r>
      <w:r w:rsidRPr="00AE18FD">
        <w:rPr>
          <w:rFonts w:ascii="Arial" w:hAnsi="Arial"/>
          <w:i/>
          <w:iCs/>
        </w:rPr>
        <w:t>BMJ</w:t>
      </w:r>
      <w:r w:rsidRPr="00AE18FD">
        <w:rPr>
          <w:rFonts w:ascii="Arial" w:hAnsi="Arial"/>
        </w:rPr>
        <w:t>, 372, n160.</w:t>
      </w:r>
    </w:p>
    <w:p w14:paraId="1FF1029A" w14:textId="77777777" w:rsidR="00443581" w:rsidRPr="00AE18FD" w:rsidRDefault="00443581" w:rsidP="00443581">
      <w:pPr>
        <w:ind w:left="360"/>
        <w:jc w:val="both"/>
        <w:rPr>
          <w:rFonts w:ascii="Arial" w:hAnsi="Arial"/>
        </w:rPr>
      </w:pPr>
      <w:r w:rsidRPr="00AE18FD">
        <w:rPr>
          <w:rFonts w:ascii="Arial" w:hAnsi="Arial"/>
        </w:rPr>
        <w:t xml:space="preserve">Peters, M.D.J., Godfrey, C., McInerney, P., Munn, Z., </w:t>
      </w:r>
      <w:proofErr w:type="spellStart"/>
      <w:r w:rsidRPr="00AE18FD">
        <w:rPr>
          <w:rFonts w:ascii="Arial" w:hAnsi="Arial"/>
        </w:rPr>
        <w:t>Tricco</w:t>
      </w:r>
      <w:proofErr w:type="spellEnd"/>
      <w:r w:rsidRPr="00AE18FD">
        <w:rPr>
          <w:rFonts w:ascii="Arial" w:hAnsi="Arial"/>
        </w:rPr>
        <w:t xml:space="preserve">, A.C. and Khalil, H. (2020) ‘Updated methodological guidance for the conduct of scoping reviews’, </w:t>
      </w:r>
      <w:r w:rsidRPr="00AE18FD">
        <w:rPr>
          <w:rFonts w:ascii="Arial" w:hAnsi="Arial"/>
          <w:i/>
          <w:iCs/>
        </w:rPr>
        <w:t>JBI Evidence Synthesis</w:t>
      </w:r>
      <w:r w:rsidRPr="00AE18FD">
        <w:rPr>
          <w:rFonts w:ascii="Arial" w:hAnsi="Arial"/>
        </w:rPr>
        <w:t>, 18(10), pp. 2119–2126.</w:t>
      </w:r>
    </w:p>
    <w:p w14:paraId="7BFD8829" w14:textId="77777777" w:rsidR="00443581" w:rsidRPr="00AE18FD" w:rsidRDefault="00443581" w:rsidP="00443581">
      <w:pPr>
        <w:ind w:left="360"/>
        <w:jc w:val="both"/>
        <w:rPr>
          <w:rFonts w:ascii="Arial" w:hAnsi="Arial"/>
        </w:rPr>
      </w:pPr>
      <w:r w:rsidRPr="00AE18FD">
        <w:rPr>
          <w:rFonts w:ascii="Arial" w:hAnsi="Arial"/>
        </w:rPr>
        <w:t xml:space="preserve">Samsi, K. &amp; Orellana, K., 2025. ‘Older people’s day centres’ preventive work: views of day centre providers and their stakeholders’, </w:t>
      </w:r>
      <w:r w:rsidRPr="00AE18FD">
        <w:rPr>
          <w:rFonts w:ascii="Arial" w:hAnsi="Arial"/>
          <w:i/>
          <w:iCs/>
        </w:rPr>
        <w:t>International Journal of Qualitative Studies on Health &amp; Well-being</w:t>
      </w:r>
      <w:r w:rsidRPr="00AE18FD">
        <w:rPr>
          <w:rFonts w:ascii="Arial" w:hAnsi="Arial"/>
        </w:rPr>
        <w:t>, 20(1). DOI: 10.1080/17482631.2025.2500852.</w:t>
      </w:r>
    </w:p>
    <w:p w14:paraId="485D9244" w14:textId="77777777" w:rsidR="00443581" w:rsidRPr="00AE18FD" w:rsidRDefault="00443581" w:rsidP="00443581">
      <w:pPr>
        <w:ind w:left="360"/>
        <w:jc w:val="both"/>
        <w:rPr>
          <w:rFonts w:ascii="Arial" w:hAnsi="Arial"/>
        </w:rPr>
      </w:pPr>
      <w:r w:rsidRPr="00AE18FD">
        <w:rPr>
          <w:rFonts w:ascii="Arial" w:hAnsi="Arial"/>
        </w:rPr>
        <w:lastRenderedPageBreak/>
        <w:t xml:space="preserve">Snyder, H. (2019) ‘Literature review as a research methodology: an overview and guidelines’, </w:t>
      </w:r>
      <w:r w:rsidRPr="00AE18FD">
        <w:rPr>
          <w:rFonts w:ascii="Arial" w:hAnsi="Arial"/>
          <w:i/>
          <w:iCs/>
        </w:rPr>
        <w:t>Journal of Business Research</w:t>
      </w:r>
      <w:r w:rsidRPr="00AE18FD">
        <w:rPr>
          <w:rFonts w:ascii="Arial" w:hAnsi="Arial"/>
        </w:rPr>
        <w:t xml:space="preserve">, 104, pp. 333–339. </w:t>
      </w:r>
    </w:p>
    <w:p w14:paraId="48C120D5" w14:textId="77777777" w:rsidR="00443581" w:rsidRPr="00AE18FD" w:rsidRDefault="00443581" w:rsidP="00443581">
      <w:pPr>
        <w:ind w:left="360"/>
        <w:jc w:val="both"/>
        <w:rPr>
          <w:rFonts w:ascii="Arial" w:hAnsi="Arial"/>
        </w:rPr>
      </w:pPr>
      <w:proofErr w:type="spellStart"/>
      <w:r w:rsidRPr="00AE18FD">
        <w:rPr>
          <w:rFonts w:ascii="Arial" w:hAnsi="Arial"/>
        </w:rPr>
        <w:t>Tricco</w:t>
      </w:r>
      <w:proofErr w:type="spellEnd"/>
      <w:r w:rsidRPr="00AE18FD">
        <w:rPr>
          <w:rFonts w:ascii="Arial" w:hAnsi="Arial"/>
        </w:rPr>
        <w:t>, A.C., Lillie, E., Zarin, W., O’Brien, K.K., Colquhoun, H. and Levac, D. (2018) ‘PRISMA extension for scoping reviews (PRISMA-</w:t>
      </w:r>
      <w:proofErr w:type="spellStart"/>
      <w:r w:rsidRPr="00AE18FD">
        <w:rPr>
          <w:rFonts w:ascii="Arial" w:hAnsi="Arial"/>
        </w:rPr>
        <w:t>ScR</w:t>
      </w:r>
      <w:proofErr w:type="spellEnd"/>
      <w:r w:rsidRPr="00AE18FD">
        <w:rPr>
          <w:rFonts w:ascii="Arial" w:hAnsi="Arial"/>
        </w:rPr>
        <w:t xml:space="preserve">): checklist and explanation’, </w:t>
      </w:r>
      <w:r w:rsidRPr="00AE18FD">
        <w:rPr>
          <w:rFonts w:ascii="Arial" w:hAnsi="Arial"/>
          <w:i/>
          <w:iCs/>
        </w:rPr>
        <w:t>Annals of Internal Medicine</w:t>
      </w:r>
      <w:r w:rsidRPr="00AE18FD">
        <w:rPr>
          <w:rFonts w:ascii="Arial" w:hAnsi="Arial"/>
        </w:rPr>
        <w:t xml:space="preserve">, 169(7), pp. 467–473. </w:t>
      </w:r>
    </w:p>
    <w:p w14:paraId="341554F6" w14:textId="77777777" w:rsidR="00443581" w:rsidRPr="00AE18FD" w:rsidRDefault="00443581" w:rsidP="00443581">
      <w:pPr>
        <w:ind w:left="360"/>
        <w:jc w:val="both"/>
        <w:rPr>
          <w:rFonts w:ascii="Arial" w:hAnsi="Arial"/>
        </w:rPr>
      </w:pPr>
      <w:r w:rsidRPr="00AE18FD">
        <w:rPr>
          <w:rFonts w:ascii="Arial" w:hAnsi="Arial"/>
        </w:rPr>
        <w:t xml:space="preserve">McDermott, O., Charlesworth, G., </w:t>
      </w:r>
      <w:proofErr w:type="spellStart"/>
      <w:r w:rsidRPr="00AE18FD">
        <w:rPr>
          <w:rFonts w:ascii="Arial" w:hAnsi="Arial"/>
        </w:rPr>
        <w:t>Hogervorst</w:t>
      </w:r>
      <w:proofErr w:type="spellEnd"/>
      <w:r w:rsidRPr="00AE18FD">
        <w:rPr>
          <w:rFonts w:ascii="Arial" w:hAnsi="Arial"/>
        </w:rPr>
        <w:t xml:space="preserve">, E., Stoner, C., Moniz-Cook, E., Spector, A., Csipke, E., Orrell, M. (2019). ‘Psychosocial interventions for people with dementia: a synthesis of systematic reviews’, </w:t>
      </w:r>
      <w:r w:rsidRPr="00AE18FD">
        <w:rPr>
          <w:rFonts w:ascii="Arial" w:hAnsi="Arial"/>
          <w:i/>
          <w:iCs/>
        </w:rPr>
        <w:t>International Journal of Geriatric Psychiatry</w:t>
      </w:r>
      <w:r w:rsidRPr="00AE18FD">
        <w:rPr>
          <w:rFonts w:ascii="Arial" w:hAnsi="Arial"/>
        </w:rPr>
        <w:t>, 34(6), pp. 793–806. DOI: 10.1002/gps.5088.</w:t>
      </w:r>
    </w:p>
    <w:p w14:paraId="31692315" w14:textId="77777777" w:rsidR="00443581" w:rsidRPr="00AE18FD" w:rsidRDefault="00443581" w:rsidP="00443581">
      <w:pPr>
        <w:ind w:left="360"/>
        <w:jc w:val="both"/>
        <w:rPr>
          <w:rFonts w:ascii="Arial" w:hAnsi="Arial"/>
        </w:rPr>
      </w:pPr>
      <w:r w:rsidRPr="00AE18FD">
        <w:rPr>
          <w:rFonts w:ascii="Arial" w:hAnsi="Arial"/>
        </w:rPr>
        <w:t xml:space="preserve">Ward, M.C., Clark, A., Whatley, E. and Secker, J. (2021) ‘The benefits of community-based participatory arts activities for people living with dementia: a thematic scoping review’, </w:t>
      </w:r>
      <w:r w:rsidRPr="00AE18FD">
        <w:rPr>
          <w:rFonts w:ascii="Arial" w:hAnsi="Arial"/>
          <w:i/>
          <w:iCs/>
        </w:rPr>
        <w:t>Arts &amp; Health</w:t>
      </w:r>
      <w:r w:rsidRPr="00AE18FD">
        <w:rPr>
          <w:rFonts w:ascii="Arial" w:hAnsi="Arial"/>
        </w:rPr>
        <w:t>, 13(3), pp. 213–239.</w:t>
      </w:r>
    </w:p>
    <w:p w14:paraId="29739B92" w14:textId="77777777" w:rsidR="00443581" w:rsidRPr="00AE18FD" w:rsidRDefault="00443581" w:rsidP="00443581">
      <w:pPr>
        <w:ind w:left="360"/>
        <w:jc w:val="both"/>
        <w:rPr>
          <w:rFonts w:ascii="Arial" w:hAnsi="Arial"/>
        </w:rPr>
      </w:pPr>
      <w:r w:rsidRPr="00AE18FD">
        <w:rPr>
          <w:rFonts w:ascii="Arial" w:hAnsi="Arial"/>
        </w:rPr>
        <w:t xml:space="preserve">Wang, Y., Li, C., Wang, Y., Zhu, X., Yang, Y. &amp; Xu, S., 2021. ‘Effectiveness of resilience interventions on psychosocial outcomes among persons with neurocognitive disorders: A systematic review and meta-analysis’, </w:t>
      </w:r>
      <w:r w:rsidRPr="00AE18FD">
        <w:rPr>
          <w:rFonts w:ascii="Arial" w:hAnsi="Arial"/>
          <w:i/>
          <w:iCs/>
        </w:rPr>
        <w:t>Frontiers in Psychiatry</w:t>
      </w:r>
      <w:r w:rsidRPr="00AE18FD">
        <w:rPr>
          <w:rFonts w:ascii="Arial" w:hAnsi="Arial"/>
        </w:rPr>
        <w:t>, 12, 738962. https://doi.org/10.3389/fpsyt.2021.738962</w:t>
      </w:r>
    </w:p>
    <w:p w14:paraId="5323F9B1" w14:textId="77777777" w:rsidR="00443581" w:rsidRPr="00AE18FD" w:rsidRDefault="00443581" w:rsidP="00443581">
      <w:pPr>
        <w:spacing w:line="360" w:lineRule="auto"/>
        <w:jc w:val="both"/>
        <w:rPr>
          <w:rFonts w:ascii="Arial" w:hAnsi="Arial"/>
        </w:rPr>
      </w:pPr>
    </w:p>
    <w:p w14:paraId="262EEA59" w14:textId="77777777" w:rsidR="00443581" w:rsidRPr="00AE18FD" w:rsidRDefault="00443581" w:rsidP="00443581"/>
    <w:p w14:paraId="140095FB" w14:textId="70E11326" w:rsidR="00482C36" w:rsidRPr="00AE18FD" w:rsidRDefault="00482C36">
      <w:pPr>
        <w:rPr>
          <w:rFonts w:ascii="Arial" w:hAnsi="Arial"/>
        </w:rPr>
      </w:pPr>
    </w:p>
    <w:sectPr w:rsidR="00482C36" w:rsidRPr="00AE18FD" w:rsidSect="003F0B5C">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4D2E8A" w14:textId="77777777" w:rsidR="003D4929" w:rsidRDefault="003D4929" w:rsidP="00D137B6">
      <w:pPr>
        <w:spacing w:after="0" w:line="240" w:lineRule="auto"/>
      </w:pPr>
      <w:r>
        <w:separator/>
      </w:r>
    </w:p>
  </w:endnote>
  <w:endnote w:type="continuationSeparator" w:id="0">
    <w:p w14:paraId="025721F4" w14:textId="77777777" w:rsidR="003D4929" w:rsidRDefault="003D4929" w:rsidP="00D137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5809976"/>
      <w:docPartObj>
        <w:docPartGallery w:val="Page Numbers (Bottom of Page)"/>
        <w:docPartUnique/>
      </w:docPartObj>
    </w:sdtPr>
    <w:sdtEndPr>
      <w:rPr>
        <w:noProof/>
      </w:rPr>
    </w:sdtEndPr>
    <w:sdtContent>
      <w:p w14:paraId="716159EF" w14:textId="1B2396C0" w:rsidR="00D137B6" w:rsidRDefault="00D137B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5AFF48F" w14:textId="77777777" w:rsidR="00D137B6" w:rsidRDefault="00D137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4DCD77" w14:textId="77777777" w:rsidR="003D4929" w:rsidRDefault="003D4929" w:rsidP="00D137B6">
      <w:pPr>
        <w:spacing w:after="0" w:line="240" w:lineRule="auto"/>
      </w:pPr>
      <w:r>
        <w:separator/>
      </w:r>
    </w:p>
  </w:footnote>
  <w:footnote w:type="continuationSeparator" w:id="0">
    <w:p w14:paraId="041618D1" w14:textId="77777777" w:rsidR="003D4929" w:rsidRDefault="003D4929" w:rsidP="00D137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51EB1"/>
    <w:multiLevelType w:val="multilevel"/>
    <w:tmpl w:val="599AB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3E6DC3"/>
    <w:multiLevelType w:val="multilevel"/>
    <w:tmpl w:val="3AD45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61639E"/>
    <w:multiLevelType w:val="multilevel"/>
    <w:tmpl w:val="C9066A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B86788"/>
    <w:multiLevelType w:val="multilevel"/>
    <w:tmpl w:val="322E9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1F1784E"/>
    <w:multiLevelType w:val="multilevel"/>
    <w:tmpl w:val="121E5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9B1418B"/>
    <w:multiLevelType w:val="multilevel"/>
    <w:tmpl w:val="6E0E9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E1003B2"/>
    <w:multiLevelType w:val="multilevel"/>
    <w:tmpl w:val="F1700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F372EDF"/>
    <w:multiLevelType w:val="multilevel"/>
    <w:tmpl w:val="C8002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12273194">
    <w:abstractNumId w:val="7"/>
  </w:num>
  <w:num w:numId="2" w16cid:durableId="1584795344">
    <w:abstractNumId w:val="0"/>
  </w:num>
  <w:num w:numId="3" w16cid:durableId="1496415890">
    <w:abstractNumId w:val="6"/>
  </w:num>
  <w:num w:numId="4" w16cid:durableId="1652369926">
    <w:abstractNumId w:val="1"/>
  </w:num>
  <w:num w:numId="5" w16cid:durableId="1045837318">
    <w:abstractNumId w:val="5"/>
  </w:num>
  <w:num w:numId="6" w16cid:durableId="1450663376">
    <w:abstractNumId w:val="4"/>
  </w:num>
  <w:num w:numId="7" w16cid:durableId="476262851">
    <w:abstractNumId w:val="3"/>
  </w:num>
  <w:num w:numId="8" w16cid:durableId="8172655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2520"/>
    <w:rsid w:val="000F1637"/>
    <w:rsid w:val="00165CDE"/>
    <w:rsid w:val="00173CDA"/>
    <w:rsid w:val="00275AB5"/>
    <w:rsid w:val="00312520"/>
    <w:rsid w:val="003874EB"/>
    <w:rsid w:val="003C3E44"/>
    <w:rsid w:val="003D4929"/>
    <w:rsid w:val="003F0B5C"/>
    <w:rsid w:val="00443581"/>
    <w:rsid w:val="00482C36"/>
    <w:rsid w:val="004971D8"/>
    <w:rsid w:val="004A0A87"/>
    <w:rsid w:val="004C2480"/>
    <w:rsid w:val="0051525E"/>
    <w:rsid w:val="005C6F35"/>
    <w:rsid w:val="005E3D21"/>
    <w:rsid w:val="005F463D"/>
    <w:rsid w:val="0064501F"/>
    <w:rsid w:val="007306CD"/>
    <w:rsid w:val="007A0E99"/>
    <w:rsid w:val="007E64B8"/>
    <w:rsid w:val="00865909"/>
    <w:rsid w:val="0090337A"/>
    <w:rsid w:val="009E1DD3"/>
    <w:rsid w:val="00AB020E"/>
    <w:rsid w:val="00AE18FD"/>
    <w:rsid w:val="00B54340"/>
    <w:rsid w:val="00B91B61"/>
    <w:rsid w:val="00B924BA"/>
    <w:rsid w:val="00BF6FA0"/>
    <w:rsid w:val="00C00555"/>
    <w:rsid w:val="00C612F7"/>
    <w:rsid w:val="00C67B4C"/>
    <w:rsid w:val="00C718EC"/>
    <w:rsid w:val="00CC1679"/>
    <w:rsid w:val="00D137B6"/>
    <w:rsid w:val="00D842EA"/>
    <w:rsid w:val="00EC1CA5"/>
    <w:rsid w:val="00EF47FD"/>
    <w:rsid w:val="00F21810"/>
    <w:rsid w:val="00FF59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E90E6"/>
  <w15:chartTrackingRefBased/>
  <w15:docId w15:val="{506523B8-D386-4308-8AAE-09F380611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25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125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1252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125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125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125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25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25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25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25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125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125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125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125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125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25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25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2520"/>
    <w:rPr>
      <w:rFonts w:eastAsiaTheme="majorEastAsia" w:cstheme="majorBidi"/>
      <w:color w:val="272727" w:themeColor="text1" w:themeTint="D8"/>
    </w:rPr>
  </w:style>
  <w:style w:type="paragraph" w:styleId="Title">
    <w:name w:val="Title"/>
    <w:basedOn w:val="Normal"/>
    <w:next w:val="Normal"/>
    <w:link w:val="TitleChar"/>
    <w:uiPriority w:val="10"/>
    <w:qFormat/>
    <w:rsid w:val="003125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25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25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25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2520"/>
    <w:pPr>
      <w:spacing w:before="160"/>
      <w:jc w:val="center"/>
    </w:pPr>
    <w:rPr>
      <w:i/>
      <w:iCs/>
      <w:color w:val="404040" w:themeColor="text1" w:themeTint="BF"/>
    </w:rPr>
  </w:style>
  <w:style w:type="character" w:customStyle="1" w:styleId="QuoteChar">
    <w:name w:val="Quote Char"/>
    <w:basedOn w:val="DefaultParagraphFont"/>
    <w:link w:val="Quote"/>
    <w:uiPriority w:val="29"/>
    <w:rsid w:val="00312520"/>
    <w:rPr>
      <w:i/>
      <w:iCs/>
      <w:color w:val="404040" w:themeColor="text1" w:themeTint="BF"/>
    </w:rPr>
  </w:style>
  <w:style w:type="paragraph" w:styleId="ListParagraph">
    <w:name w:val="List Paragraph"/>
    <w:basedOn w:val="Normal"/>
    <w:uiPriority w:val="34"/>
    <w:qFormat/>
    <w:rsid w:val="00312520"/>
    <w:pPr>
      <w:ind w:left="720"/>
      <w:contextualSpacing/>
    </w:pPr>
  </w:style>
  <w:style w:type="character" w:styleId="IntenseEmphasis">
    <w:name w:val="Intense Emphasis"/>
    <w:basedOn w:val="DefaultParagraphFont"/>
    <w:uiPriority w:val="21"/>
    <w:qFormat/>
    <w:rsid w:val="00312520"/>
    <w:rPr>
      <w:i/>
      <w:iCs/>
      <w:color w:val="0F4761" w:themeColor="accent1" w:themeShade="BF"/>
    </w:rPr>
  </w:style>
  <w:style w:type="paragraph" w:styleId="IntenseQuote">
    <w:name w:val="Intense Quote"/>
    <w:basedOn w:val="Normal"/>
    <w:next w:val="Normal"/>
    <w:link w:val="IntenseQuoteChar"/>
    <w:uiPriority w:val="30"/>
    <w:qFormat/>
    <w:rsid w:val="003125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2520"/>
    <w:rPr>
      <w:i/>
      <w:iCs/>
      <w:color w:val="0F4761" w:themeColor="accent1" w:themeShade="BF"/>
    </w:rPr>
  </w:style>
  <w:style w:type="character" w:styleId="IntenseReference">
    <w:name w:val="Intense Reference"/>
    <w:basedOn w:val="DefaultParagraphFont"/>
    <w:uiPriority w:val="32"/>
    <w:qFormat/>
    <w:rsid w:val="00312520"/>
    <w:rPr>
      <w:b/>
      <w:bCs/>
      <w:smallCaps/>
      <w:color w:val="0F4761" w:themeColor="accent1" w:themeShade="BF"/>
      <w:spacing w:val="5"/>
    </w:rPr>
  </w:style>
  <w:style w:type="table" w:styleId="TableGrid">
    <w:name w:val="Table Grid"/>
    <w:basedOn w:val="TableNormal"/>
    <w:uiPriority w:val="39"/>
    <w:rsid w:val="003874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82C36"/>
    <w:rPr>
      <w:color w:val="467886" w:themeColor="hyperlink"/>
      <w:u w:val="single"/>
    </w:rPr>
  </w:style>
  <w:style w:type="table" w:styleId="GridTable4-Accent6">
    <w:name w:val="Grid Table 4 Accent 6"/>
    <w:basedOn w:val="TableNormal"/>
    <w:uiPriority w:val="49"/>
    <w:rsid w:val="00275AB5"/>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paragraph" w:styleId="Caption">
    <w:name w:val="caption"/>
    <w:basedOn w:val="Normal"/>
    <w:next w:val="Normal"/>
    <w:uiPriority w:val="35"/>
    <w:unhideWhenUsed/>
    <w:qFormat/>
    <w:rsid w:val="00275AB5"/>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3F0B5C"/>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3F0B5C"/>
    <w:pPr>
      <w:spacing w:after="100"/>
    </w:pPr>
  </w:style>
  <w:style w:type="paragraph" w:styleId="TOC2">
    <w:name w:val="toc 2"/>
    <w:basedOn w:val="Normal"/>
    <w:next w:val="Normal"/>
    <w:autoRedefine/>
    <w:uiPriority w:val="39"/>
    <w:unhideWhenUsed/>
    <w:rsid w:val="003F0B5C"/>
    <w:pPr>
      <w:spacing w:after="100"/>
      <w:ind w:left="240"/>
    </w:pPr>
  </w:style>
  <w:style w:type="paragraph" w:styleId="TOC3">
    <w:name w:val="toc 3"/>
    <w:basedOn w:val="Normal"/>
    <w:next w:val="Normal"/>
    <w:autoRedefine/>
    <w:uiPriority w:val="39"/>
    <w:unhideWhenUsed/>
    <w:rsid w:val="003F0B5C"/>
    <w:pPr>
      <w:spacing w:after="100"/>
      <w:ind w:left="480"/>
    </w:pPr>
  </w:style>
  <w:style w:type="paragraph" w:styleId="NoSpacing">
    <w:name w:val="No Spacing"/>
    <w:link w:val="NoSpacingChar"/>
    <w:uiPriority w:val="1"/>
    <w:qFormat/>
    <w:rsid w:val="003F0B5C"/>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3F0B5C"/>
    <w:rPr>
      <w:rFonts w:eastAsiaTheme="minorEastAsia"/>
      <w:kern w:val="0"/>
      <w:sz w:val="22"/>
      <w:szCs w:val="22"/>
      <w:lang w:val="en-US"/>
      <w14:ligatures w14:val="none"/>
    </w:rPr>
  </w:style>
  <w:style w:type="paragraph" w:styleId="Header">
    <w:name w:val="header"/>
    <w:basedOn w:val="Normal"/>
    <w:link w:val="HeaderChar"/>
    <w:uiPriority w:val="99"/>
    <w:unhideWhenUsed/>
    <w:rsid w:val="00D137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37B6"/>
  </w:style>
  <w:style w:type="paragraph" w:styleId="Footer">
    <w:name w:val="footer"/>
    <w:basedOn w:val="Normal"/>
    <w:link w:val="FooterChar"/>
    <w:uiPriority w:val="99"/>
    <w:unhideWhenUsed/>
    <w:rsid w:val="00D137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37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QuickStyle" Target="diagrams/quickStyle1.xm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diagramLayout" Target="diagrams/layout1.xml"/><Relationship Id="rId17" Type="http://schemas.openxmlformats.org/officeDocument/2006/relationships/hyperlink" Target="https://www.england.nhs.uk/mental-health/dementia/?utm_source=chatgpt.com" TargetMode="Externa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5" Type="http://schemas.openxmlformats.org/officeDocument/2006/relationships/settings" Target="settings.xml"/><Relationship Id="rId15" Type="http://schemas.microsoft.com/office/2007/relationships/diagramDrawing" Target="diagrams/drawing1.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330F8FC-4E3D-4DC9-8ED2-807A8DF64C69}"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EE7FCC5C-92ED-4354-9A26-4FDFA887390C}">
      <dgm:prSet phldrT="[Text]"/>
      <dgm:spPr/>
      <dgm:t>
        <a:bodyPr/>
        <a:lstStyle/>
        <a:p>
          <a:r>
            <a:rPr lang="en-GB" b="1"/>
            <a:t>Screening</a:t>
          </a:r>
        </a:p>
        <a:p>
          <a:r>
            <a:rPr lang="en-GB" b="0"/>
            <a:t>Records screened after duplicates removed (n = 275)</a:t>
          </a:r>
        </a:p>
      </dgm:t>
    </dgm:pt>
    <dgm:pt modelId="{89134234-17CE-4723-B920-F9BFE622779A}" type="parTrans" cxnId="{3BF0B5CA-34B8-4804-9191-BB6F55323A68}">
      <dgm:prSet/>
      <dgm:spPr/>
      <dgm:t>
        <a:bodyPr/>
        <a:lstStyle/>
        <a:p>
          <a:endParaRPr lang="en-GB"/>
        </a:p>
      </dgm:t>
    </dgm:pt>
    <dgm:pt modelId="{9363669A-B9BE-49C4-9457-F64AD98CCF2A}" type="sibTrans" cxnId="{3BF0B5CA-34B8-4804-9191-BB6F55323A68}">
      <dgm:prSet/>
      <dgm:spPr/>
      <dgm:t>
        <a:bodyPr/>
        <a:lstStyle/>
        <a:p>
          <a:endParaRPr lang="en-GB"/>
        </a:p>
      </dgm:t>
    </dgm:pt>
    <dgm:pt modelId="{A932710C-AE5B-483E-9586-1AFEF0725F06}">
      <dgm:prSet phldrT="[Text]"/>
      <dgm:spPr/>
      <dgm:t>
        <a:bodyPr/>
        <a:lstStyle/>
        <a:p>
          <a:pPr algn="ctr"/>
          <a:r>
            <a:rPr lang="en-GB" b="1"/>
            <a:t>Full-text articles excluded, with reasons (n = 20) </a:t>
          </a:r>
        </a:p>
        <a:p>
          <a:pPr algn="ctr"/>
          <a:r>
            <a:rPr lang="en-GB" b="1"/>
            <a:t>Wrong setting (hospital/acute care, not community)</a:t>
          </a:r>
          <a:endParaRPr lang="en-GB"/>
        </a:p>
        <a:p>
          <a:pPr algn="ctr">
            <a:buSzPts val="1000"/>
            <a:buFont typeface="Symbol" panose="05050102010706020507" pitchFamily="18" charset="2"/>
            <a:buChar char=""/>
          </a:pPr>
          <a:r>
            <a:rPr lang="en-GB" b="1"/>
            <a:t>Not UK-based</a:t>
          </a:r>
          <a:endParaRPr lang="en-GB"/>
        </a:p>
        <a:p>
          <a:pPr algn="ctr">
            <a:buSzPts val="1000"/>
            <a:buFont typeface="Symbol" panose="05050102010706020507" pitchFamily="18" charset="2"/>
            <a:buChar char=""/>
          </a:pPr>
          <a:r>
            <a:rPr lang="en-GB" b="1"/>
            <a:t>No mental health outcomes reported</a:t>
          </a:r>
          <a:endParaRPr lang="en-GB"/>
        </a:p>
        <a:p>
          <a:pPr algn="ctr">
            <a:buSzPts val="1000"/>
            <a:buFont typeface="Symbol" panose="05050102010706020507" pitchFamily="18" charset="2"/>
            <a:buChar char=""/>
          </a:pPr>
          <a:r>
            <a:rPr lang="en-GB" b="1"/>
            <a:t>Not peer-reviewed</a:t>
          </a:r>
          <a:endParaRPr lang="en-GB" b="0"/>
        </a:p>
      </dgm:t>
    </dgm:pt>
    <dgm:pt modelId="{789D5C1B-CDFE-42EB-B06E-39D59ADDA425}" type="parTrans" cxnId="{06A837C5-E344-414B-8562-09BA6C7711ED}">
      <dgm:prSet/>
      <dgm:spPr/>
      <dgm:t>
        <a:bodyPr/>
        <a:lstStyle/>
        <a:p>
          <a:endParaRPr lang="en-GB"/>
        </a:p>
      </dgm:t>
    </dgm:pt>
    <dgm:pt modelId="{8BB39A79-75D5-415A-9C0D-2502BA3F45B2}" type="sibTrans" cxnId="{06A837C5-E344-414B-8562-09BA6C7711ED}">
      <dgm:prSet/>
      <dgm:spPr/>
      <dgm:t>
        <a:bodyPr/>
        <a:lstStyle/>
        <a:p>
          <a:endParaRPr lang="en-GB"/>
        </a:p>
      </dgm:t>
    </dgm:pt>
    <dgm:pt modelId="{FF29DBE1-AD69-42DD-8EC8-DA60C192C7A8}">
      <dgm:prSet phldrT="[Text]"/>
      <dgm:spPr/>
      <dgm:t>
        <a:bodyPr/>
        <a:lstStyle/>
        <a:p>
          <a:r>
            <a:rPr lang="en-GB" b="1"/>
            <a:t>Eligibiity</a:t>
          </a:r>
        </a:p>
        <a:p>
          <a:r>
            <a:rPr lang="en-GB" b="0"/>
            <a:t>Full-text articles assessed for eligibility (n = 25)</a:t>
          </a:r>
        </a:p>
      </dgm:t>
    </dgm:pt>
    <dgm:pt modelId="{723F3E6C-5B33-4CAB-8FD4-32C37178B45D}" type="parTrans" cxnId="{BA50F345-192D-4547-B41B-50C51D2BABCE}">
      <dgm:prSet/>
      <dgm:spPr/>
      <dgm:t>
        <a:bodyPr/>
        <a:lstStyle/>
        <a:p>
          <a:endParaRPr lang="en-GB"/>
        </a:p>
      </dgm:t>
    </dgm:pt>
    <dgm:pt modelId="{B122944F-E849-4D47-A04D-64CEAFB4317C}" type="sibTrans" cxnId="{BA50F345-192D-4547-B41B-50C51D2BABCE}">
      <dgm:prSet/>
      <dgm:spPr/>
      <dgm:t>
        <a:bodyPr/>
        <a:lstStyle/>
        <a:p>
          <a:endParaRPr lang="en-GB"/>
        </a:p>
      </dgm:t>
    </dgm:pt>
    <dgm:pt modelId="{7DE03863-367E-4020-8B18-B5BB0FC17853}">
      <dgm:prSet phldrT="[Text]"/>
      <dgm:spPr/>
      <dgm:t>
        <a:bodyPr/>
        <a:lstStyle/>
        <a:p>
          <a:r>
            <a:rPr lang="en-GB" b="1"/>
            <a:t>Records excluded (n = 250)</a:t>
          </a:r>
          <a:endParaRPr lang="en-GB" b="0"/>
        </a:p>
      </dgm:t>
    </dgm:pt>
    <dgm:pt modelId="{776CB319-A0A7-4740-B004-BAFF5D0F2FC3}" type="parTrans" cxnId="{30E39947-92A4-410B-8847-090E7C3F27F5}">
      <dgm:prSet/>
      <dgm:spPr/>
      <dgm:t>
        <a:bodyPr/>
        <a:lstStyle/>
        <a:p>
          <a:endParaRPr lang="en-GB"/>
        </a:p>
      </dgm:t>
    </dgm:pt>
    <dgm:pt modelId="{296D1C8C-3D9F-440C-BBF6-CD1756768EE2}" type="sibTrans" cxnId="{30E39947-92A4-410B-8847-090E7C3F27F5}">
      <dgm:prSet/>
      <dgm:spPr/>
      <dgm:t>
        <a:bodyPr/>
        <a:lstStyle/>
        <a:p>
          <a:endParaRPr lang="en-GB"/>
        </a:p>
      </dgm:t>
    </dgm:pt>
    <dgm:pt modelId="{F2E99972-8843-4D52-A642-35F24E38B906}">
      <dgm:prSet phldrT="[Text]"/>
      <dgm:spPr/>
      <dgm:t>
        <a:bodyPr/>
        <a:lstStyle/>
        <a:p>
          <a:r>
            <a:rPr lang="en-GB" b="1"/>
            <a:t>Included</a:t>
          </a:r>
        </a:p>
        <a:p>
          <a:r>
            <a:rPr lang="en-GB" b="0"/>
            <a:t>Studies included in scoping review (n = 5)</a:t>
          </a:r>
        </a:p>
      </dgm:t>
    </dgm:pt>
    <dgm:pt modelId="{72067388-8E90-4878-95E1-2C55995AF1CE}" type="parTrans" cxnId="{B6BBF532-63FA-4EFA-8594-062F86CD496C}">
      <dgm:prSet/>
      <dgm:spPr/>
      <dgm:t>
        <a:bodyPr/>
        <a:lstStyle/>
        <a:p>
          <a:endParaRPr lang="en-GB"/>
        </a:p>
      </dgm:t>
    </dgm:pt>
    <dgm:pt modelId="{0020CBA6-0961-4B7B-8D08-A1FD5938EDB1}" type="sibTrans" cxnId="{B6BBF532-63FA-4EFA-8594-062F86CD496C}">
      <dgm:prSet/>
      <dgm:spPr/>
      <dgm:t>
        <a:bodyPr/>
        <a:lstStyle/>
        <a:p>
          <a:endParaRPr lang="en-GB"/>
        </a:p>
      </dgm:t>
    </dgm:pt>
    <dgm:pt modelId="{0B4900A4-17A4-4F21-AA34-B24BF7EA3743}">
      <dgm:prSet phldrT="[Text]"/>
      <dgm:spPr/>
      <dgm:t>
        <a:bodyPr/>
        <a:lstStyle/>
        <a:p>
          <a:r>
            <a:rPr lang="en-GB" b="1">
              <a:solidFill>
                <a:schemeClr val="bg1"/>
              </a:solidFill>
            </a:rPr>
            <a:t>Identification</a:t>
          </a:r>
        </a:p>
        <a:p>
          <a:r>
            <a:rPr lang="en-GB" b="0">
              <a:solidFill>
                <a:schemeClr val="bg1"/>
              </a:solidFill>
            </a:rPr>
            <a:t>Records Identified through database searching (n=312)</a:t>
          </a:r>
        </a:p>
      </dgm:t>
    </dgm:pt>
    <dgm:pt modelId="{0D0A7082-B50A-4411-9646-90D7204D26F5}" type="parTrans" cxnId="{1C35E73B-D5EB-4C13-8EE8-E8EBEBF9EDE1}">
      <dgm:prSet/>
      <dgm:spPr/>
      <dgm:t>
        <a:bodyPr/>
        <a:lstStyle/>
        <a:p>
          <a:endParaRPr lang="en-GB"/>
        </a:p>
      </dgm:t>
    </dgm:pt>
    <dgm:pt modelId="{292478AF-D812-4F1B-9235-E1F4DA9C3995}" type="sibTrans" cxnId="{1C35E73B-D5EB-4C13-8EE8-E8EBEBF9EDE1}">
      <dgm:prSet/>
      <dgm:spPr/>
      <dgm:t>
        <a:bodyPr/>
        <a:lstStyle/>
        <a:p>
          <a:endParaRPr lang="en-GB"/>
        </a:p>
      </dgm:t>
    </dgm:pt>
    <dgm:pt modelId="{D35D611B-0C67-4621-A305-CC88326B3462}" type="pres">
      <dgm:prSet presAssocID="{B330F8FC-4E3D-4DC9-8ED2-807A8DF64C69}" presName="diagram" presStyleCnt="0">
        <dgm:presLayoutVars>
          <dgm:dir/>
          <dgm:resizeHandles val="exact"/>
        </dgm:presLayoutVars>
      </dgm:prSet>
      <dgm:spPr/>
    </dgm:pt>
    <dgm:pt modelId="{70262041-D3A3-439C-A39F-34732FD6A4ED}" type="pres">
      <dgm:prSet presAssocID="{EE7FCC5C-92ED-4354-9A26-4FDFA887390C}" presName="node" presStyleLbl="node1" presStyleIdx="0" presStyleCnt="6" custScaleX="27083" custScaleY="19441" custLinFactNeighborX="16574" custLinFactNeighborY="23921">
        <dgm:presLayoutVars>
          <dgm:bulletEnabled val="1"/>
        </dgm:presLayoutVars>
      </dgm:prSet>
      <dgm:spPr/>
    </dgm:pt>
    <dgm:pt modelId="{8125E820-22EB-4C64-8533-AC228563B8FF}" type="pres">
      <dgm:prSet presAssocID="{9363669A-B9BE-49C4-9457-F64AD98CCF2A}" presName="sibTrans" presStyleCnt="0"/>
      <dgm:spPr/>
    </dgm:pt>
    <dgm:pt modelId="{B58F6AC5-2A6D-4384-8913-8711AADF4953}" type="pres">
      <dgm:prSet presAssocID="{FF29DBE1-AD69-42DD-8EC8-DA60C192C7A8}" presName="node" presStyleLbl="node1" presStyleIdx="1" presStyleCnt="6" custScaleX="27083" custScaleY="19441" custLinFactNeighborX="-19561" custLinFactNeighborY="51506">
        <dgm:presLayoutVars>
          <dgm:bulletEnabled val="1"/>
        </dgm:presLayoutVars>
      </dgm:prSet>
      <dgm:spPr/>
    </dgm:pt>
    <dgm:pt modelId="{69AF415B-F652-45FD-BB54-44C8B32CFCD6}" type="pres">
      <dgm:prSet presAssocID="{B122944F-E849-4D47-A04D-64CEAFB4317C}" presName="sibTrans" presStyleCnt="0"/>
      <dgm:spPr/>
    </dgm:pt>
    <dgm:pt modelId="{B1420C42-0AE5-48C4-8CA7-71DFABEC0B13}" type="pres">
      <dgm:prSet presAssocID="{A932710C-AE5B-483E-9586-1AFEF0725F06}" presName="node" presStyleLbl="node1" presStyleIdx="2" presStyleCnt="6" custScaleX="27083" custScaleY="46145" custLinFactNeighborX="56157" custLinFactNeighborY="16128">
        <dgm:presLayoutVars>
          <dgm:bulletEnabled val="1"/>
        </dgm:presLayoutVars>
      </dgm:prSet>
      <dgm:spPr/>
    </dgm:pt>
    <dgm:pt modelId="{E44EDF8F-498A-40E6-BAAD-853E52281AA9}" type="pres">
      <dgm:prSet presAssocID="{8BB39A79-75D5-415A-9C0D-2502BA3F45B2}" presName="sibTrans" presStyleCnt="0"/>
      <dgm:spPr/>
    </dgm:pt>
    <dgm:pt modelId="{A6789B88-1C56-476D-B8A0-7E86E4969ED6}" type="pres">
      <dgm:prSet presAssocID="{7DE03863-367E-4020-8B18-B5BB0FC17853}" presName="node" presStyleLbl="node1" presStyleIdx="3" presStyleCnt="6" custScaleX="27083" custScaleY="19441" custLinFactNeighborX="17917" custLinFactNeighborY="-27317">
        <dgm:presLayoutVars>
          <dgm:bulletEnabled val="1"/>
        </dgm:presLayoutVars>
      </dgm:prSet>
      <dgm:spPr/>
    </dgm:pt>
    <dgm:pt modelId="{FCCF599F-15AB-4B59-B147-47F34FA241A1}" type="pres">
      <dgm:prSet presAssocID="{296D1C8C-3D9F-440C-BBF6-CD1756768EE2}" presName="sibTrans" presStyleCnt="0"/>
      <dgm:spPr/>
    </dgm:pt>
    <dgm:pt modelId="{84CB01BE-E025-4ACB-9442-D610AB43F93B}" type="pres">
      <dgm:prSet presAssocID="{F2E99972-8843-4D52-A642-35F24E38B906}" presName="node" presStyleLbl="node1" presStyleIdx="4" presStyleCnt="6" custScaleX="27083" custScaleY="19441" custLinFactNeighborX="16574" custLinFactNeighborY="-19292">
        <dgm:presLayoutVars>
          <dgm:bulletEnabled val="1"/>
        </dgm:presLayoutVars>
      </dgm:prSet>
      <dgm:spPr/>
    </dgm:pt>
    <dgm:pt modelId="{9392579D-75ED-4DFE-82EE-8F9447315604}" type="pres">
      <dgm:prSet presAssocID="{0020CBA6-0961-4B7B-8D08-A1FD5938EDB1}" presName="sibTrans" presStyleCnt="0"/>
      <dgm:spPr/>
    </dgm:pt>
    <dgm:pt modelId="{A7066BBB-104F-4868-A67F-74ED9C426F8D}" type="pres">
      <dgm:prSet presAssocID="{0B4900A4-17A4-4F21-AA34-B24BF7EA3743}" presName="node" presStyleLbl="node1" presStyleIdx="5" presStyleCnt="6" custScaleX="27083" custScaleY="19441" custLinFactNeighborX="-20509" custLinFactNeighborY="-98960">
        <dgm:presLayoutVars>
          <dgm:bulletEnabled val="1"/>
        </dgm:presLayoutVars>
      </dgm:prSet>
      <dgm:spPr/>
    </dgm:pt>
  </dgm:ptLst>
  <dgm:cxnLst>
    <dgm:cxn modelId="{C8F1C818-7383-445E-AAA0-C226238DA657}" type="presOf" srcId="{F2E99972-8843-4D52-A642-35F24E38B906}" destId="{84CB01BE-E025-4ACB-9442-D610AB43F93B}" srcOrd="0" destOrd="0" presId="urn:microsoft.com/office/officeart/2005/8/layout/default"/>
    <dgm:cxn modelId="{497B6B1F-FA4D-4C3F-B197-09EEB813D12A}" type="presOf" srcId="{B330F8FC-4E3D-4DC9-8ED2-807A8DF64C69}" destId="{D35D611B-0C67-4621-A305-CC88326B3462}" srcOrd="0" destOrd="0" presId="urn:microsoft.com/office/officeart/2005/8/layout/default"/>
    <dgm:cxn modelId="{B6BBF532-63FA-4EFA-8594-062F86CD496C}" srcId="{B330F8FC-4E3D-4DC9-8ED2-807A8DF64C69}" destId="{F2E99972-8843-4D52-A642-35F24E38B906}" srcOrd="4" destOrd="0" parTransId="{72067388-8E90-4878-95E1-2C55995AF1CE}" sibTransId="{0020CBA6-0961-4B7B-8D08-A1FD5938EDB1}"/>
    <dgm:cxn modelId="{1C35E73B-D5EB-4C13-8EE8-E8EBEBF9EDE1}" srcId="{B330F8FC-4E3D-4DC9-8ED2-807A8DF64C69}" destId="{0B4900A4-17A4-4F21-AA34-B24BF7EA3743}" srcOrd="5" destOrd="0" parTransId="{0D0A7082-B50A-4411-9646-90D7204D26F5}" sibTransId="{292478AF-D812-4F1B-9235-E1F4DA9C3995}"/>
    <dgm:cxn modelId="{DE4F0962-39B4-4934-B012-82CE15DDF4E3}" type="presOf" srcId="{7DE03863-367E-4020-8B18-B5BB0FC17853}" destId="{A6789B88-1C56-476D-B8A0-7E86E4969ED6}" srcOrd="0" destOrd="0" presId="urn:microsoft.com/office/officeart/2005/8/layout/default"/>
    <dgm:cxn modelId="{BA50F345-192D-4547-B41B-50C51D2BABCE}" srcId="{B330F8FC-4E3D-4DC9-8ED2-807A8DF64C69}" destId="{FF29DBE1-AD69-42DD-8EC8-DA60C192C7A8}" srcOrd="1" destOrd="0" parTransId="{723F3E6C-5B33-4CAB-8FD4-32C37178B45D}" sibTransId="{B122944F-E849-4D47-A04D-64CEAFB4317C}"/>
    <dgm:cxn modelId="{30E39947-92A4-410B-8847-090E7C3F27F5}" srcId="{B330F8FC-4E3D-4DC9-8ED2-807A8DF64C69}" destId="{7DE03863-367E-4020-8B18-B5BB0FC17853}" srcOrd="3" destOrd="0" parTransId="{776CB319-A0A7-4740-B004-BAFF5D0F2FC3}" sibTransId="{296D1C8C-3D9F-440C-BBF6-CD1756768EE2}"/>
    <dgm:cxn modelId="{8458A26C-0213-4C93-9E52-36AD2348CCC4}" type="presOf" srcId="{EE7FCC5C-92ED-4354-9A26-4FDFA887390C}" destId="{70262041-D3A3-439C-A39F-34732FD6A4ED}" srcOrd="0" destOrd="0" presId="urn:microsoft.com/office/officeart/2005/8/layout/default"/>
    <dgm:cxn modelId="{C2FEB671-8E99-409F-B944-9B12ED52AB45}" type="presOf" srcId="{FF29DBE1-AD69-42DD-8EC8-DA60C192C7A8}" destId="{B58F6AC5-2A6D-4384-8913-8711AADF4953}" srcOrd="0" destOrd="0" presId="urn:microsoft.com/office/officeart/2005/8/layout/default"/>
    <dgm:cxn modelId="{9C314F72-78D2-4B95-8F0F-0B5F4079C93F}" type="presOf" srcId="{A932710C-AE5B-483E-9586-1AFEF0725F06}" destId="{B1420C42-0AE5-48C4-8CA7-71DFABEC0B13}" srcOrd="0" destOrd="0" presId="urn:microsoft.com/office/officeart/2005/8/layout/default"/>
    <dgm:cxn modelId="{06A837C5-E344-414B-8562-09BA6C7711ED}" srcId="{B330F8FC-4E3D-4DC9-8ED2-807A8DF64C69}" destId="{A932710C-AE5B-483E-9586-1AFEF0725F06}" srcOrd="2" destOrd="0" parTransId="{789D5C1B-CDFE-42EB-B06E-39D59ADDA425}" sibTransId="{8BB39A79-75D5-415A-9C0D-2502BA3F45B2}"/>
    <dgm:cxn modelId="{3BF0B5CA-34B8-4804-9191-BB6F55323A68}" srcId="{B330F8FC-4E3D-4DC9-8ED2-807A8DF64C69}" destId="{EE7FCC5C-92ED-4354-9A26-4FDFA887390C}" srcOrd="0" destOrd="0" parTransId="{89134234-17CE-4723-B920-F9BFE622779A}" sibTransId="{9363669A-B9BE-49C4-9457-F64AD98CCF2A}"/>
    <dgm:cxn modelId="{F8D78CD0-0DE3-4BD3-917C-399554DF5AE9}" type="presOf" srcId="{0B4900A4-17A4-4F21-AA34-B24BF7EA3743}" destId="{A7066BBB-104F-4868-A67F-74ED9C426F8D}" srcOrd="0" destOrd="0" presId="urn:microsoft.com/office/officeart/2005/8/layout/default"/>
    <dgm:cxn modelId="{7B921C52-44E5-4469-AFA2-69818F8D54A5}" type="presParOf" srcId="{D35D611B-0C67-4621-A305-CC88326B3462}" destId="{70262041-D3A3-439C-A39F-34732FD6A4ED}" srcOrd="0" destOrd="0" presId="urn:microsoft.com/office/officeart/2005/8/layout/default"/>
    <dgm:cxn modelId="{9893B427-C3A6-4971-BCAD-17F49FB30C52}" type="presParOf" srcId="{D35D611B-0C67-4621-A305-CC88326B3462}" destId="{8125E820-22EB-4C64-8533-AC228563B8FF}" srcOrd="1" destOrd="0" presId="urn:microsoft.com/office/officeart/2005/8/layout/default"/>
    <dgm:cxn modelId="{56E2EB75-87D7-42D4-A9E2-8B58F5535F23}" type="presParOf" srcId="{D35D611B-0C67-4621-A305-CC88326B3462}" destId="{B58F6AC5-2A6D-4384-8913-8711AADF4953}" srcOrd="2" destOrd="0" presId="urn:microsoft.com/office/officeart/2005/8/layout/default"/>
    <dgm:cxn modelId="{041F3F3B-D8A9-4286-8EC0-C58F116C62E9}" type="presParOf" srcId="{D35D611B-0C67-4621-A305-CC88326B3462}" destId="{69AF415B-F652-45FD-BB54-44C8B32CFCD6}" srcOrd="3" destOrd="0" presId="urn:microsoft.com/office/officeart/2005/8/layout/default"/>
    <dgm:cxn modelId="{E317957D-726D-4F6D-8D79-B79113973928}" type="presParOf" srcId="{D35D611B-0C67-4621-A305-CC88326B3462}" destId="{B1420C42-0AE5-48C4-8CA7-71DFABEC0B13}" srcOrd="4" destOrd="0" presId="urn:microsoft.com/office/officeart/2005/8/layout/default"/>
    <dgm:cxn modelId="{B190B5A9-7157-418B-BB89-A6DBAC8BEF20}" type="presParOf" srcId="{D35D611B-0C67-4621-A305-CC88326B3462}" destId="{E44EDF8F-498A-40E6-BAAD-853E52281AA9}" srcOrd="5" destOrd="0" presId="urn:microsoft.com/office/officeart/2005/8/layout/default"/>
    <dgm:cxn modelId="{29E90C1C-7185-4F63-8B95-9C376D5C95B5}" type="presParOf" srcId="{D35D611B-0C67-4621-A305-CC88326B3462}" destId="{A6789B88-1C56-476D-B8A0-7E86E4969ED6}" srcOrd="6" destOrd="0" presId="urn:microsoft.com/office/officeart/2005/8/layout/default"/>
    <dgm:cxn modelId="{3C780F7A-177F-4513-B11F-4EB6AA372695}" type="presParOf" srcId="{D35D611B-0C67-4621-A305-CC88326B3462}" destId="{FCCF599F-15AB-4B59-B147-47F34FA241A1}" srcOrd="7" destOrd="0" presId="urn:microsoft.com/office/officeart/2005/8/layout/default"/>
    <dgm:cxn modelId="{8D9C8BE6-C6C3-4EA7-A0BA-B0B4B78BB683}" type="presParOf" srcId="{D35D611B-0C67-4621-A305-CC88326B3462}" destId="{84CB01BE-E025-4ACB-9442-D610AB43F93B}" srcOrd="8" destOrd="0" presId="urn:microsoft.com/office/officeart/2005/8/layout/default"/>
    <dgm:cxn modelId="{F28F82EB-512D-4040-8EA1-38B6C5265709}" type="presParOf" srcId="{D35D611B-0C67-4621-A305-CC88326B3462}" destId="{9392579D-75ED-4DFE-82EE-8F9447315604}" srcOrd="9" destOrd="0" presId="urn:microsoft.com/office/officeart/2005/8/layout/default"/>
    <dgm:cxn modelId="{9DCBE4E2-FE06-481D-AF7E-64ACAE93BC69}" type="presParOf" srcId="{D35D611B-0C67-4621-A305-CC88326B3462}" destId="{A7066BBB-104F-4868-A67F-74ED9C426F8D}" srcOrd="10" destOrd="0" presId="urn:microsoft.com/office/officeart/2005/8/layout/default"/>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0262041-D3A3-439C-A39F-34732FD6A4ED}">
      <dsp:nvSpPr>
        <dsp:cNvPr id="0" name=""/>
        <dsp:cNvSpPr/>
      </dsp:nvSpPr>
      <dsp:spPr>
        <a:xfrm>
          <a:off x="1892314" y="788774"/>
          <a:ext cx="1485881" cy="639966"/>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1" kern="1200"/>
            <a:t>Screening</a:t>
          </a:r>
        </a:p>
        <a:p>
          <a:pPr marL="0" lvl="0" indent="0" algn="ctr" defTabSz="400050">
            <a:lnSpc>
              <a:spcPct val="90000"/>
            </a:lnSpc>
            <a:spcBef>
              <a:spcPct val="0"/>
            </a:spcBef>
            <a:spcAft>
              <a:spcPct val="35000"/>
            </a:spcAft>
            <a:buNone/>
          </a:pPr>
          <a:r>
            <a:rPr lang="en-GB" sz="900" b="0" kern="1200"/>
            <a:t>Records screened after duplicates removed (n = 275)</a:t>
          </a:r>
        </a:p>
      </dsp:txBody>
      <dsp:txXfrm>
        <a:off x="1892314" y="788774"/>
        <a:ext cx="1485881" cy="639966"/>
      </dsp:txXfrm>
    </dsp:sp>
    <dsp:sp modelId="{B58F6AC5-2A6D-4384-8913-8711AADF4953}">
      <dsp:nvSpPr>
        <dsp:cNvPr id="0" name=""/>
        <dsp:cNvSpPr/>
      </dsp:nvSpPr>
      <dsp:spPr>
        <a:xfrm>
          <a:off x="1944325" y="1696828"/>
          <a:ext cx="1485881" cy="639966"/>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1" kern="1200"/>
            <a:t>Eligibiity</a:t>
          </a:r>
        </a:p>
        <a:p>
          <a:pPr marL="0" lvl="0" indent="0" algn="ctr" defTabSz="400050">
            <a:lnSpc>
              <a:spcPct val="90000"/>
            </a:lnSpc>
            <a:spcBef>
              <a:spcPct val="0"/>
            </a:spcBef>
            <a:spcAft>
              <a:spcPct val="35000"/>
            </a:spcAft>
            <a:buNone/>
          </a:pPr>
          <a:r>
            <a:rPr lang="en-GB" sz="900" b="0" kern="1200"/>
            <a:t>Full-text articles assessed for eligibility (n = 25)</a:t>
          </a:r>
        </a:p>
      </dsp:txBody>
      <dsp:txXfrm>
        <a:off x="1944325" y="1696828"/>
        <a:ext cx="1485881" cy="639966"/>
      </dsp:txXfrm>
    </dsp:sp>
    <dsp:sp modelId="{B1420C42-0AE5-48C4-8CA7-71DFABEC0B13}">
      <dsp:nvSpPr>
        <dsp:cNvPr id="0" name=""/>
        <dsp:cNvSpPr/>
      </dsp:nvSpPr>
      <dsp:spPr>
        <a:xfrm>
          <a:off x="4000518" y="1720848"/>
          <a:ext cx="1485881" cy="1519019"/>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1" kern="1200"/>
            <a:t>Full-text articles excluded, with reasons (n = 20) </a:t>
          </a:r>
        </a:p>
        <a:p>
          <a:pPr marL="0" lvl="0" indent="0" algn="ctr" defTabSz="400050">
            <a:lnSpc>
              <a:spcPct val="90000"/>
            </a:lnSpc>
            <a:spcBef>
              <a:spcPct val="0"/>
            </a:spcBef>
            <a:spcAft>
              <a:spcPct val="35000"/>
            </a:spcAft>
            <a:buNone/>
          </a:pPr>
          <a:r>
            <a:rPr lang="en-GB" sz="900" b="1" kern="1200"/>
            <a:t>Wrong setting (hospital/acute care, not community)</a:t>
          </a:r>
          <a:endParaRPr lang="en-GB" sz="900" kern="1200"/>
        </a:p>
        <a:p>
          <a:pPr marL="0" lvl="0" indent="0" algn="ctr" defTabSz="400050">
            <a:lnSpc>
              <a:spcPct val="90000"/>
            </a:lnSpc>
            <a:spcBef>
              <a:spcPct val="0"/>
            </a:spcBef>
            <a:spcAft>
              <a:spcPct val="35000"/>
            </a:spcAft>
            <a:buSzPts val="1000"/>
            <a:buFont typeface="Symbol" panose="05050102010706020507" pitchFamily="18" charset="2"/>
            <a:buNone/>
          </a:pPr>
          <a:r>
            <a:rPr lang="en-GB" sz="900" b="1" kern="1200"/>
            <a:t>Not UK-based</a:t>
          </a:r>
          <a:endParaRPr lang="en-GB" sz="900" kern="1200"/>
        </a:p>
        <a:p>
          <a:pPr marL="0" lvl="0" indent="0" algn="ctr" defTabSz="400050">
            <a:lnSpc>
              <a:spcPct val="90000"/>
            </a:lnSpc>
            <a:spcBef>
              <a:spcPct val="0"/>
            </a:spcBef>
            <a:spcAft>
              <a:spcPct val="35000"/>
            </a:spcAft>
            <a:buSzPts val="1000"/>
            <a:buFont typeface="Symbol" panose="05050102010706020507" pitchFamily="18" charset="2"/>
            <a:buNone/>
          </a:pPr>
          <a:r>
            <a:rPr lang="en-GB" sz="900" b="1" kern="1200"/>
            <a:t>No mental health outcomes reported</a:t>
          </a:r>
          <a:endParaRPr lang="en-GB" sz="900" kern="1200"/>
        </a:p>
        <a:p>
          <a:pPr marL="0" lvl="0" indent="0" algn="ctr" defTabSz="400050">
            <a:lnSpc>
              <a:spcPct val="90000"/>
            </a:lnSpc>
            <a:spcBef>
              <a:spcPct val="0"/>
            </a:spcBef>
            <a:spcAft>
              <a:spcPct val="35000"/>
            </a:spcAft>
            <a:buSzPts val="1000"/>
            <a:buFont typeface="Symbol" panose="05050102010706020507" pitchFamily="18" charset="2"/>
            <a:buNone/>
          </a:pPr>
          <a:r>
            <a:rPr lang="en-GB" sz="900" b="1" kern="1200"/>
            <a:t>Not peer-reviewed</a:t>
          </a:r>
          <a:endParaRPr lang="en-GB" sz="900" b="0" kern="1200"/>
        </a:p>
      </dsp:txBody>
      <dsp:txXfrm>
        <a:off x="4000518" y="1720848"/>
        <a:ext cx="1485881" cy="1519019"/>
      </dsp:txXfrm>
    </dsp:sp>
    <dsp:sp modelId="{A6789B88-1C56-476D-B8A0-7E86E4969ED6}">
      <dsp:nvSpPr>
        <dsp:cNvPr id="0" name=""/>
        <dsp:cNvSpPr/>
      </dsp:nvSpPr>
      <dsp:spPr>
        <a:xfrm>
          <a:off x="4000518" y="730234"/>
          <a:ext cx="1485881" cy="639966"/>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1" kern="1200"/>
            <a:t>Records excluded (n = 250)</a:t>
          </a:r>
          <a:endParaRPr lang="en-GB" sz="900" b="0" kern="1200"/>
        </a:p>
      </dsp:txBody>
      <dsp:txXfrm>
        <a:off x="4000518" y="730234"/>
        <a:ext cx="1485881" cy="639966"/>
      </dsp:txXfrm>
    </dsp:sp>
    <dsp:sp modelId="{84CB01BE-E025-4ACB-9442-D610AB43F93B}">
      <dsp:nvSpPr>
        <dsp:cNvPr id="0" name=""/>
        <dsp:cNvSpPr/>
      </dsp:nvSpPr>
      <dsp:spPr>
        <a:xfrm>
          <a:off x="1892314" y="2622538"/>
          <a:ext cx="1485881" cy="639966"/>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1" kern="1200"/>
            <a:t>Included</a:t>
          </a:r>
        </a:p>
        <a:p>
          <a:pPr marL="0" lvl="0" indent="0" algn="ctr" defTabSz="400050">
            <a:lnSpc>
              <a:spcPct val="90000"/>
            </a:lnSpc>
            <a:spcBef>
              <a:spcPct val="0"/>
            </a:spcBef>
            <a:spcAft>
              <a:spcPct val="35000"/>
            </a:spcAft>
            <a:buNone/>
          </a:pPr>
          <a:r>
            <a:rPr lang="en-GB" sz="900" b="0" kern="1200"/>
            <a:t>Studies included in scoping review (n = 5)</a:t>
          </a:r>
        </a:p>
      </dsp:txBody>
      <dsp:txXfrm>
        <a:off x="1892314" y="2622538"/>
        <a:ext cx="1485881" cy="639966"/>
      </dsp:txXfrm>
    </dsp:sp>
    <dsp:sp modelId="{A7066BBB-104F-4868-A67F-74ED9C426F8D}">
      <dsp:nvSpPr>
        <dsp:cNvPr id="0" name=""/>
        <dsp:cNvSpPr/>
      </dsp:nvSpPr>
      <dsp:spPr>
        <a:xfrm>
          <a:off x="1892314" y="0"/>
          <a:ext cx="1485881" cy="639966"/>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1" kern="1200">
              <a:solidFill>
                <a:schemeClr val="bg1"/>
              </a:solidFill>
            </a:rPr>
            <a:t>Identification</a:t>
          </a:r>
        </a:p>
        <a:p>
          <a:pPr marL="0" lvl="0" indent="0" algn="ctr" defTabSz="400050">
            <a:lnSpc>
              <a:spcPct val="90000"/>
            </a:lnSpc>
            <a:spcBef>
              <a:spcPct val="0"/>
            </a:spcBef>
            <a:spcAft>
              <a:spcPct val="35000"/>
            </a:spcAft>
            <a:buNone/>
          </a:pPr>
          <a:r>
            <a:rPr lang="en-GB" sz="900" b="0" kern="1200">
              <a:solidFill>
                <a:schemeClr val="bg1"/>
              </a:solidFill>
            </a:rPr>
            <a:t>Records Identified through database searching (n=312)</a:t>
          </a:r>
        </a:p>
      </dsp:txBody>
      <dsp:txXfrm>
        <a:off x="1892314" y="0"/>
        <a:ext cx="1485881" cy="639966"/>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D2422CFBA854E45A6166720E0B4A2BF"/>
        <w:category>
          <w:name w:val="General"/>
          <w:gallery w:val="placeholder"/>
        </w:category>
        <w:types>
          <w:type w:val="bbPlcHdr"/>
        </w:types>
        <w:behaviors>
          <w:behavior w:val="content"/>
        </w:behaviors>
        <w:guid w:val="{9682BA01-0999-4C3C-BEC7-022F74E28825}"/>
      </w:docPartPr>
      <w:docPartBody>
        <w:p w:rsidR="00000000" w:rsidRDefault="00865C39" w:rsidP="00865C39">
          <w:pPr>
            <w:pStyle w:val="6D2422CFBA854E45A6166720E0B4A2BF"/>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5C39"/>
    <w:rsid w:val="00865C39"/>
    <w:rsid w:val="00AA73E4"/>
    <w:rsid w:val="00C005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3C1EB9F40DB443E9485F4A97BF23ADE">
    <w:name w:val="63C1EB9F40DB443E9485F4A97BF23ADE"/>
    <w:rsid w:val="00865C39"/>
  </w:style>
  <w:style w:type="paragraph" w:customStyle="1" w:styleId="6D2422CFBA854E45A6166720E0B4A2BF">
    <w:name w:val="6D2422CFBA854E45A6166720E0B4A2BF"/>
    <w:rsid w:val="00865C3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Lecturer’s Name</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C093396-DD9D-411E-B7A5-279ED39E04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20</Pages>
  <Words>5589</Words>
  <Characters>30298</Characters>
  <Application>Microsoft Office Word</Application>
  <DocSecurity>0</DocSecurity>
  <Lines>1211</Lines>
  <Paragraphs>944</Paragraphs>
  <ScaleCrop>false</ScaleCrop>
  <HeadingPairs>
    <vt:vector size="2" baseType="variant">
      <vt:variant>
        <vt:lpstr>Title</vt:lpstr>
      </vt:variant>
      <vt:variant>
        <vt:i4>1</vt:i4>
      </vt:variant>
    </vt:vector>
  </HeadingPairs>
  <TitlesOfParts>
    <vt:vector size="1" baseType="lpstr">
      <vt:lpstr/>
    </vt:vector>
  </TitlesOfParts>
  <Company>Student no.</Company>
  <LinksUpToDate>false</LinksUpToDate>
  <CharactersWithSpaces>34943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1: Research Report</dc:title>
  <dc:subject/>
  <dc:creator>Iftekhar Rashid</dc:creator>
  <cp:keywords/>
  <dc:description/>
  <cp:lastModifiedBy>Iftekhar Rashid</cp:lastModifiedBy>
  <cp:revision>32</cp:revision>
  <dcterms:created xsi:type="dcterms:W3CDTF">2025-10-26T21:40:00Z</dcterms:created>
  <dcterms:modified xsi:type="dcterms:W3CDTF">2025-10-27T20:04:00Z</dcterms:modified>
</cp:coreProperties>
</file>