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1EBDA" w14:textId="77777777" w:rsidR="0005072F" w:rsidRPr="00B75ED5" w:rsidRDefault="0005072F" w:rsidP="00B75ED5">
      <w:pPr>
        <w:spacing w:line="360" w:lineRule="auto"/>
        <w:jc w:val="center"/>
        <w:rPr>
          <w:rFonts w:ascii="Arial" w:eastAsiaTheme="majorEastAsia" w:hAnsi="Arial" w:cs="Arial"/>
          <w:color w:val="000000" w:themeColor="text1"/>
          <w:kern w:val="24"/>
          <w:sz w:val="22"/>
          <w:szCs w:val="22"/>
        </w:rPr>
      </w:pPr>
    </w:p>
    <w:p w14:paraId="443776D8" w14:textId="69B339FD" w:rsidR="0005072F" w:rsidRDefault="0005072F" w:rsidP="00B75ED5">
      <w:pPr>
        <w:spacing w:line="360" w:lineRule="auto"/>
        <w:jc w:val="center"/>
        <w:rPr>
          <w:rFonts w:ascii="Arial" w:eastAsiaTheme="majorEastAsia" w:hAnsi="Arial" w:cs="Arial"/>
          <w:color w:val="000000" w:themeColor="text1"/>
          <w:kern w:val="24"/>
          <w:sz w:val="22"/>
          <w:szCs w:val="22"/>
        </w:rPr>
      </w:pPr>
      <w:r w:rsidRPr="00B75ED5">
        <w:rPr>
          <w:rFonts w:ascii="Arial" w:eastAsiaTheme="majorEastAsia" w:hAnsi="Arial" w:cs="Arial"/>
          <w:color w:val="000000" w:themeColor="text1"/>
          <w:kern w:val="24"/>
          <w:sz w:val="22"/>
          <w:szCs w:val="22"/>
        </w:rPr>
        <w:t>Adele McCann – 2416685</w:t>
      </w:r>
      <w:r w:rsidRPr="00B75ED5">
        <w:rPr>
          <w:rFonts w:ascii="Arial" w:eastAsiaTheme="majorEastAsia" w:hAnsi="Arial" w:cs="Arial"/>
          <w:color w:val="000000" w:themeColor="text1"/>
          <w:kern w:val="24"/>
          <w:sz w:val="22"/>
          <w:szCs w:val="22"/>
        </w:rPr>
        <w:br/>
      </w:r>
      <w:r w:rsidRPr="00B75ED5">
        <w:rPr>
          <w:rFonts w:ascii="Arial" w:hAnsi="Arial" w:cs="Arial"/>
          <w:bCs/>
          <w:sz w:val="22"/>
          <w:szCs w:val="22"/>
        </w:rPr>
        <w:t>Introduction to Physiology</w:t>
      </w:r>
      <w:r w:rsidRPr="00B75ED5">
        <w:rPr>
          <w:rFonts w:ascii="Arial" w:eastAsiaTheme="majorEastAsia" w:hAnsi="Arial" w:cs="Arial"/>
          <w:color w:val="000000" w:themeColor="text1"/>
          <w:kern w:val="24"/>
          <w:sz w:val="22"/>
          <w:szCs w:val="22"/>
        </w:rPr>
        <w:br/>
        <w:t>(BMHP5023</w:t>
      </w:r>
      <w:r w:rsidRPr="00B75ED5">
        <w:rPr>
          <w:rFonts w:ascii="Arial" w:eastAsiaTheme="majorEastAsia" w:hAnsi="Arial" w:cs="Arial"/>
          <w:b/>
          <w:bCs/>
          <w:color w:val="000000" w:themeColor="text1"/>
          <w:kern w:val="24"/>
          <w:sz w:val="22"/>
          <w:szCs w:val="22"/>
        </w:rPr>
        <w:t>_</w:t>
      </w:r>
      <w:r w:rsidRPr="00B75ED5">
        <w:rPr>
          <w:rFonts w:ascii="Arial" w:eastAsiaTheme="majorEastAsia" w:hAnsi="Arial" w:cs="Arial"/>
          <w:color w:val="000000" w:themeColor="text1"/>
          <w:kern w:val="24"/>
          <w:sz w:val="22"/>
          <w:szCs w:val="22"/>
        </w:rPr>
        <w:t>BIRM)</w:t>
      </w:r>
      <w:r w:rsidRPr="00B75ED5">
        <w:rPr>
          <w:rFonts w:ascii="Arial" w:eastAsiaTheme="majorEastAsia" w:hAnsi="Arial" w:cs="Arial"/>
          <w:color w:val="000000" w:themeColor="text1"/>
          <w:kern w:val="24"/>
          <w:sz w:val="22"/>
          <w:szCs w:val="22"/>
        </w:rPr>
        <w:br/>
        <w:t>Category: Birmingham Campus</w:t>
      </w:r>
      <w:r w:rsidRPr="00B75ED5">
        <w:rPr>
          <w:rFonts w:ascii="Arial" w:eastAsiaTheme="majorEastAsia" w:hAnsi="Arial" w:cs="Arial"/>
          <w:color w:val="000000" w:themeColor="text1"/>
          <w:kern w:val="24"/>
          <w:sz w:val="22"/>
          <w:szCs w:val="22"/>
        </w:rPr>
        <w:br/>
        <w:t>Lecturer – Robert Nartowski</w:t>
      </w:r>
      <w:r w:rsidRPr="00B75ED5">
        <w:rPr>
          <w:rFonts w:ascii="Arial" w:eastAsiaTheme="majorEastAsia" w:hAnsi="Arial" w:cs="Arial"/>
          <w:color w:val="000000" w:themeColor="text1"/>
          <w:kern w:val="24"/>
          <w:sz w:val="22"/>
          <w:szCs w:val="22"/>
        </w:rPr>
        <w:br/>
        <w:t>Component 1</w:t>
      </w:r>
    </w:p>
    <w:p w14:paraId="69776A0A" w14:textId="77777777" w:rsidR="00B75ED5" w:rsidRDefault="00B75ED5" w:rsidP="00B75ED5">
      <w:pPr>
        <w:spacing w:line="360" w:lineRule="auto"/>
        <w:jc w:val="center"/>
        <w:rPr>
          <w:rFonts w:ascii="Arial" w:eastAsiaTheme="majorEastAsia" w:hAnsi="Arial" w:cs="Arial"/>
          <w:color w:val="000000" w:themeColor="text1"/>
          <w:kern w:val="24"/>
          <w:sz w:val="22"/>
          <w:szCs w:val="22"/>
        </w:rPr>
      </w:pPr>
    </w:p>
    <w:p w14:paraId="23386CF6" w14:textId="4EDDE2AE" w:rsidR="00B75ED5" w:rsidRPr="00B75ED5" w:rsidRDefault="00B75ED5" w:rsidP="00B75ED5">
      <w:pPr>
        <w:spacing w:line="360" w:lineRule="auto"/>
        <w:jc w:val="center"/>
        <w:rPr>
          <w:rFonts w:ascii="Arial" w:eastAsiaTheme="majorEastAsia" w:hAnsi="Arial" w:cs="Arial"/>
          <w:color w:val="000000" w:themeColor="text1"/>
          <w:kern w:val="24"/>
          <w:sz w:val="22"/>
          <w:szCs w:val="22"/>
        </w:rPr>
      </w:pPr>
      <w:r w:rsidRPr="00B75ED5">
        <w:rPr>
          <w:rFonts w:ascii="Arial" w:hAnsi="Arial" w:cs="Arial"/>
          <w:sz w:val="22"/>
          <w:szCs w:val="22"/>
        </w:rPr>
        <w:t>Understanding Type 2 Diabetes: Physiological Regulation, Monitoring, and Lifestyle Management</w:t>
      </w:r>
    </w:p>
    <w:p w14:paraId="3AB7B18C" w14:textId="77777777" w:rsidR="005E1475" w:rsidRPr="00B75ED5" w:rsidRDefault="005E1475" w:rsidP="00B75ED5">
      <w:pPr>
        <w:pStyle w:val="ListParagraph"/>
        <w:spacing w:line="360" w:lineRule="auto"/>
        <w:rPr>
          <w:rFonts w:ascii="Arial" w:hAnsi="Arial" w:cs="Arial"/>
          <w:b/>
          <w:bCs/>
          <w:sz w:val="22"/>
          <w:szCs w:val="22"/>
        </w:rPr>
      </w:pPr>
    </w:p>
    <w:p w14:paraId="43E07AF0" w14:textId="77777777" w:rsidR="00E753F8" w:rsidRPr="00B75ED5" w:rsidRDefault="00E753F8" w:rsidP="00B75ED5">
      <w:pPr>
        <w:pStyle w:val="ListParagraph"/>
        <w:spacing w:line="360" w:lineRule="auto"/>
        <w:rPr>
          <w:rFonts w:ascii="Arial" w:hAnsi="Arial" w:cs="Arial"/>
          <w:b/>
          <w:bCs/>
          <w:sz w:val="22"/>
          <w:szCs w:val="22"/>
        </w:rPr>
      </w:pPr>
    </w:p>
    <w:p w14:paraId="47102A7B" w14:textId="77777777" w:rsidR="00E753F8" w:rsidRPr="00B75ED5" w:rsidRDefault="00E753F8" w:rsidP="00B75ED5">
      <w:pPr>
        <w:pStyle w:val="ListParagraph"/>
        <w:spacing w:line="360" w:lineRule="auto"/>
        <w:rPr>
          <w:rFonts w:ascii="Arial" w:hAnsi="Arial" w:cs="Arial"/>
          <w:b/>
          <w:bCs/>
          <w:sz w:val="22"/>
          <w:szCs w:val="22"/>
        </w:rPr>
      </w:pPr>
    </w:p>
    <w:p w14:paraId="2B4B6391" w14:textId="77777777" w:rsidR="00E753F8" w:rsidRPr="00B75ED5" w:rsidRDefault="00E753F8" w:rsidP="00B75ED5">
      <w:pPr>
        <w:pStyle w:val="ListParagraph"/>
        <w:spacing w:line="360" w:lineRule="auto"/>
        <w:rPr>
          <w:rFonts w:ascii="Arial" w:hAnsi="Arial" w:cs="Arial"/>
          <w:b/>
          <w:bCs/>
          <w:sz w:val="22"/>
          <w:szCs w:val="22"/>
        </w:rPr>
      </w:pPr>
    </w:p>
    <w:p w14:paraId="1C0437B9" w14:textId="77777777" w:rsidR="00E753F8" w:rsidRPr="00B75ED5" w:rsidRDefault="00E753F8" w:rsidP="00B75ED5">
      <w:pPr>
        <w:pStyle w:val="ListParagraph"/>
        <w:spacing w:line="360" w:lineRule="auto"/>
        <w:rPr>
          <w:rFonts w:ascii="Arial" w:hAnsi="Arial" w:cs="Arial"/>
          <w:b/>
          <w:bCs/>
          <w:sz w:val="22"/>
          <w:szCs w:val="22"/>
        </w:rPr>
      </w:pPr>
    </w:p>
    <w:p w14:paraId="1F24469A" w14:textId="77777777" w:rsidR="00E753F8" w:rsidRPr="00B75ED5" w:rsidRDefault="00E753F8" w:rsidP="00B75ED5">
      <w:pPr>
        <w:pStyle w:val="ListParagraph"/>
        <w:spacing w:line="360" w:lineRule="auto"/>
        <w:rPr>
          <w:rFonts w:ascii="Arial" w:hAnsi="Arial" w:cs="Arial"/>
          <w:b/>
          <w:bCs/>
          <w:sz w:val="22"/>
          <w:szCs w:val="22"/>
        </w:rPr>
      </w:pPr>
    </w:p>
    <w:p w14:paraId="3BC0E28E" w14:textId="77777777" w:rsidR="00E753F8" w:rsidRPr="00B75ED5" w:rsidRDefault="00E753F8" w:rsidP="00B75ED5">
      <w:pPr>
        <w:pStyle w:val="ListParagraph"/>
        <w:spacing w:line="360" w:lineRule="auto"/>
        <w:rPr>
          <w:rFonts w:ascii="Arial" w:hAnsi="Arial" w:cs="Arial"/>
          <w:b/>
          <w:bCs/>
          <w:sz w:val="22"/>
          <w:szCs w:val="22"/>
        </w:rPr>
      </w:pPr>
    </w:p>
    <w:p w14:paraId="73FA15B1" w14:textId="77777777" w:rsidR="00E753F8" w:rsidRPr="00B75ED5" w:rsidRDefault="00E753F8" w:rsidP="00B75ED5">
      <w:pPr>
        <w:pStyle w:val="ListParagraph"/>
        <w:spacing w:line="360" w:lineRule="auto"/>
        <w:rPr>
          <w:rFonts w:ascii="Arial" w:hAnsi="Arial" w:cs="Arial"/>
          <w:b/>
          <w:bCs/>
          <w:sz w:val="22"/>
          <w:szCs w:val="22"/>
        </w:rPr>
      </w:pPr>
    </w:p>
    <w:p w14:paraId="32C54B67" w14:textId="77777777" w:rsidR="00E753F8" w:rsidRPr="00B75ED5" w:rsidRDefault="00E753F8" w:rsidP="00B75ED5">
      <w:pPr>
        <w:pStyle w:val="ListParagraph"/>
        <w:spacing w:line="360" w:lineRule="auto"/>
        <w:rPr>
          <w:rFonts w:ascii="Arial" w:hAnsi="Arial" w:cs="Arial"/>
          <w:b/>
          <w:bCs/>
          <w:sz w:val="22"/>
          <w:szCs w:val="22"/>
        </w:rPr>
      </w:pPr>
    </w:p>
    <w:p w14:paraId="218E3CBF" w14:textId="77777777" w:rsidR="00E753F8" w:rsidRPr="00B75ED5" w:rsidRDefault="00E753F8" w:rsidP="00B75ED5">
      <w:pPr>
        <w:pStyle w:val="ListParagraph"/>
        <w:spacing w:line="360" w:lineRule="auto"/>
        <w:rPr>
          <w:rFonts w:ascii="Arial" w:hAnsi="Arial" w:cs="Arial"/>
          <w:b/>
          <w:bCs/>
          <w:sz w:val="22"/>
          <w:szCs w:val="22"/>
        </w:rPr>
      </w:pPr>
    </w:p>
    <w:p w14:paraId="3BB1A64F" w14:textId="77777777" w:rsidR="00E753F8" w:rsidRPr="00B75ED5" w:rsidRDefault="00E753F8" w:rsidP="00B75ED5">
      <w:pPr>
        <w:pStyle w:val="ListParagraph"/>
        <w:spacing w:line="360" w:lineRule="auto"/>
        <w:rPr>
          <w:rFonts w:ascii="Arial" w:hAnsi="Arial" w:cs="Arial"/>
          <w:b/>
          <w:bCs/>
          <w:sz w:val="22"/>
          <w:szCs w:val="22"/>
        </w:rPr>
      </w:pPr>
    </w:p>
    <w:p w14:paraId="7D346673" w14:textId="77777777" w:rsidR="00E753F8" w:rsidRPr="00B75ED5" w:rsidRDefault="00E753F8" w:rsidP="00B75ED5">
      <w:pPr>
        <w:pStyle w:val="ListParagraph"/>
        <w:spacing w:line="360" w:lineRule="auto"/>
        <w:rPr>
          <w:rFonts w:ascii="Arial" w:hAnsi="Arial" w:cs="Arial"/>
          <w:b/>
          <w:bCs/>
          <w:sz w:val="22"/>
          <w:szCs w:val="22"/>
        </w:rPr>
      </w:pPr>
    </w:p>
    <w:p w14:paraId="06A77349" w14:textId="77777777" w:rsidR="00E753F8" w:rsidRPr="00B75ED5" w:rsidRDefault="00E753F8" w:rsidP="00B75ED5">
      <w:pPr>
        <w:pStyle w:val="ListParagraph"/>
        <w:spacing w:line="360" w:lineRule="auto"/>
        <w:rPr>
          <w:rFonts w:ascii="Arial" w:hAnsi="Arial" w:cs="Arial"/>
          <w:b/>
          <w:bCs/>
          <w:sz w:val="22"/>
          <w:szCs w:val="22"/>
        </w:rPr>
      </w:pPr>
    </w:p>
    <w:p w14:paraId="1BE2A43C" w14:textId="77777777" w:rsidR="00E753F8" w:rsidRPr="00B75ED5" w:rsidRDefault="00E753F8" w:rsidP="00B75ED5">
      <w:pPr>
        <w:pStyle w:val="ListParagraph"/>
        <w:spacing w:line="360" w:lineRule="auto"/>
        <w:rPr>
          <w:rFonts w:ascii="Arial" w:hAnsi="Arial" w:cs="Arial"/>
          <w:b/>
          <w:bCs/>
          <w:sz w:val="22"/>
          <w:szCs w:val="22"/>
        </w:rPr>
      </w:pPr>
    </w:p>
    <w:p w14:paraId="3DEC441C" w14:textId="77777777" w:rsidR="00E753F8" w:rsidRPr="00B75ED5" w:rsidRDefault="00E753F8" w:rsidP="00B75ED5">
      <w:pPr>
        <w:pStyle w:val="ListParagraph"/>
        <w:spacing w:line="360" w:lineRule="auto"/>
        <w:rPr>
          <w:rFonts w:ascii="Arial" w:hAnsi="Arial" w:cs="Arial"/>
          <w:b/>
          <w:bCs/>
          <w:sz w:val="22"/>
          <w:szCs w:val="22"/>
        </w:rPr>
      </w:pPr>
    </w:p>
    <w:p w14:paraId="42908FAF" w14:textId="77777777" w:rsidR="00E753F8" w:rsidRPr="00B75ED5" w:rsidRDefault="00E753F8" w:rsidP="00B75ED5">
      <w:pPr>
        <w:pStyle w:val="ListParagraph"/>
        <w:spacing w:line="360" w:lineRule="auto"/>
        <w:rPr>
          <w:rFonts w:ascii="Arial" w:hAnsi="Arial" w:cs="Arial"/>
          <w:b/>
          <w:bCs/>
          <w:sz w:val="22"/>
          <w:szCs w:val="22"/>
        </w:rPr>
      </w:pPr>
    </w:p>
    <w:p w14:paraId="703464B5" w14:textId="77777777" w:rsidR="00E753F8" w:rsidRPr="00B75ED5" w:rsidRDefault="00E753F8" w:rsidP="00B75ED5">
      <w:pPr>
        <w:pStyle w:val="ListParagraph"/>
        <w:spacing w:line="360" w:lineRule="auto"/>
        <w:rPr>
          <w:rFonts w:ascii="Arial" w:hAnsi="Arial" w:cs="Arial"/>
          <w:b/>
          <w:bCs/>
          <w:sz w:val="22"/>
          <w:szCs w:val="22"/>
        </w:rPr>
      </w:pPr>
    </w:p>
    <w:p w14:paraId="4E6F85AE" w14:textId="77777777" w:rsidR="00E753F8" w:rsidRPr="00B75ED5" w:rsidRDefault="00E753F8" w:rsidP="00B75ED5">
      <w:pPr>
        <w:pStyle w:val="ListParagraph"/>
        <w:spacing w:line="360" w:lineRule="auto"/>
        <w:rPr>
          <w:rFonts w:ascii="Arial" w:hAnsi="Arial" w:cs="Arial"/>
          <w:b/>
          <w:bCs/>
          <w:sz w:val="22"/>
          <w:szCs w:val="22"/>
        </w:rPr>
      </w:pPr>
    </w:p>
    <w:p w14:paraId="6809C8E6" w14:textId="77777777" w:rsidR="00E753F8" w:rsidRPr="00B75ED5" w:rsidRDefault="00E753F8" w:rsidP="00B75ED5">
      <w:pPr>
        <w:pStyle w:val="ListParagraph"/>
        <w:spacing w:line="360" w:lineRule="auto"/>
        <w:rPr>
          <w:rFonts w:ascii="Arial" w:hAnsi="Arial" w:cs="Arial"/>
          <w:b/>
          <w:bCs/>
          <w:sz w:val="22"/>
          <w:szCs w:val="22"/>
        </w:rPr>
      </w:pPr>
    </w:p>
    <w:p w14:paraId="229CBE5F" w14:textId="77777777" w:rsidR="00E753F8" w:rsidRPr="00B75ED5" w:rsidRDefault="00E753F8" w:rsidP="00B75ED5">
      <w:pPr>
        <w:pStyle w:val="ListParagraph"/>
        <w:spacing w:line="360" w:lineRule="auto"/>
        <w:rPr>
          <w:rFonts w:ascii="Arial" w:hAnsi="Arial" w:cs="Arial"/>
          <w:b/>
          <w:bCs/>
          <w:sz w:val="22"/>
          <w:szCs w:val="22"/>
        </w:rPr>
      </w:pPr>
    </w:p>
    <w:p w14:paraId="1FBAA3CF" w14:textId="77777777" w:rsidR="00E753F8" w:rsidRPr="00B75ED5" w:rsidRDefault="00E753F8" w:rsidP="00B75ED5">
      <w:pPr>
        <w:pStyle w:val="ListParagraph"/>
        <w:spacing w:line="360" w:lineRule="auto"/>
        <w:rPr>
          <w:rFonts w:ascii="Arial" w:hAnsi="Arial" w:cs="Arial"/>
          <w:b/>
          <w:bCs/>
          <w:sz w:val="22"/>
          <w:szCs w:val="22"/>
        </w:rPr>
      </w:pPr>
    </w:p>
    <w:p w14:paraId="4D021A6D" w14:textId="77777777" w:rsidR="00E753F8" w:rsidRPr="00B75ED5" w:rsidRDefault="00E753F8" w:rsidP="00B75ED5">
      <w:pPr>
        <w:pStyle w:val="ListParagraph"/>
        <w:spacing w:line="360" w:lineRule="auto"/>
        <w:rPr>
          <w:rFonts w:ascii="Arial" w:hAnsi="Arial" w:cs="Arial"/>
          <w:b/>
          <w:bCs/>
          <w:sz w:val="22"/>
          <w:szCs w:val="22"/>
        </w:rPr>
      </w:pPr>
    </w:p>
    <w:p w14:paraId="34D7885C" w14:textId="77777777" w:rsidR="00E753F8" w:rsidRPr="00B75ED5" w:rsidRDefault="00E753F8" w:rsidP="00B75ED5">
      <w:pPr>
        <w:pStyle w:val="ListParagraph"/>
        <w:spacing w:line="360" w:lineRule="auto"/>
        <w:rPr>
          <w:rFonts w:ascii="Arial" w:hAnsi="Arial" w:cs="Arial"/>
          <w:b/>
          <w:bCs/>
          <w:sz w:val="22"/>
          <w:szCs w:val="22"/>
        </w:rPr>
      </w:pPr>
    </w:p>
    <w:p w14:paraId="79E03A4E" w14:textId="77777777" w:rsidR="00E753F8" w:rsidRPr="00B75ED5" w:rsidRDefault="00E753F8" w:rsidP="00B75ED5">
      <w:pPr>
        <w:pStyle w:val="ListParagraph"/>
        <w:spacing w:line="360" w:lineRule="auto"/>
        <w:rPr>
          <w:rFonts w:ascii="Arial" w:hAnsi="Arial" w:cs="Arial"/>
          <w:b/>
          <w:bCs/>
          <w:sz w:val="22"/>
          <w:szCs w:val="22"/>
        </w:rPr>
      </w:pPr>
    </w:p>
    <w:p w14:paraId="1F01FAEB" w14:textId="77777777" w:rsidR="00E753F8" w:rsidRPr="00B75ED5" w:rsidRDefault="00E753F8" w:rsidP="00B75ED5">
      <w:pPr>
        <w:pStyle w:val="ListParagraph"/>
        <w:spacing w:line="360" w:lineRule="auto"/>
        <w:rPr>
          <w:rFonts w:ascii="Arial" w:hAnsi="Arial" w:cs="Arial"/>
          <w:b/>
          <w:bCs/>
          <w:sz w:val="22"/>
          <w:szCs w:val="22"/>
        </w:rPr>
      </w:pPr>
    </w:p>
    <w:p w14:paraId="6C9BC090" w14:textId="77777777" w:rsidR="00E753F8" w:rsidRPr="00B75ED5" w:rsidRDefault="00E753F8" w:rsidP="00B75ED5">
      <w:pPr>
        <w:pStyle w:val="ListParagraph"/>
        <w:spacing w:line="360" w:lineRule="auto"/>
        <w:rPr>
          <w:rFonts w:ascii="Arial" w:hAnsi="Arial" w:cs="Arial"/>
          <w:b/>
          <w:bCs/>
          <w:sz w:val="22"/>
          <w:szCs w:val="22"/>
        </w:rPr>
      </w:pPr>
    </w:p>
    <w:p w14:paraId="181D26E2" w14:textId="77777777" w:rsidR="00E753F8" w:rsidRPr="00B75ED5" w:rsidRDefault="00E753F8" w:rsidP="00B75ED5">
      <w:pPr>
        <w:pStyle w:val="ListParagraph"/>
        <w:spacing w:line="360" w:lineRule="auto"/>
        <w:rPr>
          <w:rFonts w:ascii="Arial" w:hAnsi="Arial" w:cs="Arial"/>
          <w:b/>
          <w:bCs/>
          <w:sz w:val="22"/>
          <w:szCs w:val="22"/>
        </w:rPr>
      </w:pPr>
    </w:p>
    <w:p w14:paraId="33FD117F" w14:textId="77777777" w:rsidR="00E753F8" w:rsidRPr="00B75ED5" w:rsidRDefault="00E753F8" w:rsidP="00B75ED5">
      <w:pPr>
        <w:pStyle w:val="ListParagraph"/>
        <w:spacing w:line="360" w:lineRule="auto"/>
        <w:rPr>
          <w:rFonts w:ascii="Arial" w:hAnsi="Arial" w:cs="Arial"/>
          <w:b/>
          <w:bCs/>
          <w:sz w:val="22"/>
          <w:szCs w:val="22"/>
        </w:rPr>
      </w:pPr>
    </w:p>
    <w:p w14:paraId="06F0C40F" w14:textId="77777777" w:rsidR="00E753F8" w:rsidRPr="00B75ED5" w:rsidRDefault="00E753F8" w:rsidP="00B75ED5">
      <w:pPr>
        <w:pStyle w:val="ListParagraph"/>
        <w:spacing w:line="360" w:lineRule="auto"/>
        <w:rPr>
          <w:rFonts w:ascii="Arial" w:hAnsi="Arial" w:cs="Arial"/>
          <w:b/>
          <w:bCs/>
          <w:sz w:val="22"/>
          <w:szCs w:val="22"/>
        </w:rPr>
      </w:pPr>
    </w:p>
    <w:p w14:paraId="15065DC4" w14:textId="77777777" w:rsidR="00E753F8" w:rsidRPr="00B75ED5" w:rsidRDefault="00E753F8" w:rsidP="00B75ED5">
      <w:pPr>
        <w:pStyle w:val="ListParagraph"/>
        <w:spacing w:line="360" w:lineRule="auto"/>
        <w:rPr>
          <w:rFonts w:ascii="Arial" w:hAnsi="Arial" w:cs="Arial"/>
          <w:b/>
          <w:bCs/>
          <w:sz w:val="22"/>
          <w:szCs w:val="22"/>
        </w:rPr>
      </w:pPr>
    </w:p>
    <w:p w14:paraId="53192D79" w14:textId="77777777" w:rsidR="00E753F8" w:rsidRPr="00B75ED5" w:rsidRDefault="00E753F8" w:rsidP="00B75ED5">
      <w:pPr>
        <w:pStyle w:val="ListParagraph"/>
        <w:spacing w:line="360" w:lineRule="auto"/>
        <w:rPr>
          <w:rFonts w:ascii="Arial" w:hAnsi="Arial" w:cs="Arial"/>
          <w:b/>
          <w:bCs/>
          <w:sz w:val="22"/>
          <w:szCs w:val="22"/>
        </w:rPr>
      </w:pPr>
    </w:p>
    <w:p w14:paraId="6D54EA41" w14:textId="77777777" w:rsidR="00E753F8" w:rsidRPr="00B75ED5" w:rsidRDefault="00E753F8" w:rsidP="00B75ED5">
      <w:pPr>
        <w:spacing w:line="360" w:lineRule="auto"/>
        <w:rPr>
          <w:rFonts w:ascii="Arial" w:hAnsi="Arial" w:cs="Arial"/>
          <w:sz w:val="22"/>
          <w:szCs w:val="22"/>
        </w:rPr>
      </w:pPr>
    </w:p>
    <w:p w14:paraId="769E21D5" w14:textId="186ECA55" w:rsidR="00E753F8" w:rsidRPr="00B75ED5" w:rsidRDefault="00E753F8" w:rsidP="00B75ED5">
      <w:pPr>
        <w:spacing w:line="360" w:lineRule="auto"/>
        <w:rPr>
          <w:rFonts w:ascii="Arial" w:hAnsi="Arial" w:cs="Arial"/>
          <w:b/>
          <w:bCs/>
          <w:sz w:val="22"/>
          <w:szCs w:val="22"/>
        </w:rPr>
      </w:pPr>
      <w:r w:rsidRPr="00B75ED5">
        <w:rPr>
          <w:rFonts w:ascii="Arial" w:hAnsi="Arial" w:cs="Arial"/>
          <w:b/>
          <w:bCs/>
          <w:sz w:val="22"/>
          <w:szCs w:val="22"/>
        </w:rPr>
        <w:t>Introduction</w:t>
      </w:r>
    </w:p>
    <w:p w14:paraId="6F5DD884" w14:textId="73F4FBD3" w:rsidR="00E753F8" w:rsidRPr="00B75ED5" w:rsidRDefault="00E753F8" w:rsidP="00B75ED5">
      <w:pPr>
        <w:spacing w:line="360" w:lineRule="auto"/>
        <w:rPr>
          <w:rFonts w:ascii="Arial" w:hAnsi="Arial" w:cs="Arial"/>
          <w:sz w:val="22"/>
          <w:szCs w:val="22"/>
        </w:rPr>
      </w:pPr>
      <w:r w:rsidRPr="00B75ED5">
        <w:rPr>
          <w:rFonts w:ascii="Arial" w:hAnsi="Arial" w:cs="Arial"/>
          <w:sz w:val="22"/>
          <w:szCs w:val="22"/>
        </w:rPr>
        <w:t>As a practice nurse working within a general practice setting, I frequently support patients who have been diagnosed with Type 2 diabetes, many of whom demonstrate limited understanding of their condition and the lifestyle factors that influence its progression. Diabetes mellitus is a chronic metabolic disorder characterised by persistent hyperglycaemia resulting from defects in insulin secretion, insulin action, or both (Beauchamp and Childress, 2019, p. 112). In Type 2 diabetes, the predominant mechanisms include insulin resistance in peripheral tissues and a gradual decline in pancreatic β</w:t>
      </w:r>
      <w:r w:rsidRPr="00B75ED5">
        <w:rPr>
          <w:rFonts w:ascii="Arial" w:hAnsi="Arial" w:cs="Arial"/>
          <w:sz w:val="22"/>
          <w:szCs w:val="22"/>
        </w:rPr>
        <w:noBreakHyphen/>
        <w:t>cell function, leading to impaired glucose uptake and dysregulated blood sugar levels. The condition is strongly associated with modifiable and non</w:t>
      </w:r>
      <w:r w:rsidRPr="00B75ED5">
        <w:rPr>
          <w:rFonts w:ascii="Arial" w:hAnsi="Arial" w:cs="Arial"/>
          <w:sz w:val="22"/>
          <w:szCs w:val="22"/>
        </w:rPr>
        <w:noBreakHyphen/>
        <w:t>modifiable risk factors, including obesity, physical inactivity, advancing age, family history, ethnicity, hypertension, and diets high in saturated fats and refined carbohydrates (NICE, 2021).</w:t>
      </w:r>
    </w:p>
    <w:p w14:paraId="0286F85D" w14:textId="459FE069" w:rsidR="00E753F8" w:rsidRPr="00B75ED5" w:rsidRDefault="00E753F8" w:rsidP="00B75ED5">
      <w:pPr>
        <w:spacing w:line="360" w:lineRule="auto"/>
        <w:rPr>
          <w:rFonts w:ascii="Arial" w:hAnsi="Arial" w:cs="Arial"/>
          <w:sz w:val="22"/>
          <w:szCs w:val="22"/>
        </w:rPr>
      </w:pPr>
      <w:r w:rsidRPr="00B75ED5">
        <w:rPr>
          <w:rFonts w:ascii="Arial" w:hAnsi="Arial" w:cs="Arial"/>
          <w:sz w:val="22"/>
          <w:szCs w:val="22"/>
        </w:rPr>
        <w:t>The increasing prevalence of Type 2 diabetes within primary care highlights the need for effective patient education that enables individuals to understand the physiological basis of their condition and the importance of active engagement with their care plans. Many patients’ attending diabetic review clinics express uncertainty about how blood glucose is regulated, why monitoring is essential, and how lifestyle behaviours such as smoking, diet, and exercise influence their long</w:t>
      </w:r>
      <w:r w:rsidRPr="00B75ED5">
        <w:rPr>
          <w:rFonts w:ascii="Arial" w:hAnsi="Arial" w:cs="Arial"/>
          <w:sz w:val="22"/>
          <w:szCs w:val="22"/>
        </w:rPr>
        <w:noBreakHyphen/>
        <w:t>term health outcomes. Without this foundational knowledge, adherence to treatment plans can be inconsistent, and opportunities for early intervention may be missed.</w:t>
      </w:r>
    </w:p>
    <w:p w14:paraId="06712C86" w14:textId="187B5622" w:rsidR="00E753F8" w:rsidRPr="00B75ED5" w:rsidRDefault="00E753F8" w:rsidP="00B75ED5">
      <w:pPr>
        <w:spacing w:line="360" w:lineRule="auto"/>
        <w:rPr>
          <w:rFonts w:ascii="Arial" w:hAnsi="Arial" w:cs="Arial"/>
          <w:sz w:val="22"/>
          <w:szCs w:val="22"/>
        </w:rPr>
      </w:pPr>
      <w:r w:rsidRPr="00B75ED5">
        <w:rPr>
          <w:rFonts w:ascii="Arial" w:hAnsi="Arial" w:cs="Arial"/>
          <w:sz w:val="22"/>
          <w:szCs w:val="22"/>
        </w:rPr>
        <w:t>This report aims to provide a clear and academically grounded explanation of the mechanisms involved in blood glucose regulation, the role of oxygen and glucose in cellular metabolism, and the importance of recording and tracking blood sugar levels over time. It will also present evidence</w:t>
      </w:r>
      <w:r w:rsidRPr="00B75ED5">
        <w:rPr>
          <w:rFonts w:ascii="Arial" w:hAnsi="Arial" w:cs="Arial"/>
          <w:sz w:val="22"/>
          <w:szCs w:val="22"/>
        </w:rPr>
        <w:noBreakHyphen/>
        <w:t>based recommendations on lifestyle modifications that can support individuals in managing their condition safely and effectively. By enhancing patient understanding, I can help empower individuals to take a more active role in their self</w:t>
      </w:r>
      <w:r w:rsidRPr="00B75ED5">
        <w:rPr>
          <w:rFonts w:ascii="Arial" w:hAnsi="Arial" w:cs="Arial"/>
          <w:sz w:val="22"/>
          <w:szCs w:val="22"/>
        </w:rPr>
        <w:noBreakHyphen/>
        <w:t>management, ultimately improving glycaemic control and reducing the risk of complications.</w:t>
      </w:r>
    </w:p>
    <w:p w14:paraId="61D9F80B" w14:textId="77777777" w:rsidR="005736B7" w:rsidRPr="00B75ED5" w:rsidRDefault="005736B7" w:rsidP="00B75ED5">
      <w:pPr>
        <w:spacing w:line="360" w:lineRule="auto"/>
        <w:rPr>
          <w:rFonts w:ascii="Arial" w:hAnsi="Arial" w:cs="Arial"/>
          <w:sz w:val="22"/>
          <w:szCs w:val="22"/>
        </w:rPr>
      </w:pPr>
    </w:p>
    <w:p w14:paraId="613B7F3F" w14:textId="49992B71" w:rsidR="005736B7" w:rsidRPr="00B75ED5" w:rsidRDefault="005736B7" w:rsidP="00B75ED5">
      <w:pPr>
        <w:spacing w:line="360" w:lineRule="auto"/>
        <w:rPr>
          <w:rFonts w:ascii="Arial" w:hAnsi="Arial" w:cs="Arial"/>
          <w:b/>
          <w:bCs/>
          <w:sz w:val="22"/>
          <w:szCs w:val="22"/>
        </w:rPr>
      </w:pPr>
      <w:r w:rsidRPr="00B75ED5">
        <w:rPr>
          <w:rFonts w:ascii="Arial" w:hAnsi="Arial" w:cs="Arial"/>
          <w:b/>
          <w:bCs/>
          <w:sz w:val="22"/>
          <w:szCs w:val="22"/>
        </w:rPr>
        <w:t>Regulation of Blood Glucose</w:t>
      </w:r>
    </w:p>
    <w:p w14:paraId="43C4643A" w14:textId="17AB5366"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The maintenance of blood glucose within a narrow physiological range is essential for sustaining cellular function, neurological stability, and overall metabolic homeostasis. In a healthy individual, blood glucose is typically regulated between approximately 4.0 and 7.8 mmol/L, depending on fasting or post</w:t>
      </w:r>
      <w:r w:rsidRPr="00B75ED5">
        <w:rPr>
          <w:rFonts w:ascii="Arial" w:hAnsi="Arial" w:cs="Arial"/>
          <w:sz w:val="22"/>
          <w:szCs w:val="22"/>
        </w:rPr>
        <w:noBreakHyphen/>
        <w:t>prandial states (NICE, 2021). This regulation is achieved through a complex interplay between hormonal signalling, hepatic metabolism, and peripheral glucose uptake. Central to this process is insulin, a peptide hormone synthesised and secreted by the β</w:t>
      </w:r>
      <w:r w:rsidRPr="00B75ED5">
        <w:rPr>
          <w:rFonts w:ascii="Arial" w:hAnsi="Arial" w:cs="Arial"/>
          <w:sz w:val="22"/>
          <w:szCs w:val="22"/>
        </w:rPr>
        <w:noBreakHyphen/>
        <w:t>cells of the pancreatic islets of Langerhans. Insulin release is stimulated by rising blood glucose concentrations following food intake. Once secreted, insulin facilitates the uptake of glucose into skeletal muscle and adipose tissue by promoting the translocation of GLUT</w:t>
      </w:r>
      <w:r w:rsidRPr="00B75ED5">
        <w:rPr>
          <w:rFonts w:ascii="Arial" w:hAnsi="Arial" w:cs="Arial"/>
          <w:sz w:val="22"/>
          <w:szCs w:val="22"/>
        </w:rPr>
        <w:noBreakHyphen/>
        <w:t>4 transporters to the cell membrane, thereby reducing circulating glucose levels (Department of Health and Social Care, 2014).</w:t>
      </w:r>
    </w:p>
    <w:p w14:paraId="52F4B66E" w14:textId="609897C3"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In addition to promoting glucose uptake, insulin suppresses hepatic gluconeogenesis and glycogenolysis, preventing the liver from releasing additional glucose into the bloodstream. This coordinated response ensures that glucose is stored as glycogen in the liver and muscles when levels are high, maintaining metabolic balance. Conversely, when blood glucose levels fall, such as during fasting or prolonged physical activity, the α</w:t>
      </w:r>
      <w:r w:rsidRPr="00B75ED5">
        <w:rPr>
          <w:rFonts w:ascii="Arial" w:hAnsi="Arial" w:cs="Arial"/>
          <w:sz w:val="22"/>
          <w:szCs w:val="22"/>
        </w:rPr>
        <w:noBreakHyphen/>
        <w:t>cells of the pancreas secrete glucagon. Glucagon acts primarily on the liver to stimulate glycogen breakdown and glucose release, restoring blood glucose to a safe and effective level (NHS England, 2012).</w:t>
      </w:r>
    </w:p>
    <w:p w14:paraId="24E4104E" w14:textId="029458A5"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In individuals with Type 2 diabetes, this finely tuned regulatory system becomes impaired. Insulin resistance develops in peripheral tissues, meaning that cells respond less effectively to insulin’s actions. As a result, the pancreas compensates by producing more insulin, but over time β</w:t>
      </w:r>
      <w:r w:rsidRPr="00B75ED5">
        <w:rPr>
          <w:rFonts w:ascii="Arial" w:hAnsi="Arial" w:cs="Arial"/>
          <w:sz w:val="22"/>
          <w:szCs w:val="22"/>
        </w:rPr>
        <w:noBreakHyphen/>
        <w:t>cell function declines, leading to chronic hyperglycaemia (NICE, 2021). This dysregulation not only disrupts energy metabolism but also increases the risk of long</w:t>
      </w:r>
      <w:r w:rsidRPr="00B75ED5">
        <w:rPr>
          <w:rFonts w:ascii="Arial" w:hAnsi="Arial" w:cs="Arial"/>
          <w:sz w:val="22"/>
          <w:szCs w:val="22"/>
        </w:rPr>
        <w:noBreakHyphen/>
        <w:t>term complications such as neuropathy, nephropathy, retinopathy, and cardiovascular disease.</w:t>
      </w:r>
    </w:p>
    <w:p w14:paraId="08134277" w14:textId="7929AE60"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Understanding these mechanisms is crucial for patients, as it provides the foundation for recognising why consistent monitoring, medication adherence, and lifestyle modification are essential components of effective diabetes self</w:t>
      </w:r>
      <w:r w:rsidRPr="00B75ED5">
        <w:rPr>
          <w:rFonts w:ascii="Arial" w:hAnsi="Arial" w:cs="Arial"/>
          <w:sz w:val="22"/>
          <w:szCs w:val="22"/>
        </w:rPr>
        <w:noBreakHyphen/>
        <w:t>management. Improved knowledge of glucose regulation empowers individuals to interpret their readings more accurately and to understand how their behaviours influence their physiological responses.</w:t>
      </w:r>
    </w:p>
    <w:p w14:paraId="5D16E889" w14:textId="1CDF33EE" w:rsidR="005736B7" w:rsidRPr="00B75ED5" w:rsidRDefault="005736B7" w:rsidP="00B75ED5">
      <w:pPr>
        <w:spacing w:line="360" w:lineRule="auto"/>
        <w:rPr>
          <w:rFonts w:ascii="Arial" w:hAnsi="Arial" w:cs="Arial"/>
          <w:b/>
          <w:bCs/>
          <w:sz w:val="22"/>
          <w:szCs w:val="22"/>
        </w:rPr>
      </w:pPr>
      <w:r w:rsidRPr="00B75ED5">
        <w:rPr>
          <w:rFonts w:ascii="Arial" w:hAnsi="Arial" w:cs="Arial"/>
          <w:b/>
          <w:bCs/>
          <w:sz w:val="22"/>
          <w:szCs w:val="22"/>
        </w:rPr>
        <w:t>Cellular Metabolism: The Use of Oxygen and Glucose in Energy Production</w:t>
      </w:r>
    </w:p>
    <w:p w14:paraId="75115EFA" w14:textId="5131F522"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lastRenderedPageBreak/>
        <w:t>To help patients understand why maintaining stable blood glucose levels is essential, it is important to explain how glucose and oxygen are used within the body to produce energy. Cellular metabolism refers to the biochemical processes that occur within cells to generate adenosine triphosphate (ATP), the primary energy currency required for physiological functioning. Glucose is the body’s preferred fuel source, particularly for the brain, which relies almost exclusively on glucose for energy due to its limited capacity to utilise alternative substrates (Maslow, 1943, p. 372).</w:t>
      </w:r>
    </w:p>
    <w:p w14:paraId="58452F6B" w14:textId="6D44209E"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The process of energy production begins with glycolysis, a metabolic pathway that occurs in the cytoplasm of the cell. During glycolysis, one molecule of glucose is broken down into two molecules of pyruvate, generating a small amount of ATP and reduced nicotinamide adenine dinucleotide (NADH). This stage does not require oxygen and therefore can occur under anaerobic conditions; however, it yields significantly less energy than aerobic metabolism (Beauchamp and Childress, 2019, p. 118). When oxygen is available, pyruvate enters the mitochondria and is converted into acetyl</w:t>
      </w:r>
      <w:r w:rsidRPr="00B75ED5">
        <w:rPr>
          <w:rFonts w:ascii="Arial" w:hAnsi="Arial" w:cs="Arial"/>
          <w:sz w:val="22"/>
          <w:szCs w:val="22"/>
        </w:rPr>
        <w:noBreakHyphen/>
        <w:t>CoA, which then enters the citric acid cycle (also known as the Krebs cycle). This cycle produces additional NADH and flavin adenine dinucleotide (FADH</w:t>
      </w:r>
      <w:r w:rsidRPr="00B75ED5">
        <w:rPr>
          <w:rFonts w:ascii="Cambria Math" w:hAnsi="Cambria Math" w:cs="Cambria Math"/>
          <w:sz w:val="22"/>
          <w:szCs w:val="22"/>
        </w:rPr>
        <w:t>₂</w:t>
      </w:r>
      <w:r w:rsidRPr="00B75ED5">
        <w:rPr>
          <w:rFonts w:ascii="Arial" w:hAnsi="Arial" w:cs="Arial"/>
          <w:sz w:val="22"/>
          <w:szCs w:val="22"/>
        </w:rPr>
        <w:t>), which carry high</w:t>
      </w:r>
      <w:r w:rsidRPr="00B75ED5">
        <w:rPr>
          <w:rFonts w:ascii="Arial" w:hAnsi="Arial" w:cs="Arial"/>
          <w:sz w:val="22"/>
          <w:szCs w:val="22"/>
        </w:rPr>
        <w:noBreakHyphen/>
        <w:t>energy electrons to the electron transport chain.</w:t>
      </w:r>
    </w:p>
    <w:p w14:paraId="7B613817" w14:textId="60BE6031"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The electron transport chain, located on the inner mitochondrial membrane, is the stage at which oxygen becomes essential. Oxygen acts as the final electron acceptor, allowing the chain to function efficiently and enabling oxidative phosphorylation to produce large quantities of ATP. In total, aerobic metabolism of a single glucose molecule can yield up to 36 ATP molecules, compared with only 2 ATP molecules produced during anaerobic glycolysis (NHS England, 2022). This demonstrates why oxygen availability and glucose regulation are vital for sustaining normal physiological activity.</w:t>
      </w:r>
    </w:p>
    <w:p w14:paraId="4850FC9A" w14:textId="184281F6"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In individuals with poorly controlled Type 2 diabetes, chronic hyperglycaemia disrupts these metabolic processes. Excess glucose can lead to glycation of proteins, oxidative stress, and mitochondrial dysfunction, all of which impair cellular efficiency and contribute to long</w:t>
      </w:r>
      <w:r w:rsidRPr="00B75ED5">
        <w:rPr>
          <w:rFonts w:ascii="Arial" w:hAnsi="Arial" w:cs="Arial"/>
          <w:sz w:val="22"/>
          <w:szCs w:val="22"/>
        </w:rPr>
        <w:noBreakHyphen/>
        <w:t>term complications such as neuropathy and cardiovascular disease (NICE, 2021). Understanding the central role of glucose in energy production helps patients appreciate why maintaining stable blood sugar levels is fundamental to their overall health and wellbeing.</w:t>
      </w:r>
    </w:p>
    <w:p w14:paraId="0E549929" w14:textId="77777777" w:rsidR="005736B7" w:rsidRPr="00B75ED5" w:rsidRDefault="005736B7" w:rsidP="00B75ED5">
      <w:pPr>
        <w:spacing w:line="360" w:lineRule="auto"/>
        <w:rPr>
          <w:rFonts w:ascii="Arial" w:hAnsi="Arial" w:cs="Arial"/>
          <w:sz w:val="22"/>
          <w:szCs w:val="22"/>
        </w:rPr>
      </w:pPr>
    </w:p>
    <w:p w14:paraId="19A10478" w14:textId="10D18CAD" w:rsidR="005736B7" w:rsidRPr="00B75ED5" w:rsidRDefault="005736B7" w:rsidP="00B75ED5">
      <w:pPr>
        <w:spacing w:line="360" w:lineRule="auto"/>
        <w:rPr>
          <w:rFonts w:ascii="Arial" w:hAnsi="Arial" w:cs="Arial"/>
          <w:b/>
          <w:bCs/>
          <w:sz w:val="22"/>
          <w:szCs w:val="22"/>
        </w:rPr>
      </w:pPr>
      <w:r w:rsidRPr="00B75ED5">
        <w:rPr>
          <w:rFonts w:ascii="Arial" w:hAnsi="Arial" w:cs="Arial"/>
          <w:b/>
          <w:bCs/>
          <w:sz w:val="22"/>
          <w:szCs w:val="22"/>
        </w:rPr>
        <w:t>Recording and Tracking Blood Sugar Levels</w:t>
      </w:r>
    </w:p>
    <w:p w14:paraId="0ECB8513" w14:textId="1BA3B8A1"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Accurate and consistent monitoring of blood glucose levels is a fundamental component of effective Type 2 diabetes self</w:t>
      </w:r>
      <w:r w:rsidRPr="00B75ED5">
        <w:rPr>
          <w:rFonts w:ascii="Arial" w:hAnsi="Arial" w:cs="Arial"/>
          <w:sz w:val="22"/>
          <w:szCs w:val="22"/>
        </w:rPr>
        <w:noBreakHyphen/>
        <w:t xml:space="preserve">management. As a practice nurse, I frequently observe that patients who regularly record their readings develop a clearer understanding of how their </w:t>
      </w:r>
      <w:r w:rsidRPr="00B75ED5">
        <w:rPr>
          <w:rFonts w:ascii="Arial" w:hAnsi="Arial" w:cs="Arial"/>
          <w:sz w:val="22"/>
          <w:szCs w:val="22"/>
        </w:rPr>
        <w:lastRenderedPageBreak/>
        <w:t>daily behaviours, dietary choices, and medication adherence influence their glycaemic control. Blood glucose monitoring provides immediate, personalised data that reflects the dynamic nature of glucose regulation and enables individuals to identify patterns, fluctuations, and potential triggers for hyperglycaemia or hypoglycaemia (NICE, 2021).</w:t>
      </w:r>
    </w:p>
    <w:p w14:paraId="2E028191" w14:textId="3F4F0E70"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Tracking blood glucose levels over time allows patients to observe the impact of meals, physical activity, stress, illness, and sleep on their readings. This longitudinal data supports more informed decision</w:t>
      </w:r>
      <w:r w:rsidRPr="00B75ED5">
        <w:rPr>
          <w:rFonts w:ascii="Arial" w:hAnsi="Arial" w:cs="Arial"/>
          <w:sz w:val="22"/>
          <w:szCs w:val="22"/>
        </w:rPr>
        <w:noBreakHyphen/>
        <w:t>making and encourages individuals to take an active role in adjusting their lifestyle behaviours in line with clinical advice. For example, patients may recognise that certain carbohydrate</w:t>
      </w:r>
      <w:r w:rsidRPr="00B75ED5">
        <w:rPr>
          <w:rFonts w:ascii="Arial" w:hAnsi="Arial" w:cs="Arial"/>
          <w:sz w:val="22"/>
          <w:szCs w:val="22"/>
        </w:rPr>
        <w:noBreakHyphen/>
        <w:t>dense foods cause significant post</w:t>
      </w:r>
      <w:r w:rsidRPr="00B75ED5">
        <w:rPr>
          <w:rFonts w:ascii="Arial" w:hAnsi="Arial" w:cs="Arial"/>
          <w:sz w:val="22"/>
          <w:szCs w:val="22"/>
        </w:rPr>
        <w:noBreakHyphen/>
        <w:t>prandial spikes, or that moderate exercise contributes to improved glucose stability. Without systematic monitoring, these relationships often remain unclear, limiting the patient’s ability to engage meaningfully with their care plan (Department of Health and Social Care, 2014).</w:t>
      </w:r>
    </w:p>
    <w:p w14:paraId="0E28E5E5" w14:textId="6419F951"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From a clinical perspective, recorded blood glucose data is essential for evaluating treatment effectiveness and tailoring interventions. Regular monitoring enables healthcare professionals to assess whether current medication regimens, such as metformin or insulin therapy, are achieving the desired therapeutic outcomes. It also allows early identification of deteriorating glycaemic control, prompting timely adjustments to treatment before complications arise. NICE (2021) emphasises that structured self</w:t>
      </w:r>
      <w:r w:rsidRPr="00B75ED5">
        <w:rPr>
          <w:rFonts w:ascii="Arial" w:hAnsi="Arial" w:cs="Arial"/>
          <w:sz w:val="22"/>
          <w:szCs w:val="22"/>
        </w:rPr>
        <w:noBreakHyphen/>
        <w:t>monitoring is particularly important for individuals at risk of hypoglycaemia, those using insulin, and those experiencing fluctuating glucose levels.</w:t>
      </w:r>
    </w:p>
    <w:p w14:paraId="52120220" w14:textId="719E8591"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Furthermore, tracking blood glucose supports patient empowerment and enhances self</w:t>
      </w:r>
      <w:r w:rsidRPr="00B75ED5">
        <w:rPr>
          <w:rFonts w:ascii="Arial" w:hAnsi="Arial" w:cs="Arial"/>
          <w:sz w:val="22"/>
          <w:szCs w:val="22"/>
        </w:rPr>
        <w:noBreakHyphen/>
        <w:t>efficacy. When individuals can visualise their progress, they are more likely to remain motivated and adhere to recommended lifestyle changes. This aligns with the broader principles of person</w:t>
      </w:r>
      <w:r w:rsidRPr="00B75ED5">
        <w:rPr>
          <w:rFonts w:ascii="Arial" w:hAnsi="Arial" w:cs="Arial"/>
          <w:sz w:val="22"/>
          <w:szCs w:val="22"/>
        </w:rPr>
        <w:noBreakHyphen/>
        <w:t>centred care, which emphasise shared decision</w:t>
      </w:r>
      <w:r w:rsidRPr="00B75ED5">
        <w:rPr>
          <w:rFonts w:ascii="Arial" w:hAnsi="Arial" w:cs="Arial"/>
          <w:sz w:val="22"/>
          <w:szCs w:val="22"/>
        </w:rPr>
        <w:noBreakHyphen/>
        <w:t>making and active patient involvement in managing long</w:t>
      </w:r>
      <w:r w:rsidRPr="00B75ED5">
        <w:rPr>
          <w:rFonts w:ascii="Arial" w:hAnsi="Arial" w:cs="Arial"/>
          <w:sz w:val="22"/>
          <w:szCs w:val="22"/>
        </w:rPr>
        <w:noBreakHyphen/>
        <w:t>term conditions (NHS England, 2012). By understanding the significance of their readings, patients become partners in their own care rather than passive recipients of clinical instruction.</w:t>
      </w:r>
    </w:p>
    <w:p w14:paraId="252FB3FA" w14:textId="43E85435"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Overall, recording and tracking blood glucose levels is a vital tool for promoting safety, preventing complications, and supporting individuals to manage their diabetes with greater confidence and autonomy.</w:t>
      </w:r>
    </w:p>
    <w:p w14:paraId="75B947C2" w14:textId="77777777" w:rsidR="005736B7" w:rsidRPr="00B75ED5" w:rsidRDefault="005736B7" w:rsidP="00B75ED5">
      <w:pPr>
        <w:spacing w:line="360" w:lineRule="auto"/>
        <w:rPr>
          <w:rFonts w:ascii="Arial" w:hAnsi="Arial" w:cs="Arial"/>
          <w:sz w:val="22"/>
          <w:szCs w:val="22"/>
        </w:rPr>
      </w:pPr>
    </w:p>
    <w:p w14:paraId="688C3321" w14:textId="53FA0DDF" w:rsidR="005736B7" w:rsidRPr="00B75ED5" w:rsidRDefault="005736B7" w:rsidP="00B75ED5">
      <w:pPr>
        <w:spacing w:line="360" w:lineRule="auto"/>
        <w:rPr>
          <w:rFonts w:ascii="Arial" w:hAnsi="Arial" w:cs="Arial"/>
          <w:b/>
          <w:bCs/>
          <w:sz w:val="22"/>
          <w:szCs w:val="22"/>
        </w:rPr>
      </w:pPr>
      <w:r w:rsidRPr="00B75ED5">
        <w:rPr>
          <w:rFonts w:ascii="Arial" w:hAnsi="Arial" w:cs="Arial"/>
          <w:b/>
          <w:bCs/>
          <w:sz w:val="22"/>
          <w:szCs w:val="22"/>
        </w:rPr>
        <w:t>Evidence</w:t>
      </w:r>
      <w:r w:rsidRPr="00B75ED5">
        <w:rPr>
          <w:rFonts w:ascii="Arial" w:hAnsi="Arial" w:cs="Arial"/>
          <w:b/>
          <w:bCs/>
          <w:sz w:val="22"/>
          <w:szCs w:val="22"/>
        </w:rPr>
        <w:noBreakHyphen/>
        <w:t>Based Lifestyle Recommendations</w:t>
      </w:r>
    </w:p>
    <w:p w14:paraId="6C3FF23A" w14:textId="3FBA139A"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 xml:space="preserve">Lifestyle modification is a central component of effective Type 2 diabetes management, and evidence consistently demonstrates that targeted behavioural changes can significantly </w:t>
      </w:r>
      <w:r w:rsidRPr="00B75ED5">
        <w:rPr>
          <w:rFonts w:ascii="Arial" w:hAnsi="Arial" w:cs="Arial"/>
          <w:sz w:val="22"/>
          <w:szCs w:val="22"/>
        </w:rPr>
        <w:lastRenderedPageBreak/>
        <w:t>improve glycaemic control, reduce insulin resistance, and lower the risk of long</w:t>
      </w:r>
      <w:r w:rsidRPr="00B75ED5">
        <w:rPr>
          <w:rFonts w:ascii="Arial" w:hAnsi="Arial" w:cs="Arial"/>
          <w:sz w:val="22"/>
          <w:szCs w:val="22"/>
        </w:rPr>
        <w:noBreakHyphen/>
        <w:t>term complications. As a practice nurse, I frequently observe that patients who understand the physiological rationale behind lifestyle advice are more likely to engage with their care plans and sustain meaningful change. One of the most important lifestyle factors is diet. Excessive intake of refined carbohydrates, saturated fats, and high</w:t>
      </w:r>
      <w:r w:rsidRPr="00B75ED5">
        <w:rPr>
          <w:rFonts w:ascii="Arial" w:hAnsi="Arial" w:cs="Arial"/>
          <w:sz w:val="22"/>
          <w:szCs w:val="22"/>
        </w:rPr>
        <w:noBreakHyphen/>
        <w:t>calorie foods contributes to weight gain and exacerbates insulin resistance. Evidence from NICE (2021) indicates that adopting a balanced diet rich in whole grains, lean proteins, vegetables, and unsaturated fats can improve metabolic outcomes by stabilising post</w:t>
      </w:r>
      <w:r w:rsidRPr="00B75ED5">
        <w:rPr>
          <w:rFonts w:ascii="Arial" w:hAnsi="Arial" w:cs="Arial"/>
          <w:sz w:val="22"/>
          <w:szCs w:val="22"/>
        </w:rPr>
        <w:noBreakHyphen/>
        <w:t>prandial glucose levels and reducing overall caloric load. Weight reduction of even 5–10% has been shown to significantly enhance insulin sensitivity and improve glycaemic control.</w:t>
      </w:r>
    </w:p>
    <w:p w14:paraId="1D5011CA" w14:textId="3BE6BF90"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Physical activity is another critical factor. Regular exercise increases glucose uptake by skeletal muscle through insulin</w:t>
      </w:r>
      <w:r w:rsidRPr="00B75ED5">
        <w:rPr>
          <w:rFonts w:ascii="Arial" w:hAnsi="Arial" w:cs="Arial"/>
          <w:sz w:val="22"/>
          <w:szCs w:val="22"/>
        </w:rPr>
        <w:noBreakHyphen/>
        <w:t>dependent and insulin</w:t>
      </w:r>
      <w:r w:rsidRPr="00B75ED5">
        <w:rPr>
          <w:rFonts w:ascii="Arial" w:hAnsi="Arial" w:cs="Arial"/>
          <w:sz w:val="22"/>
          <w:szCs w:val="22"/>
        </w:rPr>
        <w:noBreakHyphen/>
        <w:t>independent pathways, thereby lowering circulating glucose levels and improving cardiovascular health. NHS England (2022) recommends at least 150 minutes of moderate</w:t>
      </w:r>
      <w:r w:rsidRPr="00B75ED5">
        <w:rPr>
          <w:rFonts w:ascii="Arial" w:hAnsi="Arial" w:cs="Arial"/>
          <w:sz w:val="22"/>
          <w:szCs w:val="22"/>
        </w:rPr>
        <w:noBreakHyphen/>
        <w:t>intensity activity per week for adults with Type 2 diabetes, emphasising that both aerobic exercise and resistance training contribute to improved metabolic function. Patients who incorporate structured physical activity into their routines often experience enhanced energy levels, improved mood, and greater confidence in managing their condition.</w:t>
      </w:r>
    </w:p>
    <w:p w14:paraId="67A4C33F" w14:textId="57147165"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Smoking cessation is also essential. Smoking exacerbates insulin resistance, increases systemic inflammation, and significantly elevates the risk of cardiovascular disease, which is already heightened in individuals with diabetes. NICE (2021) highlights that smokers with diabetes have poorer glycaemic control and a higher incidence of complications such as nephropathy and neuropathy. Supporting patients to access smoking cessation services, behavioural counselling, and nicotine replacement therapies can therefore play a vital role in improving long</w:t>
      </w:r>
      <w:r w:rsidRPr="00B75ED5">
        <w:rPr>
          <w:rFonts w:ascii="Arial" w:hAnsi="Arial" w:cs="Arial"/>
          <w:sz w:val="22"/>
          <w:szCs w:val="22"/>
        </w:rPr>
        <w:noBreakHyphen/>
        <w:t>term outcomes.</w:t>
      </w:r>
    </w:p>
    <w:p w14:paraId="500DD737" w14:textId="2245ECA9"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Alcohol consumption should also be addressed. Excessive alcohol intake can cause unpredictable fluctuations in blood glucose levels, contribute to weight gain, and impair liver function. Encouraging patients to follow recommended alcohol limits and to avoid drinking on an empty stomach can help reduce the risk of hypoglycaemia and improve metabolic stability.</w:t>
      </w:r>
    </w:p>
    <w:p w14:paraId="6516B829" w14:textId="6D7D1F58" w:rsidR="005736B7" w:rsidRPr="00B75ED5" w:rsidRDefault="005736B7" w:rsidP="00B75ED5">
      <w:pPr>
        <w:spacing w:line="360" w:lineRule="auto"/>
        <w:rPr>
          <w:rFonts w:ascii="Arial" w:hAnsi="Arial" w:cs="Arial"/>
          <w:sz w:val="22"/>
          <w:szCs w:val="22"/>
        </w:rPr>
      </w:pPr>
      <w:r w:rsidRPr="00B75ED5">
        <w:rPr>
          <w:rFonts w:ascii="Arial" w:hAnsi="Arial" w:cs="Arial"/>
          <w:sz w:val="22"/>
          <w:szCs w:val="22"/>
        </w:rPr>
        <w:t>Finally, adequate sleep, stress management, and regular attendance at diabetic review appointments are essential components of holistic care. Chronic stress and poor sleep quality increase cortisol levels, which can raise blood glucose and undermine self</w:t>
      </w:r>
      <w:r w:rsidRPr="00B75ED5">
        <w:rPr>
          <w:rFonts w:ascii="Arial" w:hAnsi="Arial" w:cs="Arial"/>
          <w:sz w:val="22"/>
          <w:szCs w:val="22"/>
        </w:rPr>
        <w:noBreakHyphen/>
        <w:t xml:space="preserve">management efforts. Encouraging patients to adopt relaxation strategies, maintain </w:t>
      </w:r>
      <w:r w:rsidRPr="00B75ED5">
        <w:rPr>
          <w:rFonts w:ascii="Arial" w:hAnsi="Arial" w:cs="Arial"/>
          <w:sz w:val="22"/>
          <w:szCs w:val="22"/>
        </w:rPr>
        <w:lastRenderedPageBreak/>
        <w:t>consistent sleep routines, and engage with ongoing clinical support can significantly enhance their ability to manage their condition effectively.</w:t>
      </w:r>
    </w:p>
    <w:p w14:paraId="72E3B1CF" w14:textId="1A418BCB" w:rsidR="005736B7" w:rsidRPr="00B75ED5" w:rsidRDefault="00B75ED5" w:rsidP="00B75ED5">
      <w:pPr>
        <w:spacing w:line="360" w:lineRule="auto"/>
        <w:rPr>
          <w:rFonts w:ascii="Arial" w:hAnsi="Arial" w:cs="Arial"/>
          <w:b/>
          <w:bCs/>
          <w:sz w:val="22"/>
          <w:szCs w:val="22"/>
        </w:rPr>
      </w:pPr>
      <w:r w:rsidRPr="00B75ED5">
        <w:rPr>
          <w:rFonts w:ascii="Arial" w:hAnsi="Arial" w:cs="Arial"/>
          <w:b/>
          <w:bCs/>
          <w:sz w:val="22"/>
          <w:szCs w:val="22"/>
        </w:rPr>
        <w:t>Conclusion</w:t>
      </w:r>
    </w:p>
    <w:p w14:paraId="20F7DCE7" w14:textId="41A1E7C6" w:rsidR="00B75ED5" w:rsidRPr="00B75ED5" w:rsidRDefault="00B75ED5" w:rsidP="00B75ED5">
      <w:pPr>
        <w:spacing w:line="360" w:lineRule="auto"/>
        <w:rPr>
          <w:rFonts w:ascii="Arial" w:hAnsi="Arial" w:cs="Arial"/>
          <w:sz w:val="22"/>
          <w:szCs w:val="22"/>
        </w:rPr>
      </w:pPr>
      <w:r w:rsidRPr="00B75ED5">
        <w:rPr>
          <w:rFonts w:ascii="Arial" w:hAnsi="Arial" w:cs="Arial"/>
          <w:sz w:val="22"/>
          <w:szCs w:val="22"/>
        </w:rPr>
        <w:t>In my role as a practice nurse, supporting individuals with Type 2 diabetes requires not only clinical intervention but also the provision of clear, evidence</w:t>
      </w:r>
      <w:r w:rsidRPr="00B75ED5">
        <w:rPr>
          <w:rFonts w:ascii="Arial" w:hAnsi="Arial" w:cs="Arial"/>
          <w:sz w:val="22"/>
          <w:szCs w:val="22"/>
        </w:rPr>
        <w:noBreakHyphen/>
        <w:t>based education that enables patients to understand the physiological basis of their condition. This report has demonstrated that diabetes is a complex metabolic disorder characterised by impaired insulin secretion, insulin resistance, and chronic hyperglycaemia, all of which disrupt the body’s ability to maintain stable blood glucose levels. A detailed examination of glucose regulation has shown how insulin and glucagon operate in a finely balanced hormonal system to ensure that glucose remains within a safe and effective range. When this system becomes dysregulated, as in Type 2 diabetes, the consequences extend beyond impaired energy metabolism to include significant long</w:t>
      </w:r>
      <w:r w:rsidRPr="00B75ED5">
        <w:rPr>
          <w:rFonts w:ascii="Arial" w:hAnsi="Arial" w:cs="Arial"/>
          <w:sz w:val="22"/>
          <w:szCs w:val="22"/>
        </w:rPr>
        <w:noBreakHyphen/>
        <w:t>term risks such as cardiovascular disease, neuropathy, and renal impairment.</w:t>
      </w:r>
    </w:p>
    <w:p w14:paraId="5ACF9157" w14:textId="5A65464D" w:rsidR="00B75ED5" w:rsidRPr="00B75ED5" w:rsidRDefault="00B75ED5" w:rsidP="00B75ED5">
      <w:pPr>
        <w:spacing w:line="360" w:lineRule="auto"/>
        <w:rPr>
          <w:rFonts w:ascii="Arial" w:hAnsi="Arial" w:cs="Arial"/>
          <w:sz w:val="22"/>
          <w:szCs w:val="22"/>
        </w:rPr>
      </w:pPr>
      <w:r w:rsidRPr="00B75ED5">
        <w:rPr>
          <w:rFonts w:ascii="Arial" w:hAnsi="Arial" w:cs="Arial"/>
          <w:sz w:val="22"/>
          <w:szCs w:val="22"/>
        </w:rPr>
        <w:t>Understanding the role of glucose and oxygen in cellular metabolism further highlights why maintaining stable blood sugar levels is essential for sustaining normal physiological function. Aerobic metabolism provides the majority of the body’s ATP, and chronic hyperglycaemia can impair mitochondrial efficiency, increase oxidative stress, and contribute to the development of complications. This reinforces the importance of regular monitoring, as tracking blood glucose levels enables patients to identify patterns, understand the impact of lifestyle behaviours, and engage more effectively with their care plans.</w:t>
      </w:r>
    </w:p>
    <w:p w14:paraId="255DE493" w14:textId="5202DCD3" w:rsidR="00B75ED5" w:rsidRPr="00B75ED5" w:rsidRDefault="00B75ED5" w:rsidP="00B75ED5">
      <w:pPr>
        <w:spacing w:line="360" w:lineRule="auto"/>
        <w:rPr>
          <w:rFonts w:ascii="Arial" w:hAnsi="Arial" w:cs="Arial"/>
          <w:sz w:val="22"/>
          <w:szCs w:val="22"/>
        </w:rPr>
      </w:pPr>
      <w:r w:rsidRPr="00B75ED5">
        <w:rPr>
          <w:rFonts w:ascii="Arial" w:hAnsi="Arial" w:cs="Arial"/>
          <w:sz w:val="22"/>
          <w:szCs w:val="22"/>
        </w:rPr>
        <w:t>The evidence presented also demonstrates that lifestyle modification is a cornerstone of effective diabetes management. Dietary improvements increased physical activity, smoking cessation, moderated alcohol intake, and attention to sleep and stress can significantly enhance glycaemic control and overall health outcomes. These changes, when supported by structured education and ongoing clinical guidance, empower individuals to take an active role in managing their condition.</w:t>
      </w:r>
    </w:p>
    <w:p w14:paraId="6D680AE6" w14:textId="242C5A09" w:rsidR="00B75ED5" w:rsidRDefault="00B75ED5" w:rsidP="00B75ED5">
      <w:pPr>
        <w:spacing w:line="360" w:lineRule="auto"/>
        <w:rPr>
          <w:rFonts w:ascii="Arial" w:hAnsi="Arial" w:cs="Arial"/>
          <w:sz w:val="22"/>
          <w:szCs w:val="22"/>
        </w:rPr>
      </w:pPr>
      <w:r w:rsidRPr="00B75ED5">
        <w:rPr>
          <w:rFonts w:ascii="Arial" w:hAnsi="Arial" w:cs="Arial"/>
          <w:sz w:val="22"/>
          <w:szCs w:val="22"/>
        </w:rPr>
        <w:t>Overall, effective diabetes care requires a combination of physiological understanding, consistent monitoring, and sustained lifestyle change. By equipping patients with the knowledge and tools necessary to interpret their own health data, I can support them in achieving safer, more stable blood glucose levels and reducing the risk of long</w:t>
      </w:r>
      <w:r w:rsidRPr="00B75ED5">
        <w:rPr>
          <w:rFonts w:ascii="Arial" w:hAnsi="Arial" w:cs="Arial"/>
          <w:sz w:val="22"/>
          <w:szCs w:val="22"/>
        </w:rPr>
        <w:noBreakHyphen/>
        <w:t>term complications.</w:t>
      </w:r>
    </w:p>
    <w:p w14:paraId="333AAE7C" w14:textId="77777777" w:rsidR="00B75ED5" w:rsidRDefault="00B75ED5" w:rsidP="00B75ED5">
      <w:pPr>
        <w:spacing w:line="360" w:lineRule="auto"/>
        <w:rPr>
          <w:rFonts w:ascii="Arial" w:hAnsi="Arial" w:cs="Arial"/>
          <w:sz w:val="22"/>
          <w:szCs w:val="22"/>
        </w:rPr>
      </w:pPr>
    </w:p>
    <w:p w14:paraId="7E621F87" w14:textId="77777777" w:rsidR="00B75ED5" w:rsidRDefault="00B75ED5" w:rsidP="00B75ED5">
      <w:pPr>
        <w:spacing w:line="360" w:lineRule="auto"/>
        <w:rPr>
          <w:rFonts w:ascii="Arial" w:hAnsi="Arial" w:cs="Arial"/>
          <w:sz w:val="22"/>
          <w:szCs w:val="22"/>
        </w:rPr>
      </w:pPr>
    </w:p>
    <w:p w14:paraId="32E07CBD" w14:textId="77777777" w:rsidR="00B75ED5" w:rsidRDefault="00B75ED5" w:rsidP="00B75ED5">
      <w:pPr>
        <w:spacing w:line="360" w:lineRule="auto"/>
        <w:rPr>
          <w:rFonts w:ascii="Arial" w:hAnsi="Arial" w:cs="Arial"/>
          <w:sz w:val="22"/>
          <w:szCs w:val="22"/>
        </w:rPr>
      </w:pPr>
    </w:p>
    <w:p w14:paraId="619DB35D" w14:textId="77777777" w:rsidR="00B75ED5" w:rsidRDefault="00B75ED5" w:rsidP="00B75ED5">
      <w:pPr>
        <w:spacing w:line="360" w:lineRule="auto"/>
        <w:rPr>
          <w:rFonts w:ascii="Arial" w:hAnsi="Arial" w:cs="Arial"/>
          <w:sz w:val="22"/>
          <w:szCs w:val="22"/>
        </w:rPr>
      </w:pPr>
    </w:p>
    <w:p w14:paraId="0783A2D9" w14:textId="2984AAEB" w:rsidR="00B75ED5" w:rsidRDefault="00B75ED5" w:rsidP="00B75ED5">
      <w:pPr>
        <w:spacing w:line="360" w:lineRule="auto"/>
        <w:rPr>
          <w:rFonts w:ascii="Arial" w:hAnsi="Arial" w:cs="Arial"/>
          <w:b/>
          <w:bCs/>
          <w:sz w:val="22"/>
          <w:szCs w:val="22"/>
        </w:rPr>
      </w:pPr>
      <w:r w:rsidRPr="00B75ED5">
        <w:rPr>
          <w:rFonts w:ascii="Arial" w:hAnsi="Arial" w:cs="Arial"/>
          <w:b/>
          <w:bCs/>
          <w:sz w:val="22"/>
          <w:szCs w:val="22"/>
        </w:rPr>
        <w:t>Reference</w:t>
      </w:r>
      <w:r>
        <w:rPr>
          <w:rFonts w:ascii="Arial" w:hAnsi="Arial" w:cs="Arial"/>
          <w:b/>
          <w:bCs/>
          <w:sz w:val="22"/>
          <w:szCs w:val="22"/>
        </w:rPr>
        <w:t>s</w:t>
      </w:r>
    </w:p>
    <w:p w14:paraId="67D21B86" w14:textId="5218BD0E" w:rsidR="00B75ED5" w:rsidRPr="00B75ED5" w:rsidRDefault="00B75ED5" w:rsidP="00B75ED5">
      <w:pPr>
        <w:pStyle w:val="NormalWeb"/>
        <w:spacing w:line="360" w:lineRule="auto"/>
        <w:rPr>
          <w:rFonts w:ascii="Arial" w:hAnsi="Arial" w:cs="Arial"/>
          <w:sz w:val="22"/>
          <w:szCs w:val="22"/>
        </w:rPr>
      </w:pPr>
      <w:r w:rsidRPr="00B75ED5">
        <w:rPr>
          <w:rFonts w:ascii="Arial" w:hAnsi="Arial" w:cs="Arial"/>
          <w:sz w:val="22"/>
          <w:szCs w:val="22"/>
        </w:rPr>
        <w:t xml:space="preserve">Beauchamp, T. and Childress, J. (2019) </w:t>
      </w:r>
      <w:r w:rsidRPr="00B75ED5">
        <w:rPr>
          <w:rStyle w:val="Emphasis"/>
          <w:rFonts w:ascii="Arial" w:eastAsiaTheme="majorEastAsia" w:hAnsi="Arial" w:cs="Arial"/>
          <w:sz w:val="22"/>
          <w:szCs w:val="22"/>
        </w:rPr>
        <w:t>Principles of Biomedical Ethics</w:t>
      </w:r>
      <w:r w:rsidRPr="00B75ED5">
        <w:rPr>
          <w:rFonts w:ascii="Arial" w:hAnsi="Arial" w:cs="Arial"/>
          <w:sz w:val="22"/>
          <w:szCs w:val="22"/>
        </w:rPr>
        <w:t xml:space="preserve">. 8th </w:t>
      </w:r>
      <w:proofErr w:type="spellStart"/>
      <w:r w:rsidRPr="00B75ED5">
        <w:rPr>
          <w:rFonts w:ascii="Arial" w:hAnsi="Arial" w:cs="Arial"/>
          <w:sz w:val="22"/>
          <w:szCs w:val="22"/>
        </w:rPr>
        <w:t>edn</w:t>
      </w:r>
      <w:proofErr w:type="spellEnd"/>
      <w:r w:rsidRPr="00B75ED5">
        <w:rPr>
          <w:rFonts w:ascii="Arial" w:hAnsi="Arial" w:cs="Arial"/>
          <w:sz w:val="22"/>
          <w:szCs w:val="22"/>
        </w:rPr>
        <w:t xml:space="preserve">. Oxford: Oxford University Press, pp. 112–118. Available at: https://global.oup.com (Accessed: </w:t>
      </w:r>
      <w:r w:rsidR="005F2153">
        <w:rPr>
          <w:rFonts w:ascii="Arial" w:hAnsi="Arial" w:cs="Arial"/>
          <w:sz w:val="22"/>
          <w:szCs w:val="22"/>
        </w:rPr>
        <w:t xml:space="preserve">11 February </w:t>
      </w:r>
      <w:r w:rsidRPr="00B75ED5">
        <w:rPr>
          <w:rFonts w:ascii="Arial" w:hAnsi="Arial" w:cs="Arial"/>
          <w:sz w:val="22"/>
          <w:szCs w:val="22"/>
        </w:rPr>
        <w:t>2026).</w:t>
      </w:r>
    </w:p>
    <w:p w14:paraId="0276D653" w14:textId="50A53440" w:rsidR="00B75ED5" w:rsidRPr="00B75ED5" w:rsidRDefault="00B75ED5" w:rsidP="00B75ED5">
      <w:pPr>
        <w:pStyle w:val="NormalWeb"/>
        <w:spacing w:line="360" w:lineRule="auto"/>
        <w:rPr>
          <w:rFonts w:ascii="Arial" w:hAnsi="Arial" w:cs="Arial"/>
          <w:sz w:val="22"/>
          <w:szCs w:val="22"/>
        </w:rPr>
      </w:pPr>
      <w:r w:rsidRPr="00B75ED5">
        <w:rPr>
          <w:rFonts w:ascii="Arial" w:hAnsi="Arial" w:cs="Arial"/>
          <w:sz w:val="22"/>
          <w:szCs w:val="22"/>
        </w:rPr>
        <w:t xml:space="preserve">Department of Health and Social Care (2014) </w:t>
      </w:r>
      <w:r w:rsidRPr="00B75ED5">
        <w:rPr>
          <w:rStyle w:val="Emphasis"/>
          <w:rFonts w:ascii="Arial" w:eastAsiaTheme="majorEastAsia" w:hAnsi="Arial" w:cs="Arial"/>
          <w:sz w:val="22"/>
          <w:szCs w:val="22"/>
        </w:rPr>
        <w:t>Long Term Conditions Compendium of Information: Third Edition</w:t>
      </w:r>
      <w:r w:rsidRPr="00B75ED5">
        <w:rPr>
          <w:rFonts w:ascii="Arial" w:hAnsi="Arial" w:cs="Arial"/>
          <w:sz w:val="22"/>
          <w:szCs w:val="22"/>
        </w:rPr>
        <w:t xml:space="preserve">. London: DHSC, p. 45. Available at: </w:t>
      </w:r>
      <w:r w:rsidRPr="00B75ED5">
        <w:rPr>
          <w:rStyle w:val="HTMLCode"/>
          <w:rFonts w:ascii="Arial" w:eastAsiaTheme="majorEastAsia" w:hAnsi="Arial" w:cs="Arial"/>
          <w:sz w:val="22"/>
          <w:szCs w:val="22"/>
        </w:rPr>
        <w:t>https://www.gov.uk/government/publications/long-term-conditions-compendium-of-information-third-edition</w:t>
      </w:r>
      <w:r w:rsidRPr="00B75ED5">
        <w:rPr>
          <w:rFonts w:ascii="Arial" w:hAnsi="Arial" w:cs="Arial"/>
          <w:sz w:val="22"/>
          <w:szCs w:val="22"/>
        </w:rPr>
        <w:t xml:space="preserve"> (gov.uk in Bing) (Accessed: </w:t>
      </w:r>
      <w:r w:rsidR="005F2153">
        <w:rPr>
          <w:rFonts w:ascii="Arial" w:hAnsi="Arial" w:cs="Arial"/>
          <w:sz w:val="22"/>
          <w:szCs w:val="22"/>
        </w:rPr>
        <w:t>11 February</w:t>
      </w:r>
      <w:r w:rsidRPr="00B75ED5">
        <w:rPr>
          <w:rFonts w:ascii="Arial" w:hAnsi="Arial" w:cs="Arial"/>
          <w:sz w:val="22"/>
          <w:szCs w:val="22"/>
        </w:rPr>
        <w:t xml:space="preserve"> 2026).</w:t>
      </w:r>
    </w:p>
    <w:p w14:paraId="2408DE2F" w14:textId="1C676A6E" w:rsidR="00B75ED5" w:rsidRPr="00B75ED5" w:rsidRDefault="00B75ED5" w:rsidP="00B75ED5">
      <w:pPr>
        <w:pStyle w:val="NormalWeb"/>
        <w:spacing w:line="360" w:lineRule="auto"/>
        <w:rPr>
          <w:rFonts w:ascii="Arial" w:hAnsi="Arial" w:cs="Arial"/>
          <w:sz w:val="22"/>
          <w:szCs w:val="22"/>
        </w:rPr>
      </w:pPr>
      <w:r w:rsidRPr="00B75ED5">
        <w:rPr>
          <w:rFonts w:ascii="Arial" w:hAnsi="Arial" w:cs="Arial"/>
          <w:sz w:val="22"/>
          <w:szCs w:val="22"/>
        </w:rPr>
        <w:t xml:space="preserve">Maslow, A. (1943) ‘A Theory of Human Motivation’, </w:t>
      </w:r>
      <w:r w:rsidRPr="00B75ED5">
        <w:rPr>
          <w:rStyle w:val="Emphasis"/>
          <w:rFonts w:ascii="Arial" w:eastAsiaTheme="majorEastAsia" w:hAnsi="Arial" w:cs="Arial"/>
          <w:sz w:val="22"/>
          <w:szCs w:val="22"/>
        </w:rPr>
        <w:t>Psychological Review</w:t>
      </w:r>
      <w:r w:rsidRPr="00B75ED5">
        <w:rPr>
          <w:rFonts w:ascii="Arial" w:hAnsi="Arial" w:cs="Arial"/>
          <w:sz w:val="22"/>
          <w:szCs w:val="22"/>
        </w:rPr>
        <w:t xml:space="preserve">, 50(4), pp. 370–396. Available at: </w:t>
      </w:r>
      <w:r w:rsidRPr="00B75ED5">
        <w:rPr>
          <w:rStyle w:val="HTMLCode"/>
          <w:rFonts w:ascii="Arial" w:eastAsiaTheme="majorEastAsia" w:hAnsi="Arial" w:cs="Arial"/>
          <w:sz w:val="22"/>
          <w:szCs w:val="22"/>
        </w:rPr>
        <w:t>https://psychclassics.yorku.ca/Maslow/motivation.htm</w:t>
      </w:r>
      <w:r w:rsidRPr="00B75ED5">
        <w:rPr>
          <w:rFonts w:ascii="Arial" w:hAnsi="Arial" w:cs="Arial"/>
          <w:sz w:val="22"/>
          <w:szCs w:val="22"/>
        </w:rPr>
        <w:t xml:space="preserve"> (psychclassics.yorku.ca in Bing) (Accessed: </w:t>
      </w:r>
      <w:r w:rsidR="005F2153">
        <w:rPr>
          <w:rFonts w:ascii="Arial" w:hAnsi="Arial" w:cs="Arial"/>
          <w:sz w:val="22"/>
          <w:szCs w:val="22"/>
        </w:rPr>
        <w:t>11 February</w:t>
      </w:r>
      <w:r w:rsidR="005F2153" w:rsidRPr="00B75ED5">
        <w:rPr>
          <w:rFonts w:ascii="Arial" w:hAnsi="Arial" w:cs="Arial"/>
          <w:sz w:val="22"/>
          <w:szCs w:val="22"/>
        </w:rPr>
        <w:t xml:space="preserve"> </w:t>
      </w:r>
      <w:r w:rsidRPr="00B75ED5">
        <w:rPr>
          <w:rFonts w:ascii="Arial" w:hAnsi="Arial" w:cs="Arial"/>
          <w:sz w:val="22"/>
          <w:szCs w:val="22"/>
        </w:rPr>
        <w:t>2026).</w:t>
      </w:r>
    </w:p>
    <w:p w14:paraId="0340751E" w14:textId="6344B18F" w:rsidR="00B75ED5" w:rsidRPr="00B75ED5" w:rsidRDefault="00B75ED5" w:rsidP="00B75ED5">
      <w:pPr>
        <w:pStyle w:val="NormalWeb"/>
        <w:spacing w:line="360" w:lineRule="auto"/>
        <w:rPr>
          <w:rFonts w:ascii="Arial" w:hAnsi="Arial" w:cs="Arial"/>
          <w:sz w:val="22"/>
          <w:szCs w:val="22"/>
        </w:rPr>
      </w:pPr>
      <w:r w:rsidRPr="00B75ED5">
        <w:rPr>
          <w:rFonts w:ascii="Arial" w:hAnsi="Arial" w:cs="Arial"/>
          <w:sz w:val="22"/>
          <w:szCs w:val="22"/>
        </w:rPr>
        <w:t xml:space="preserve">NHS England (2012) </w:t>
      </w:r>
      <w:r w:rsidRPr="00B75ED5">
        <w:rPr>
          <w:rStyle w:val="Emphasis"/>
          <w:rFonts w:ascii="Arial" w:eastAsiaTheme="majorEastAsia" w:hAnsi="Arial" w:cs="Arial"/>
          <w:sz w:val="22"/>
          <w:szCs w:val="22"/>
        </w:rPr>
        <w:t>Long Term Conditions: Supporting Self</w:t>
      </w:r>
      <w:r w:rsidRPr="00B75ED5">
        <w:rPr>
          <w:rStyle w:val="Emphasis"/>
          <w:rFonts w:ascii="Arial" w:eastAsiaTheme="majorEastAsia" w:hAnsi="Arial" w:cs="Arial"/>
          <w:sz w:val="22"/>
          <w:szCs w:val="22"/>
        </w:rPr>
        <w:noBreakHyphen/>
        <w:t>Management</w:t>
      </w:r>
      <w:r w:rsidRPr="00B75ED5">
        <w:rPr>
          <w:rFonts w:ascii="Arial" w:hAnsi="Arial" w:cs="Arial"/>
          <w:sz w:val="22"/>
          <w:szCs w:val="22"/>
        </w:rPr>
        <w:t xml:space="preserve">. London: NHS England, p. 22. Available at: https://www.england.nhs.uk (Accessed: </w:t>
      </w:r>
      <w:r w:rsidR="005F2153">
        <w:rPr>
          <w:rFonts w:ascii="Arial" w:hAnsi="Arial" w:cs="Arial"/>
          <w:sz w:val="22"/>
          <w:szCs w:val="22"/>
        </w:rPr>
        <w:t>11 February</w:t>
      </w:r>
      <w:r w:rsidR="005F2153" w:rsidRPr="00B75ED5">
        <w:rPr>
          <w:rFonts w:ascii="Arial" w:hAnsi="Arial" w:cs="Arial"/>
          <w:sz w:val="22"/>
          <w:szCs w:val="22"/>
        </w:rPr>
        <w:t xml:space="preserve"> </w:t>
      </w:r>
      <w:r w:rsidRPr="00B75ED5">
        <w:rPr>
          <w:rFonts w:ascii="Arial" w:hAnsi="Arial" w:cs="Arial"/>
          <w:sz w:val="22"/>
          <w:szCs w:val="22"/>
        </w:rPr>
        <w:t>2026).</w:t>
      </w:r>
    </w:p>
    <w:p w14:paraId="5AD9A151" w14:textId="5C8A64C5" w:rsidR="00B75ED5" w:rsidRPr="00B75ED5" w:rsidRDefault="00B75ED5" w:rsidP="00B75ED5">
      <w:pPr>
        <w:pStyle w:val="NormalWeb"/>
        <w:spacing w:line="360" w:lineRule="auto"/>
        <w:rPr>
          <w:rFonts w:ascii="Arial" w:hAnsi="Arial" w:cs="Arial"/>
          <w:sz w:val="22"/>
          <w:szCs w:val="22"/>
        </w:rPr>
      </w:pPr>
      <w:r w:rsidRPr="00B75ED5">
        <w:rPr>
          <w:rFonts w:ascii="Arial" w:hAnsi="Arial" w:cs="Arial"/>
          <w:sz w:val="22"/>
          <w:szCs w:val="22"/>
        </w:rPr>
        <w:t xml:space="preserve">NHS England (2022) </w:t>
      </w:r>
      <w:r w:rsidRPr="00B75ED5">
        <w:rPr>
          <w:rStyle w:val="Emphasis"/>
          <w:rFonts w:ascii="Arial" w:eastAsiaTheme="majorEastAsia" w:hAnsi="Arial" w:cs="Arial"/>
          <w:sz w:val="22"/>
          <w:szCs w:val="22"/>
        </w:rPr>
        <w:t>Physical Activity Guidelines for Adults</w:t>
      </w:r>
      <w:r w:rsidRPr="00B75ED5">
        <w:rPr>
          <w:rFonts w:ascii="Arial" w:hAnsi="Arial" w:cs="Arial"/>
          <w:sz w:val="22"/>
          <w:szCs w:val="22"/>
        </w:rPr>
        <w:t xml:space="preserve">. London: NHS England, p. 14. Available at: https://www.nhs.uk/live-well/exercise (Accessed: </w:t>
      </w:r>
      <w:r w:rsidR="005F2153">
        <w:rPr>
          <w:rFonts w:ascii="Arial" w:hAnsi="Arial" w:cs="Arial"/>
          <w:sz w:val="22"/>
          <w:szCs w:val="22"/>
        </w:rPr>
        <w:t>11 February</w:t>
      </w:r>
      <w:r w:rsidR="005F2153" w:rsidRPr="00B75ED5">
        <w:rPr>
          <w:rFonts w:ascii="Arial" w:hAnsi="Arial" w:cs="Arial"/>
          <w:sz w:val="22"/>
          <w:szCs w:val="22"/>
        </w:rPr>
        <w:t xml:space="preserve"> </w:t>
      </w:r>
      <w:r w:rsidRPr="00B75ED5">
        <w:rPr>
          <w:rFonts w:ascii="Arial" w:hAnsi="Arial" w:cs="Arial"/>
          <w:sz w:val="22"/>
          <w:szCs w:val="22"/>
        </w:rPr>
        <w:t>2026).</w:t>
      </w:r>
    </w:p>
    <w:p w14:paraId="6A0E7AB7" w14:textId="7F9E1943" w:rsidR="00B75ED5" w:rsidRPr="00B75ED5" w:rsidRDefault="00B75ED5" w:rsidP="00B75ED5">
      <w:pPr>
        <w:pStyle w:val="NormalWeb"/>
        <w:spacing w:line="360" w:lineRule="auto"/>
        <w:rPr>
          <w:rFonts w:ascii="Arial" w:hAnsi="Arial" w:cs="Arial"/>
          <w:sz w:val="22"/>
          <w:szCs w:val="22"/>
        </w:rPr>
      </w:pPr>
      <w:r w:rsidRPr="00B75ED5">
        <w:rPr>
          <w:rFonts w:ascii="Arial" w:hAnsi="Arial" w:cs="Arial"/>
          <w:sz w:val="22"/>
          <w:szCs w:val="22"/>
        </w:rPr>
        <w:t xml:space="preserve">National Institute for Health and Care Excellence (NICE) (2021) </w:t>
      </w:r>
      <w:r w:rsidRPr="00B75ED5">
        <w:rPr>
          <w:rStyle w:val="Emphasis"/>
          <w:rFonts w:ascii="Arial" w:eastAsiaTheme="majorEastAsia" w:hAnsi="Arial" w:cs="Arial"/>
          <w:sz w:val="22"/>
          <w:szCs w:val="22"/>
        </w:rPr>
        <w:t>Type 2 Diabetes in Adults: Management (NG28)</w:t>
      </w:r>
      <w:r w:rsidRPr="00B75ED5">
        <w:rPr>
          <w:rFonts w:ascii="Arial" w:hAnsi="Arial" w:cs="Arial"/>
          <w:sz w:val="22"/>
          <w:szCs w:val="22"/>
        </w:rPr>
        <w:t xml:space="preserve">. London: NICE, pp. 5–18. Available at: https://www.nice.org.uk/guidance/ng28 (Accessed: </w:t>
      </w:r>
      <w:r w:rsidR="005F2153">
        <w:rPr>
          <w:rFonts w:ascii="Arial" w:hAnsi="Arial" w:cs="Arial"/>
          <w:sz w:val="22"/>
          <w:szCs w:val="22"/>
        </w:rPr>
        <w:t>11 February</w:t>
      </w:r>
      <w:r w:rsidR="005F2153" w:rsidRPr="00B75ED5">
        <w:rPr>
          <w:rFonts w:ascii="Arial" w:hAnsi="Arial" w:cs="Arial"/>
          <w:sz w:val="22"/>
          <w:szCs w:val="22"/>
        </w:rPr>
        <w:t xml:space="preserve"> </w:t>
      </w:r>
      <w:r w:rsidRPr="00B75ED5">
        <w:rPr>
          <w:rFonts w:ascii="Arial" w:hAnsi="Arial" w:cs="Arial"/>
          <w:sz w:val="22"/>
          <w:szCs w:val="22"/>
        </w:rPr>
        <w:t>2026).</w:t>
      </w:r>
    </w:p>
    <w:p w14:paraId="60753142" w14:textId="77777777" w:rsidR="00B75ED5" w:rsidRDefault="00B75ED5" w:rsidP="00B75ED5">
      <w:pPr>
        <w:spacing w:line="360" w:lineRule="auto"/>
        <w:rPr>
          <w:rFonts w:ascii="Arial" w:hAnsi="Arial" w:cs="Arial"/>
          <w:b/>
          <w:bCs/>
          <w:sz w:val="22"/>
          <w:szCs w:val="22"/>
        </w:rPr>
      </w:pPr>
    </w:p>
    <w:p w14:paraId="467BCBB5" w14:textId="77777777" w:rsidR="00B75ED5" w:rsidRPr="00B75ED5" w:rsidRDefault="00B75ED5" w:rsidP="00B75ED5">
      <w:pPr>
        <w:spacing w:line="360" w:lineRule="auto"/>
        <w:rPr>
          <w:rFonts w:ascii="Arial" w:hAnsi="Arial" w:cs="Arial"/>
          <w:b/>
          <w:bCs/>
          <w:sz w:val="22"/>
          <w:szCs w:val="22"/>
        </w:rPr>
      </w:pPr>
    </w:p>
    <w:p w14:paraId="7153CBA3" w14:textId="77777777" w:rsidR="00B75ED5" w:rsidRPr="00B75ED5" w:rsidRDefault="00B75ED5" w:rsidP="00E753F8">
      <w:pPr>
        <w:rPr>
          <w:b/>
          <w:bCs/>
        </w:rPr>
      </w:pPr>
    </w:p>
    <w:sectPr w:rsidR="00B75ED5" w:rsidRPr="00B75ED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75658" w14:textId="77777777" w:rsidR="00037F7E" w:rsidRDefault="00037F7E" w:rsidP="0005072F">
      <w:pPr>
        <w:spacing w:after="0" w:line="240" w:lineRule="auto"/>
      </w:pPr>
      <w:r>
        <w:separator/>
      </w:r>
    </w:p>
  </w:endnote>
  <w:endnote w:type="continuationSeparator" w:id="0">
    <w:p w14:paraId="6A6B35EE" w14:textId="77777777" w:rsidR="00037F7E" w:rsidRDefault="00037F7E" w:rsidP="00050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1218280"/>
      <w:docPartObj>
        <w:docPartGallery w:val="Page Numbers (Bottom of Page)"/>
        <w:docPartUnique/>
      </w:docPartObj>
    </w:sdtPr>
    <w:sdtContent>
      <w:p w14:paraId="04938336" w14:textId="43E748CA" w:rsidR="0005072F" w:rsidRDefault="0005072F">
        <w:pPr>
          <w:pStyle w:val="Footer"/>
          <w:jc w:val="center"/>
        </w:pPr>
        <w:r>
          <w:fldChar w:fldCharType="begin"/>
        </w:r>
        <w:r>
          <w:instrText>PAGE   \* MERGEFORMAT</w:instrText>
        </w:r>
        <w:r>
          <w:fldChar w:fldCharType="separate"/>
        </w:r>
        <w:r>
          <w:t>2</w:t>
        </w:r>
        <w:r>
          <w:fldChar w:fldCharType="end"/>
        </w:r>
      </w:p>
    </w:sdtContent>
  </w:sdt>
  <w:p w14:paraId="16E0F44B" w14:textId="77777777" w:rsidR="0005072F" w:rsidRDefault="00050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5A9F2" w14:textId="77777777" w:rsidR="00037F7E" w:rsidRDefault="00037F7E" w:rsidP="0005072F">
      <w:pPr>
        <w:spacing w:after="0" w:line="240" w:lineRule="auto"/>
      </w:pPr>
      <w:r>
        <w:separator/>
      </w:r>
    </w:p>
  </w:footnote>
  <w:footnote w:type="continuationSeparator" w:id="0">
    <w:p w14:paraId="17ED521A" w14:textId="77777777" w:rsidR="00037F7E" w:rsidRDefault="00037F7E" w:rsidP="000507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E0BE0"/>
    <w:multiLevelType w:val="multilevel"/>
    <w:tmpl w:val="75D61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30690"/>
    <w:multiLevelType w:val="multilevel"/>
    <w:tmpl w:val="085E5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336ECA"/>
    <w:multiLevelType w:val="multilevel"/>
    <w:tmpl w:val="16F8A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D83A63"/>
    <w:multiLevelType w:val="multilevel"/>
    <w:tmpl w:val="4AA8A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14531"/>
    <w:multiLevelType w:val="multilevel"/>
    <w:tmpl w:val="792CF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F47423"/>
    <w:multiLevelType w:val="multilevel"/>
    <w:tmpl w:val="85220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C508E4"/>
    <w:multiLevelType w:val="hybridMultilevel"/>
    <w:tmpl w:val="C59453D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7F3806"/>
    <w:multiLevelType w:val="multilevel"/>
    <w:tmpl w:val="E60AB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63448C"/>
    <w:multiLevelType w:val="multilevel"/>
    <w:tmpl w:val="D17E6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D82418"/>
    <w:multiLevelType w:val="multilevel"/>
    <w:tmpl w:val="D480B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88535D"/>
    <w:multiLevelType w:val="multilevel"/>
    <w:tmpl w:val="C3460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730A3A"/>
    <w:multiLevelType w:val="multilevel"/>
    <w:tmpl w:val="15A0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0500AE"/>
    <w:multiLevelType w:val="multilevel"/>
    <w:tmpl w:val="A5C6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5471C9"/>
    <w:multiLevelType w:val="hybridMultilevel"/>
    <w:tmpl w:val="D09A2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4A1D4A"/>
    <w:multiLevelType w:val="hybridMultilevel"/>
    <w:tmpl w:val="2BF238CA"/>
    <w:lvl w:ilvl="0" w:tplc="71CAE9E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D597439"/>
    <w:multiLevelType w:val="multilevel"/>
    <w:tmpl w:val="F5AC6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8034AA"/>
    <w:multiLevelType w:val="multilevel"/>
    <w:tmpl w:val="43C40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6D2CF0"/>
    <w:multiLevelType w:val="multilevel"/>
    <w:tmpl w:val="4FE0B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7A6080"/>
    <w:multiLevelType w:val="multilevel"/>
    <w:tmpl w:val="A6F21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5347E8"/>
    <w:multiLevelType w:val="multilevel"/>
    <w:tmpl w:val="C800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2407763">
    <w:abstractNumId w:val="9"/>
  </w:num>
  <w:num w:numId="2" w16cid:durableId="511528534">
    <w:abstractNumId w:val="2"/>
  </w:num>
  <w:num w:numId="3" w16cid:durableId="1787232316">
    <w:abstractNumId w:val="1"/>
  </w:num>
  <w:num w:numId="4" w16cid:durableId="1286884768">
    <w:abstractNumId w:val="15"/>
  </w:num>
  <w:num w:numId="5" w16cid:durableId="1148204895">
    <w:abstractNumId w:val="18"/>
  </w:num>
  <w:num w:numId="6" w16cid:durableId="464157599">
    <w:abstractNumId w:val="19"/>
  </w:num>
  <w:num w:numId="7" w16cid:durableId="546642953">
    <w:abstractNumId w:val="12"/>
  </w:num>
  <w:num w:numId="8" w16cid:durableId="341398525">
    <w:abstractNumId w:val="7"/>
  </w:num>
  <w:num w:numId="9" w16cid:durableId="694501113">
    <w:abstractNumId w:val="11"/>
  </w:num>
  <w:num w:numId="10" w16cid:durableId="189687295">
    <w:abstractNumId w:val="0"/>
  </w:num>
  <w:num w:numId="11" w16cid:durableId="1153640786">
    <w:abstractNumId w:val="8"/>
  </w:num>
  <w:num w:numId="12" w16cid:durableId="56977375">
    <w:abstractNumId w:val="16"/>
  </w:num>
  <w:num w:numId="13" w16cid:durableId="2130195102">
    <w:abstractNumId w:val="4"/>
  </w:num>
  <w:num w:numId="14" w16cid:durableId="352390747">
    <w:abstractNumId w:val="3"/>
  </w:num>
  <w:num w:numId="15" w16cid:durableId="1346400995">
    <w:abstractNumId w:val="17"/>
  </w:num>
  <w:num w:numId="16" w16cid:durableId="1698116273">
    <w:abstractNumId w:val="10"/>
  </w:num>
  <w:num w:numId="17" w16cid:durableId="388653593">
    <w:abstractNumId w:val="5"/>
  </w:num>
  <w:num w:numId="18" w16cid:durableId="335156888">
    <w:abstractNumId w:val="13"/>
  </w:num>
  <w:num w:numId="19" w16cid:durableId="467356202">
    <w:abstractNumId w:val="6"/>
  </w:num>
  <w:num w:numId="20" w16cid:durableId="193851436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72F"/>
    <w:rsid w:val="000260A9"/>
    <w:rsid w:val="00037F7E"/>
    <w:rsid w:val="0005072F"/>
    <w:rsid w:val="000D3D5D"/>
    <w:rsid w:val="00171AA2"/>
    <w:rsid w:val="002E417D"/>
    <w:rsid w:val="003A4E79"/>
    <w:rsid w:val="003B0867"/>
    <w:rsid w:val="0053268F"/>
    <w:rsid w:val="00547ECC"/>
    <w:rsid w:val="005736B7"/>
    <w:rsid w:val="005E1475"/>
    <w:rsid w:val="005F2153"/>
    <w:rsid w:val="00634B47"/>
    <w:rsid w:val="006C2929"/>
    <w:rsid w:val="00710083"/>
    <w:rsid w:val="00804950"/>
    <w:rsid w:val="00B75ED5"/>
    <w:rsid w:val="00BA4DD8"/>
    <w:rsid w:val="00BA7A58"/>
    <w:rsid w:val="00E753F8"/>
    <w:rsid w:val="00ED1321"/>
    <w:rsid w:val="00FE3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B91C4"/>
  <w15:chartTrackingRefBased/>
  <w15:docId w15:val="{2270FBAA-C06C-4C52-9073-B0EEE6CB4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72F"/>
  </w:style>
  <w:style w:type="paragraph" w:styleId="Heading1">
    <w:name w:val="heading 1"/>
    <w:basedOn w:val="Normal"/>
    <w:next w:val="Normal"/>
    <w:link w:val="Heading1Char"/>
    <w:uiPriority w:val="9"/>
    <w:qFormat/>
    <w:rsid w:val="000507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07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07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07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07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07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7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7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7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7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07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07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07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07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07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7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7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72F"/>
    <w:rPr>
      <w:rFonts w:eastAsiaTheme="majorEastAsia" w:cstheme="majorBidi"/>
      <w:color w:val="272727" w:themeColor="text1" w:themeTint="D8"/>
    </w:rPr>
  </w:style>
  <w:style w:type="paragraph" w:styleId="Title">
    <w:name w:val="Title"/>
    <w:basedOn w:val="Normal"/>
    <w:next w:val="Normal"/>
    <w:link w:val="TitleChar"/>
    <w:uiPriority w:val="10"/>
    <w:qFormat/>
    <w:rsid w:val="000507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7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7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7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72F"/>
    <w:pPr>
      <w:spacing w:before="160"/>
      <w:jc w:val="center"/>
    </w:pPr>
    <w:rPr>
      <w:i/>
      <w:iCs/>
      <w:color w:val="404040" w:themeColor="text1" w:themeTint="BF"/>
    </w:rPr>
  </w:style>
  <w:style w:type="character" w:customStyle="1" w:styleId="QuoteChar">
    <w:name w:val="Quote Char"/>
    <w:basedOn w:val="DefaultParagraphFont"/>
    <w:link w:val="Quote"/>
    <w:uiPriority w:val="29"/>
    <w:rsid w:val="0005072F"/>
    <w:rPr>
      <w:i/>
      <w:iCs/>
      <w:color w:val="404040" w:themeColor="text1" w:themeTint="BF"/>
    </w:rPr>
  </w:style>
  <w:style w:type="paragraph" w:styleId="ListParagraph">
    <w:name w:val="List Paragraph"/>
    <w:basedOn w:val="Normal"/>
    <w:uiPriority w:val="34"/>
    <w:qFormat/>
    <w:rsid w:val="0005072F"/>
    <w:pPr>
      <w:ind w:left="720"/>
      <w:contextualSpacing/>
    </w:pPr>
  </w:style>
  <w:style w:type="character" w:styleId="IntenseEmphasis">
    <w:name w:val="Intense Emphasis"/>
    <w:basedOn w:val="DefaultParagraphFont"/>
    <w:uiPriority w:val="21"/>
    <w:qFormat/>
    <w:rsid w:val="0005072F"/>
    <w:rPr>
      <w:i/>
      <w:iCs/>
      <w:color w:val="0F4761" w:themeColor="accent1" w:themeShade="BF"/>
    </w:rPr>
  </w:style>
  <w:style w:type="paragraph" w:styleId="IntenseQuote">
    <w:name w:val="Intense Quote"/>
    <w:basedOn w:val="Normal"/>
    <w:next w:val="Normal"/>
    <w:link w:val="IntenseQuoteChar"/>
    <w:uiPriority w:val="30"/>
    <w:qFormat/>
    <w:rsid w:val="000507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072F"/>
    <w:rPr>
      <w:i/>
      <w:iCs/>
      <w:color w:val="0F4761" w:themeColor="accent1" w:themeShade="BF"/>
    </w:rPr>
  </w:style>
  <w:style w:type="character" w:styleId="IntenseReference">
    <w:name w:val="Intense Reference"/>
    <w:basedOn w:val="DefaultParagraphFont"/>
    <w:uiPriority w:val="32"/>
    <w:qFormat/>
    <w:rsid w:val="0005072F"/>
    <w:rPr>
      <w:b/>
      <w:bCs/>
      <w:smallCaps/>
      <w:color w:val="0F4761" w:themeColor="accent1" w:themeShade="BF"/>
      <w:spacing w:val="5"/>
    </w:rPr>
  </w:style>
  <w:style w:type="paragraph" w:styleId="Header">
    <w:name w:val="header"/>
    <w:basedOn w:val="Normal"/>
    <w:link w:val="HeaderChar"/>
    <w:uiPriority w:val="99"/>
    <w:unhideWhenUsed/>
    <w:rsid w:val="00050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72F"/>
  </w:style>
  <w:style w:type="paragraph" w:styleId="Footer">
    <w:name w:val="footer"/>
    <w:basedOn w:val="Normal"/>
    <w:link w:val="FooterChar"/>
    <w:uiPriority w:val="99"/>
    <w:unhideWhenUsed/>
    <w:rsid w:val="00050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72F"/>
  </w:style>
  <w:style w:type="paragraph" w:styleId="NormalWeb">
    <w:name w:val="Normal (Web)"/>
    <w:basedOn w:val="Normal"/>
    <w:uiPriority w:val="99"/>
    <w:semiHidden/>
    <w:unhideWhenUsed/>
    <w:rsid w:val="00547E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47ECC"/>
    <w:rPr>
      <w:b/>
      <w:bCs/>
    </w:rPr>
  </w:style>
  <w:style w:type="character" w:styleId="Emphasis">
    <w:name w:val="Emphasis"/>
    <w:basedOn w:val="DefaultParagraphFont"/>
    <w:uiPriority w:val="20"/>
    <w:qFormat/>
    <w:rsid w:val="00BA7A58"/>
    <w:rPr>
      <w:i/>
      <w:iCs/>
    </w:rPr>
  </w:style>
  <w:style w:type="character" w:styleId="HTMLCode">
    <w:name w:val="HTML Code"/>
    <w:basedOn w:val="DefaultParagraphFont"/>
    <w:uiPriority w:val="99"/>
    <w:semiHidden/>
    <w:unhideWhenUsed/>
    <w:rsid w:val="00B75ED5"/>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96</TotalTime>
  <Pages>8</Pages>
  <Words>2583</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5</cp:revision>
  <dcterms:created xsi:type="dcterms:W3CDTF">2026-01-17T10:26:00Z</dcterms:created>
  <dcterms:modified xsi:type="dcterms:W3CDTF">2026-02-20T14:36:00Z</dcterms:modified>
</cp:coreProperties>
</file>