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04C584" w14:textId="77777777" w:rsidR="001435B7" w:rsidRDefault="001435B7" w:rsidP="001435B7">
      <w:pPr>
        <w:spacing w:before="400"/>
      </w:pPr>
    </w:p>
    <w:p w14:paraId="733D7B0C" w14:textId="77777777" w:rsidR="007D246A" w:rsidRPr="007D246A" w:rsidRDefault="007D246A" w:rsidP="007D246A">
      <w:pPr>
        <w:pStyle w:val="Heading1"/>
        <w:rPr>
          <w:color w:val="000000" w:themeColor="text1"/>
        </w:rPr>
      </w:pPr>
      <w:r w:rsidRPr="007D246A">
        <w:rPr>
          <w:color w:val="000000" w:themeColor="text1"/>
        </w:rPr>
        <w:t>Project Management</w:t>
      </w:r>
    </w:p>
    <w:p w14:paraId="18A66E4D" w14:textId="77777777" w:rsidR="007D246A" w:rsidRPr="007D246A" w:rsidRDefault="007D246A" w:rsidP="007D246A">
      <w:pPr>
        <w:pStyle w:val="Heading1"/>
        <w:rPr>
          <w:color w:val="000000" w:themeColor="text1"/>
        </w:rPr>
      </w:pPr>
      <w:r w:rsidRPr="007D246A">
        <w:rPr>
          <w:color w:val="000000" w:themeColor="text1"/>
        </w:rPr>
        <w:t>LCBB6006</w:t>
      </w:r>
    </w:p>
    <w:p w14:paraId="43E24C06" w14:textId="77777777" w:rsidR="007D246A" w:rsidRPr="007D246A" w:rsidRDefault="007D246A" w:rsidP="007D246A">
      <w:pPr>
        <w:pStyle w:val="Heading1"/>
        <w:rPr>
          <w:color w:val="000000" w:themeColor="text1"/>
        </w:rPr>
      </w:pPr>
      <w:r w:rsidRPr="007D246A">
        <w:rPr>
          <w:color w:val="000000" w:themeColor="text1"/>
        </w:rPr>
        <w:t>Component 1: Coursework:</w:t>
      </w:r>
      <w:r w:rsidRPr="007D246A">
        <w:rPr>
          <w:b/>
          <w:bCs/>
          <w:color w:val="000000" w:themeColor="text1"/>
        </w:rPr>
        <w:t xml:space="preserve"> </w:t>
      </w:r>
      <w:r w:rsidRPr="007D246A">
        <w:rPr>
          <w:color w:val="000000" w:themeColor="text1"/>
        </w:rPr>
        <w:t>Essay</w:t>
      </w:r>
    </w:p>
    <w:p w14:paraId="5B8B6A07" w14:textId="77777777" w:rsidR="007D246A" w:rsidRPr="007D246A" w:rsidRDefault="007D246A" w:rsidP="007D246A">
      <w:pPr>
        <w:pStyle w:val="Heading1"/>
        <w:rPr>
          <w:color w:val="000000" w:themeColor="text1"/>
        </w:rPr>
      </w:pPr>
      <w:r w:rsidRPr="007D246A">
        <w:rPr>
          <w:color w:val="000000" w:themeColor="text1"/>
        </w:rPr>
        <w:t xml:space="preserve">Lecturer: </w:t>
      </w:r>
      <w:proofErr w:type="spellStart"/>
      <w:r w:rsidRPr="007D246A">
        <w:rPr>
          <w:color w:val="000000" w:themeColor="text1"/>
        </w:rPr>
        <w:t>Dr.</w:t>
      </w:r>
      <w:proofErr w:type="spellEnd"/>
      <w:r w:rsidRPr="007D246A">
        <w:rPr>
          <w:color w:val="000000" w:themeColor="text1"/>
        </w:rPr>
        <w:t xml:space="preserve"> </w:t>
      </w:r>
      <w:proofErr w:type="spellStart"/>
      <w:r w:rsidRPr="007D246A">
        <w:rPr>
          <w:color w:val="000000" w:themeColor="text1"/>
        </w:rPr>
        <w:t>Shujun</w:t>
      </w:r>
      <w:proofErr w:type="spellEnd"/>
      <w:r w:rsidRPr="007D246A">
        <w:rPr>
          <w:color w:val="000000" w:themeColor="text1"/>
        </w:rPr>
        <w:t xml:space="preserve"> Xiao</w:t>
      </w:r>
    </w:p>
    <w:p w14:paraId="0E6F854F" w14:textId="594D9D09" w:rsidR="007D246A" w:rsidRPr="007D246A" w:rsidRDefault="007D246A" w:rsidP="007D246A">
      <w:pPr>
        <w:pStyle w:val="Heading1"/>
        <w:rPr>
          <w:color w:val="000000" w:themeColor="text1"/>
        </w:rPr>
      </w:pPr>
      <w:r w:rsidRPr="007D246A">
        <w:rPr>
          <w:color w:val="000000" w:themeColor="text1"/>
        </w:rPr>
        <w:t>Student:</w:t>
      </w:r>
      <w:r>
        <w:rPr>
          <w:color w:val="000000" w:themeColor="text1"/>
        </w:rPr>
        <w:t xml:space="preserve"> Daniela Munteanu</w:t>
      </w:r>
    </w:p>
    <w:p w14:paraId="02EA395D" w14:textId="76CF5BAF" w:rsidR="001435B7" w:rsidRDefault="007D246A" w:rsidP="007D246A">
      <w:pPr>
        <w:pStyle w:val="Heading1"/>
        <w:rPr>
          <w:color w:val="000000" w:themeColor="text1"/>
        </w:rPr>
      </w:pPr>
      <w:r w:rsidRPr="007D246A">
        <w:rPr>
          <w:color w:val="000000" w:themeColor="text1"/>
        </w:rPr>
        <w:t>22404</w:t>
      </w:r>
      <w:r>
        <w:rPr>
          <w:color w:val="000000" w:themeColor="text1"/>
        </w:rPr>
        <w:t>58</w:t>
      </w:r>
    </w:p>
    <w:p w14:paraId="1E2D66ED" w14:textId="4ED261AC" w:rsidR="007D246A" w:rsidRPr="007D246A" w:rsidRDefault="007D246A" w:rsidP="007D246A">
      <w:pPr>
        <w:spacing w:after="160" w:line="259" w:lineRule="auto"/>
      </w:pPr>
      <w:r>
        <w:br w:type="page"/>
      </w:r>
    </w:p>
    <w:p w14:paraId="6EA76419" w14:textId="77777777" w:rsidR="001435B7" w:rsidRDefault="001435B7" w:rsidP="001435B7">
      <w:pPr>
        <w:pStyle w:val="Heading1"/>
        <w:rPr>
          <w:rFonts w:ascii="Arial" w:eastAsia="Arial" w:hAnsi="Arial" w:cs="Arial"/>
          <w:b/>
          <w:bCs/>
          <w:color w:val="000000" w:themeColor="text1"/>
          <w:sz w:val="28"/>
          <w:szCs w:val="28"/>
        </w:rPr>
      </w:pPr>
      <w:bookmarkStart w:id="0" w:name="_Hlk233172444"/>
      <w:r w:rsidRPr="00FF6265">
        <w:rPr>
          <w:rFonts w:ascii="Arial" w:eastAsia="Arial" w:hAnsi="Arial" w:cs="Arial"/>
          <w:b/>
          <w:bCs/>
          <w:color w:val="000000" w:themeColor="text1"/>
          <w:sz w:val="28"/>
          <w:szCs w:val="28"/>
        </w:rPr>
        <w:lastRenderedPageBreak/>
        <w:t>TABLE OF CONTENTS</w:t>
      </w:r>
    </w:p>
    <w:p w14:paraId="262BC2D6" w14:textId="77777777" w:rsidR="00EC2C11" w:rsidRDefault="00EC2C11" w:rsidP="00EC2C11"/>
    <w:p w14:paraId="244E9777" w14:textId="77777777" w:rsidR="00EC2C11" w:rsidRDefault="00EC2C11" w:rsidP="00EC2C11"/>
    <w:p w14:paraId="1AC43917" w14:textId="77777777" w:rsidR="00EC2C11" w:rsidRPr="00EC2C11" w:rsidRDefault="00EC2C11" w:rsidP="00EC2C11"/>
    <w:bookmarkEnd w:id="0"/>
    <w:p w14:paraId="26B7FF95" w14:textId="499F2893" w:rsidR="001435B7" w:rsidRPr="00634677" w:rsidRDefault="001435B7" w:rsidP="00634677">
      <w:pPr>
        <w:spacing w:before="60" w:after="100" w:line="360" w:lineRule="auto"/>
        <w:jc w:val="both"/>
        <w:rPr>
          <w:sz w:val="24"/>
          <w:szCs w:val="24"/>
        </w:rPr>
      </w:pPr>
      <w:r w:rsidRPr="00634677">
        <w:rPr>
          <w:sz w:val="24"/>
          <w:szCs w:val="24"/>
        </w:rPr>
        <w:t>1. Introduction</w:t>
      </w:r>
      <w:r w:rsidR="00EC2C11">
        <w:rPr>
          <w:sz w:val="24"/>
          <w:szCs w:val="24"/>
        </w:rPr>
        <w:tab/>
      </w:r>
      <w:r w:rsidR="00EC2C11">
        <w:rPr>
          <w:sz w:val="24"/>
          <w:szCs w:val="24"/>
        </w:rPr>
        <w:tab/>
      </w:r>
      <w:r w:rsidR="00EC2C11">
        <w:rPr>
          <w:sz w:val="24"/>
          <w:szCs w:val="24"/>
        </w:rPr>
        <w:tab/>
      </w:r>
      <w:r w:rsidR="00EC2C11">
        <w:rPr>
          <w:sz w:val="24"/>
          <w:szCs w:val="24"/>
        </w:rPr>
        <w:tab/>
      </w:r>
      <w:r w:rsidR="00EC2C11">
        <w:rPr>
          <w:sz w:val="24"/>
          <w:szCs w:val="24"/>
        </w:rPr>
        <w:tab/>
      </w:r>
      <w:r w:rsidR="00EC2C11">
        <w:rPr>
          <w:sz w:val="24"/>
          <w:szCs w:val="24"/>
        </w:rPr>
        <w:tab/>
      </w:r>
      <w:r w:rsidR="00EC2C11">
        <w:rPr>
          <w:sz w:val="24"/>
          <w:szCs w:val="24"/>
        </w:rPr>
        <w:tab/>
      </w:r>
      <w:r w:rsidR="00EC2C11">
        <w:rPr>
          <w:sz w:val="24"/>
          <w:szCs w:val="24"/>
        </w:rPr>
        <w:tab/>
      </w:r>
      <w:r w:rsidR="00EC2C11">
        <w:rPr>
          <w:sz w:val="24"/>
          <w:szCs w:val="24"/>
        </w:rPr>
        <w:tab/>
        <w:t>3</w:t>
      </w:r>
    </w:p>
    <w:p w14:paraId="7BD4C247" w14:textId="3150D5AE" w:rsidR="001435B7" w:rsidRPr="00634677" w:rsidRDefault="001435B7" w:rsidP="00634677">
      <w:pPr>
        <w:spacing w:before="60" w:after="100" w:line="360" w:lineRule="auto"/>
        <w:jc w:val="both"/>
        <w:rPr>
          <w:sz w:val="24"/>
          <w:szCs w:val="24"/>
        </w:rPr>
      </w:pPr>
      <w:r w:rsidRPr="00634677">
        <w:rPr>
          <w:sz w:val="24"/>
          <w:szCs w:val="24"/>
        </w:rPr>
        <w:t>2. Purpose, Objectives and Scope of the Project</w:t>
      </w:r>
      <w:r w:rsidR="00EC2C11">
        <w:rPr>
          <w:sz w:val="24"/>
          <w:szCs w:val="24"/>
        </w:rPr>
        <w:tab/>
      </w:r>
      <w:r w:rsidR="00EC2C11">
        <w:rPr>
          <w:sz w:val="24"/>
          <w:szCs w:val="24"/>
        </w:rPr>
        <w:tab/>
      </w:r>
      <w:r w:rsidR="00EC2C11">
        <w:rPr>
          <w:sz w:val="24"/>
          <w:szCs w:val="24"/>
        </w:rPr>
        <w:tab/>
      </w:r>
      <w:r w:rsidR="00EC2C11">
        <w:rPr>
          <w:sz w:val="24"/>
          <w:szCs w:val="24"/>
        </w:rPr>
        <w:tab/>
        <w:t>3</w:t>
      </w:r>
    </w:p>
    <w:p w14:paraId="2C2E251D" w14:textId="533D0490" w:rsidR="001435B7" w:rsidRPr="00634677" w:rsidRDefault="001435B7" w:rsidP="00634677">
      <w:pPr>
        <w:spacing w:before="60" w:after="100" w:line="360" w:lineRule="auto"/>
        <w:jc w:val="both"/>
        <w:rPr>
          <w:sz w:val="24"/>
          <w:szCs w:val="24"/>
        </w:rPr>
      </w:pPr>
      <w:r w:rsidRPr="00634677">
        <w:rPr>
          <w:sz w:val="24"/>
          <w:szCs w:val="24"/>
        </w:rPr>
        <w:t>3. Main Body of Project</w:t>
      </w:r>
      <w:r w:rsidR="00EC2C11">
        <w:rPr>
          <w:sz w:val="24"/>
          <w:szCs w:val="24"/>
        </w:rPr>
        <w:tab/>
      </w:r>
      <w:r w:rsidR="00EC2C11">
        <w:rPr>
          <w:sz w:val="24"/>
          <w:szCs w:val="24"/>
        </w:rPr>
        <w:tab/>
      </w:r>
      <w:r w:rsidR="00EC2C11">
        <w:rPr>
          <w:sz w:val="24"/>
          <w:szCs w:val="24"/>
        </w:rPr>
        <w:tab/>
      </w:r>
      <w:r w:rsidR="00EC2C11">
        <w:rPr>
          <w:sz w:val="24"/>
          <w:szCs w:val="24"/>
        </w:rPr>
        <w:tab/>
      </w:r>
      <w:r w:rsidR="00EC2C11">
        <w:rPr>
          <w:sz w:val="24"/>
          <w:szCs w:val="24"/>
        </w:rPr>
        <w:tab/>
      </w:r>
      <w:r w:rsidR="00EC2C11">
        <w:rPr>
          <w:sz w:val="24"/>
          <w:szCs w:val="24"/>
        </w:rPr>
        <w:tab/>
      </w:r>
      <w:r w:rsidR="00EC2C11">
        <w:rPr>
          <w:sz w:val="24"/>
          <w:szCs w:val="24"/>
        </w:rPr>
        <w:tab/>
      </w:r>
      <w:r w:rsidR="00EC2C11">
        <w:rPr>
          <w:sz w:val="24"/>
          <w:szCs w:val="24"/>
        </w:rPr>
        <w:tab/>
        <w:t>4</w:t>
      </w:r>
    </w:p>
    <w:p w14:paraId="0152A52D" w14:textId="775731BB" w:rsidR="001435B7" w:rsidRPr="00634677" w:rsidRDefault="001435B7" w:rsidP="00634677">
      <w:pPr>
        <w:spacing w:before="60" w:after="100" w:line="360" w:lineRule="auto"/>
        <w:jc w:val="both"/>
        <w:rPr>
          <w:sz w:val="24"/>
          <w:szCs w:val="24"/>
        </w:rPr>
      </w:pPr>
      <w:r w:rsidRPr="00634677">
        <w:rPr>
          <w:sz w:val="24"/>
          <w:szCs w:val="24"/>
        </w:rPr>
        <w:t xml:space="preserve">    3.1  Results (Deliverables)</w:t>
      </w:r>
      <w:r w:rsidR="00EC2C11">
        <w:rPr>
          <w:sz w:val="24"/>
          <w:szCs w:val="24"/>
        </w:rPr>
        <w:tab/>
      </w:r>
      <w:r w:rsidR="00EC2C11">
        <w:rPr>
          <w:sz w:val="24"/>
          <w:szCs w:val="24"/>
        </w:rPr>
        <w:tab/>
      </w:r>
      <w:r w:rsidR="00EC2C11">
        <w:rPr>
          <w:sz w:val="24"/>
          <w:szCs w:val="24"/>
        </w:rPr>
        <w:tab/>
      </w:r>
      <w:r w:rsidR="00EC2C11">
        <w:rPr>
          <w:sz w:val="24"/>
          <w:szCs w:val="24"/>
        </w:rPr>
        <w:tab/>
      </w:r>
      <w:r w:rsidR="00EC2C11">
        <w:rPr>
          <w:sz w:val="24"/>
          <w:szCs w:val="24"/>
        </w:rPr>
        <w:tab/>
      </w:r>
      <w:r w:rsidR="00EC2C11">
        <w:rPr>
          <w:sz w:val="24"/>
          <w:szCs w:val="24"/>
        </w:rPr>
        <w:tab/>
      </w:r>
      <w:r w:rsidR="00EC2C11">
        <w:rPr>
          <w:sz w:val="24"/>
          <w:szCs w:val="24"/>
        </w:rPr>
        <w:tab/>
        <w:t>4</w:t>
      </w:r>
    </w:p>
    <w:p w14:paraId="5A976871" w14:textId="671BD130" w:rsidR="001435B7" w:rsidRPr="00634677" w:rsidRDefault="001435B7" w:rsidP="00634677">
      <w:pPr>
        <w:spacing w:before="60" w:after="100" w:line="360" w:lineRule="auto"/>
        <w:jc w:val="both"/>
        <w:rPr>
          <w:sz w:val="24"/>
          <w:szCs w:val="24"/>
        </w:rPr>
      </w:pPr>
      <w:r w:rsidRPr="00634677">
        <w:rPr>
          <w:sz w:val="24"/>
          <w:szCs w:val="24"/>
        </w:rPr>
        <w:t xml:space="preserve">    3.2  Stakeholders &amp; Communication Plan</w:t>
      </w:r>
      <w:r w:rsidR="00EC2C11">
        <w:rPr>
          <w:sz w:val="24"/>
          <w:szCs w:val="24"/>
        </w:rPr>
        <w:tab/>
      </w:r>
      <w:r w:rsidR="00EC2C11">
        <w:rPr>
          <w:sz w:val="24"/>
          <w:szCs w:val="24"/>
        </w:rPr>
        <w:tab/>
      </w:r>
      <w:r w:rsidR="00EC2C11">
        <w:rPr>
          <w:sz w:val="24"/>
          <w:szCs w:val="24"/>
        </w:rPr>
        <w:tab/>
      </w:r>
      <w:r w:rsidR="00EC2C11">
        <w:rPr>
          <w:sz w:val="24"/>
          <w:szCs w:val="24"/>
        </w:rPr>
        <w:tab/>
      </w:r>
      <w:r w:rsidR="00EC2C11">
        <w:rPr>
          <w:sz w:val="24"/>
          <w:szCs w:val="24"/>
        </w:rPr>
        <w:tab/>
        <w:t>5</w:t>
      </w:r>
    </w:p>
    <w:p w14:paraId="7D8EA09F" w14:textId="3134FAD3" w:rsidR="001435B7" w:rsidRPr="00634677" w:rsidRDefault="001435B7" w:rsidP="00634677">
      <w:pPr>
        <w:spacing w:before="60" w:after="100" w:line="360" w:lineRule="auto"/>
        <w:jc w:val="both"/>
        <w:rPr>
          <w:sz w:val="24"/>
          <w:szCs w:val="24"/>
        </w:rPr>
      </w:pPr>
      <w:r w:rsidRPr="00634677">
        <w:rPr>
          <w:sz w:val="24"/>
          <w:szCs w:val="24"/>
        </w:rPr>
        <w:t xml:space="preserve">    3.3  Activities and Work Breakdown Structure (WBS)</w:t>
      </w:r>
      <w:r w:rsidR="00EC2C11">
        <w:rPr>
          <w:sz w:val="24"/>
          <w:szCs w:val="24"/>
        </w:rPr>
        <w:tab/>
      </w:r>
      <w:r w:rsidR="00EC2C11">
        <w:rPr>
          <w:sz w:val="24"/>
          <w:szCs w:val="24"/>
        </w:rPr>
        <w:tab/>
      </w:r>
      <w:r w:rsidR="00EC2C11">
        <w:rPr>
          <w:sz w:val="24"/>
          <w:szCs w:val="24"/>
        </w:rPr>
        <w:tab/>
        <w:t>7</w:t>
      </w:r>
    </w:p>
    <w:p w14:paraId="63B4FCCE" w14:textId="58874911" w:rsidR="001435B7" w:rsidRPr="00634677" w:rsidRDefault="001435B7" w:rsidP="00634677">
      <w:pPr>
        <w:spacing w:before="60" w:after="100" w:line="360" w:lineRule="auto"/>
        <w:jc w:val="both"/>
        <w:rPr>
          <w:sz w:val="24"/>
          <w:szCs w:val="24"/>
        </w:rPr>
      </w:pPr>
      <w:r w:rsidRPr="00634677">
        <w:rPr>
          <w:sz w:val="24"/>
          <w:szCs w:val="24"/>
        </w:rPr>
        <w:t xml:space="preserve">    3.4  Activities, Milestones and Responsibilities</w:t>
      </w:r>
      <w:r w:rsidR="00EC2C11">
        <w:rPr>
          <w:sz w:val="24"/>
          <w:szCs w:val="24"/>
        </w:rPr>
        <w:tab/>
      </w:r>
      <w:r w:rsidR="00EC2C11">
        <w:rPr>
          <w:sz w:val="24"/>
          <w:szCs w:val="24"/>
        </w:rPr>
        <w:tab/>
      </w:r>
      <w:r w:rsidR="00EC2C11">
        <w:rPr>
          <w:sz w:val="24"/>
          <w:szCs w:val="24"/>
        </w:rPr>
        <w:tab/>
      </w:r>
      <w:r w:rsidR="00EC2C11">
        <w:rPr>
          <w:sz w:val="24"/>
          <w:szCs w:val="24"/>
        </w:rPr>
        <w:tab/>
        <w:t>8</w:t>
      </w:r>
    </w:p>
    <w:p w14:paraId="31534D38" w14:textId="590AF7E7" w:rsidR="001435B7" w:rsidRDefault="001435B7" w:rsidP="00634677">
      <w:pPr>
        <w:spacing w:before="60" w:after="100" w:line="360" w:lineRule="auto"/>
        <w:jc w:val="both"/>
        <w:rPr>
          <w:sz w:val="24"/>
          <w:szCs w:val="24"/>
        </w:rPr>
      </w:pPr>
      <w:r w:rsidRPr="00634677">
        <w:rPr>
          <w:sz w:val="24"/>
          <w:szCs w:val="24"/>
        </w:rPr>
        <w:t xml:space="preserve">    3.5  Resources and Cost Accounts</w:t>
      </w:r>
      <w:r w:rsidR="00EC2C11">
        <w:rPr>
          <w:sz w:val="24"/>
          <w:szCs w:val="24"/>
        </w:rPr>
        <w:tab/>
      </w:r>
      <w:r w:rsidR="00EC2C11">
        <w:rPr>
          <w:sz w:val="24"/>
          <w:szCs w:val="24"/>
        </w:rPr>
        <w:tab/>
      </w:r>
      <w:r w:rsidR="00EC2C11">
        <w:rPr>
          <w:sz w:val="24"/>
          <w:szCs w:val="24"/>
        </w:rPr>
        <w:tab/>
      </w:r>
      <w:r w:rsidR="00EC2C11">
        <w:rPr>
          <w:sz w:val="24"/>
          <w:szCs w:val="24"/>
        </w:rPr>
        <w:tab/>
      </w:r>
      <w:r w:rsidR="00EC2C11">
        <w:rPr>
          <w:sz w:val="24"/>
          <w:szCs w:val="24"/>
        </w:rPr>
        <w:tab/>
      </w:r>
      <w:r w:rsidR="00EC2C11">
        <w:rPr>
          <w:sz w:val="24"/>
          <w:szCs w:val="24"/>
        </w:rPr>
        <w:tab/>
        <w:t>9</w:t>
      </w:r>
    </w:p>
    <w:p w14:paraId="52342C35" w14:textId="7E183510" w:rsidR="00EC2C11" w:rsidRPr="00634677" w:rsidRDefault="00EC2C11" w:rsidP="00634677">
      <w:pPr>
        <w:spacing w:before="60" w:after="100" w:line="360" w:lineRule="auto"/>
        <w:jc w:val="both"/>
        <w:rPr>
          <w:sz w:val="24"/>
          <w:szCs w:val="24"/>
        </w:rPr>
      </w:pPr>
      <w:r>
        <w:rPr>
          <w:sz w:val="24"/>
          <w:szCs w:val="24"/>
        </w:rPr>
        <w:t>4. Conclusion</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11</w:t>
      </w:r>
    </w:p>
    <w:p w14:paraId="43CDF25B" w14:textId="026BE0AF" w:rsidR="001435B7" w:rsidRPr="00634677" w:rsidRDefault="00EC2C11" w:rsidP="00634677">
      <w:pPr>
        <w:spacing w:before="60" w:after="100" w:line="360" w:lineRule="auto"/>
        <w:jc w:val="both"/>
        <w:rPr>
          <w:sz w:val="24"/>
          <w:szCs w:val="24"/>
        </w:rPr>
      </w:pPr>
      <w:r>
        <w:rPr>
          <w:sz w:val="24"/>
          <w:szCs w:val="24"/>
        </w:rPr>
        <w:t>5</w:t>
      </w:r>
      <w:r w:rsidR="001435B7" w:rsidRPr="00634677">
        <w:rPr>
          <w:sz w:val="24"/>
          <w:szCs w:val="24"/>
        </w:rPr>
        <w:t>. Reference List</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12</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p>
    <w:p w14:paraId="7FEA9533" w14:textId="27257D69" w:rsidR="001435B7" w:rsidRDefault="001435B7" w:rsidP="001435B7">
      <w:pPr>
        <w:spacing w:after="160" w:line="259" w:lineRule="auto"/>
      </w:pPr>
      <w:r>
        <w:br w:type="page"/>
      </w:r>
    </w:p>
    <w:p w14:paraId="09077219" w14:textId="77777777" w:rsidR="001435B7" w:rsidRPr="0062020D" w:rsidRDefault="001435B7" w:rsidP="001435B7">
      <w:pPr>
        <w:pStyle w:val="Heading1"/>
        <w:rPr>
          <w:color w:val="000000" w:themeColor="text1"/>
        </w:rPr>
      </w:pPr>
      <w:r w:rsidRPr="0062020D">
        <w:rPr>
          <w:rFonts w:ascii="Arial" w:eastAsia="Arial" w:hAnsi="Arial" w:cs="Arial"/>
          <w:b/>
          <w:bCs/>
          <w:color w:val="000000" w:themeColor="text1"/>
          <w:sz w:val="28"/>
          <w:szCs w:val="28"/>
        </w:rPr>
        <w:lastRenderedPageBreak/>
        <w:t>1. INTRODUCTION</w:t>
      </w:r>
    </w:p>
    <w:p w14:paraId="7DB0E300" w14:textId="77777777" w:rsidR="001435B7" w:rsidRPr="00634677" w:rsidRDefault="001435B7" w:rsidP="001435B7">
      <w:pPr>
        <w:spacing w:before="60" w:after="100"/>
        <w:jc w:val="both"/>
        <w:rPr>
          <w:sz w:val="24"/>
          <w:szCs w:val="24"/>
        </w:rPr>
      </w:pPr>
      <w:r w:rsidRPr="00634677">
        <w:rPr>
          <w:sz w:val="24"/>
          <w:szCs w:val="24"/>
        </w:rPr>
        <w:t xml:space="preserve">Modern horticulture illustrates that success is no longer based on weather alone but on engineering and project management. The North-East Region of Romania, particularly the axis of </w:t>
      </w:r>
      <w:proofErr w:type="spellStart"/>
      <w:r w:rsidRPr="00634677">
        <w:rPr>
          <w:sz w:val="24"/>
          <w:szCs w:val="24"/>
        </w:rPr>
        <w:t>Iaşi</w:t>
      </w:r>
      <w:proofErr w:type="spellEnd"/>
      <w:r w:rsidRPr="00634677">
        <w:rPr>
          <w:sz w:val="24"/>
          <w:szCs w:val="24"/>
        </w:rPr>
        <w:t xml:space="preserve">, Bacău, Suceava, and Piatra </w:t>
      </w:r>
      <w:proofErr w:type="spellStart"/>
      <w:r w:rsidRPr="00634677">
        <w:rPr>
          <w:sz w:val="24"/>
          <w:szCs w:val="24"/>
        </w:rPr>
        <w:t>Neamţ</w:t>
      </w:r>
      <w:proofErr w:type="spellEnd"/>
      <w:r w:rsidRPr="00634677">
        <w:rPr>
          <w:sz w:val="24"/>
          <w:szCs w:val="24"/>
        </w:rPr>
        <w:t>, is experiencing an unprecedented residential real estate boom in 2026. This growth is being driven by the construction of the A7 and A8 motorway corridors, transforming Moldavia's economy and creating sustained demand for premium landscape materials.</w:t>
      </w:r>
    </w:p>
    <w:p w14:paraId="06016081" w14:textId="77777777" w:rsidR="001435B7" w:rsidRPr="00634677" w:rsidRDefault="001435B7" w:rsidP="001435B7">
      <w:pPr>
        <w:spacing w:before="60" w:after="100"/>
        <w:jc w:val="both"/>
        <w:rPr>
          <w:sz w:val="24"/>
          <w:szCs w:val="24"/>
        </w:rPr>
      </w:pPr>
      <w:r w:rsidRPr="00634677">
        <w:rPr>
          <w:sz w:val="24"/>
          <w:szCs w:val="24"/>
        </w:rPr>
        <w:t>New housing neighbourhoods have created a structural commercial problem: over 85% of premium ornamental shrubs used for hedges are imported, principally from Hungary and Italy, or transported over long distances from western Romania. This structural reliance causes high logistical expenditure and acclimatisation shock in plants, reducing survival rates and customer satisfaction.</w:t>
      </w:r>
    </w:p>
    <w:p w14:paraId="7DDFDEBF" w14:textId="77777777" w:rsidR="001435B7" w:rsidRPr="00634677" w:rsidRDefault="001435B7" w:rsidP="001435B7">
      <w:pPr>
        <w:spacing w:before="60" w:after="100"/>
        <w:jc w:val="both"/>
        <w:rPr>
          <w:sz w:val="24"/>
          <w:szCs w:val="24"/>
        </w:rPr>
      </w:pPr>
      <w:r w:rsidRPr="00634677">
        <w:rPr>
          <w:sz w:val="24"/>
          <w:szCs w:val="24"/>
        </w:rPr>
        <w:t xml:space="preserve">This project plan outlines the establishment of a fully automated horticultural farm in </w:t>
      </w:r>
      <w:proofErr w:type="spellStart"/>
      <w:r w:rsidRPr="00634677">
        <w:rPr>
          <w:sz w:val="24"/>
          <w:szCs w:val="24"/>
        </w:rPr>
        <w:t>Războieni</w:t>
      </w:r>
      <w:proofErr w:type="spellEnd"/>
      <w:r w:rsidRPr="00634677">
        <w:rPr>
          <w:sz w:val="24"/>
          <w:szCs w:val="24"/>
        </w:rPr>
        <w:t xml:space="preserve">, </w:t>
      </w:r>
      <w:proofErr w:type="spellStart"/>
      <w:r w:rsidRPr="00634677">
        <w:rPr>
          <w:sz w:val="24"/>
          <w:szCs w:val="24"/>
        </w:rPr>
        <w:t>Neamţ</w:t>
      </w:r>
      <w:proofErr w:type="spellEnd"/>
      <w:r w:rsidRPr="00634677">
        <w:rPr>
          <w:sz w:val="24"/>
          <w:szCs w:val="24"/>
        </w:rPr>
        <w:t xml:space="preserve"> County. The solution is an automated production farm, not a traditional nursery. It integrates low-carbon </w:t>
      </w:r>
      <w:proofErr w:type="spellStart"/>
      <w:r w:rsidRPr="00634677">
        <w:rPr>
          <w:sz w:val="24"/>
          <w:szCs w:val="24"/>
        </w:rPr>
        <w:t>Biomeiler</w:t>
      </w:r>
      <w:proofErr w:type="spellEnd"/>
      <w:r w:rsidRPr="00634677">
        <w:rPr>
          <w:sz w:val="24"/>
          <w:szCs w:val="24"/>
        </w:rPr>
        <w:t xml:space="preserve"> heating systems that convert biomass bacterial fermentation into renewable heat, combined with Dutch precision equipment. The core team of two entrepreneurs – one with an economic profile and structural-fund management experience and the other technically qualified in horticulture – runs the business without relying on a large workforce in a rural labour market under pressure.</w:t>
      </w:r>
    </w:p>
    <w:p w14:paraId="107133D6" w14:textId="77777777" w:rsidR="001435B7" w:rsidRPr="00634677" w:rsidRDefault="001435B7" w:rsidP="001435B7">
      <w:pPr>
        <w:spacing w:before="60" w:after="100"/>
        <w:jc w:val="both"/>
        <w:rPr>
          <w:sz w:val="24"/>
          <w:szCs w:val="24"/>
        </w:rPr>
      </w:pPr>
      <w:r w:rsidRPr="00634677">
        <w:rPr>
          <w:sz w:val="24"/>
          <w:szCs w:val="24"/>
        </w:rPr>
        <w:t>All financial computations in this document are expressed in British pounds (GBP) to buffer against regional currency inflation and ensure constant financial accountability to overseas funders. The exchange rate applied is 1 GBP = 1.15 EUR.</w:t>
      </w:r>
    </w:p>
    <w:p w14:paraId="61DE4253" w14:textId="77777777" w:rsidR="001435B7" w:rsidRDefault="001435B7" w:rsidP="001435B7">
      <w:pPr>
        <w:spacing w:before="120"/>
      </w:pPr>
    </w:p>
    <w:p w14:paraId="26A36317" w14:textId="77777777" w:rsidR="001435B7" w:rsidRPr="0062020D" w:rsidRDefault="001435B7" w:rsidP="001435B7">
      <w:pPr>
        <w:pStyle w:val="Heading1"/>
        <w:rPr>
          <w:color w:val="000000" w:themeColor="text1"/>
        </w:rPr>
      </w:pPr>
      <w:r w:rsidRPr="0062020D">
        <w:rPr>
          <w:rFonts w:ascii="Arial" w:eastAsia="Arial" w:hAnsi="Arial" w:cs="Arial"/>
          <w:b/>
          <w:bCs/>
          <w:color w:val="000000" w:themeColor="text1"/>
          <w:sz w:val="28"/>
          <w:szCs w:val="28"/>
        </w:rPr>
        <w:t>2. PURPOSE, OBJECTIVES AND SCOPE OF THE PROJECT</w:t>
      </w:r>
    </w:p>
    <w:p w14:paraId="651D2346" w14:textId="77777777" w:rsidR="001435B7" w:rsidRPr="0062020D" w:rsidRDefault="001435B7" w:rsidP="001435B7">
      <w:pPr>
        <w:pStyle w:val="Heading2"/>
        <w:rPr>
          <w:color w:val="000000" w:themeColor="text1"/>
        </w:rPr>
      </w:pPr>
      <w:r w:rsidRPr="0062020D">
        <w:rPr>
          <w:rFonts w:ascii="Arial" w:eastAsia="Arial" w:hAnsi="Arial" w:cs="Arial"/>
          <w:b/>
          <w:bCs/>
          <w:color w:val="000000" w:themeColor="text1"/>
          <w:sz w:val="24"/>
          <w:szCs w:val="24"/>
        </w:rPr>
        <w:t>2.1 Project Goals</w:t>
      </w:r>
    </w:p>
    <w:p w14:paraId="29DF1DEE" w14:textId="77777777" w:rsidR="001435B7" w:rsidRDefault="001435B7" w:rsidP="001435B7">
      <w:pPr>
        <w:spacing w:before="60" w:after="100"/>
        <w:jc w:val="both"/>
      </w:pPr>
      <w:r w:rsidRPr="00634677">
        <w:rPr>
          <w:sz w:val="24"/>
          <w:szCs w:val="24"/>
        </w:rPr>
        <w:t xml:space="preserve">The project will build a modern horticultural infrastructure on a 2,500 sqm plot in </w:t>
      </w:r>
      <w:proofErr w:type="spellStart"/>
      <w:r w:rsidRPr="00634677">
        <w:rPr>
          <w:sz w:val="24"/>
          <w:szCs w:val="24"/>
        </w:rPr>
        <w:t>Războieni</w:t>
      </w:r>
      <w:proofErr w:type="spellEnd"/>
      <w:r w:rsidRPr="00634677">
        <w:rPr>
          <w:sz w:val="24"/>
          <w:szCs w:val="24"/>
        </w:rPr>
        <w:t xml:space="preserve"> to produce, acclimatise, and distribute over 50,000 premium-class decorative shrubs annually. </w:t>
      </w:r>
      <w:proofErr w:type="spellStart"/>
      <w:r w:rsidRPr="00634677">
        <w:rPr>
          <w:sz w:val="24"/>
          <w:szCs w:val="24"/>
        </w:rPr>
        <w:t>DaCArt</w:t>
      </w:r>
      <w:proofErr w:type="spellEnd"/>
      <w:r w:rsidRPr="00634677">
        <w:rPr>
          <w:sz w:val="24"/>
          <w:szCs w:val="24"/>
        </w:rPr>
        <w:t xml:space="preserve"> aims to become the leading B2C and B2B supplier in the east by controlling the microclimate and mechanising the planting process, thereby shortening the supply chain and providing climate-adapted plants</w:t>
      </w:r>
      <w:r>
        <w:t>.</w:t>
      </w:r>
    </w:p>
    <w:p w14:paraId="6F8C03B5" w14:textId="77777777" w:rsidR="001435B7" w:rsidRPr="0062020D" w:rsidRDefault="001435B7" w:rsidP="001435B7">
      <w:pPr>
        <w:pStyle w:val="Heading2"/>
        <w:rPr>
          <w:color w:val="000000" w:themeColor="text1"/>
        </w:rPr>
      </w:pPr>
      <w:r w:rsidRPr="0062020D">
        <w:rPr>
          <w:rFonts w:ascii="Arial" w:eastAsia="Arial" w:hAnsi="Arial" w:cs="Arial"/>
          <w:b/>
          <w:bCs/>
          <w:color w:val="000000" w:themeColor="text1"/>
          <w:sz w:val="24"/>
          <w:szCs w:val="24"/>
        </w:rPr>
        <w:t>2.2 SMART Objectives</w:t>
      </w:r>
    </w:p>
    <w:p w14:paraId="69772532" w14:textId="77777777" w:rsidR="001435B7" w:rsidRPr="00634677" w:rsidRDefault="001435B7" w:rsidP="001435B7">
      <w:pPr>
        <w:spacing w:before="60" w:after="100"/>
        <w:jc w:val="both"/>
        <w:rPr>
          <w:sz w:val="24"/>
          <w:szCs w:val="24"/>
        </w:rPr>
      </w:pPr>
      <w:r w:rsidRPr="00634677">
        <w:rPr>
          <w:sz w:val="24"/>
          <w:szCs w:val="24"/>
        </w:rPr>
        <w:t xml:space="preserve">Effective project objectives require precision and clarity. Doran (1981, p. 36) first formalised the SMART acronym, arguing that objectives should be </w:t>
      </w:r>
      <w:r w:rsidRPr="00634677">
        <w:rPr>
          <w:i/>
          <w:iCs/>
          <w:sz w:val="24"/>
          <w:szCs w:val="24"/>
        </w:rPr>
        <w:t xml:space="preserve">specific, measurable, assignable, realistic, and </w:t>
      </w:r>
      <w:proofErr w:type="gramStart"/>
      <w:r w:rsidRPr="00634677">
        <w:rPr>
          <w:i/>
          <w:iCs/>
          <w:sz w:val="24"/>
          <w:szCs w:val="24"/>
        </w:rPr>
        <w:t>time-related</w:t>
      </w:r>
      <w:proofErr w:type="gramEnd"/>
      <w:r w:rsidRPr="00634677">
        <w:rPr>
          <w:sz w:val="24"/>
          <w:szCs w:val="24"/>
        </w:rPr>
        <w:t xml:space="preserve">. This framework was subsequently expanded by Locke and Latham (2013, pp. 3–5), who demonstrated empirically that specific, challenging goals consistently produce higher performance than vague or ‘do-your-best’ instructions. The five SMART objectives for </w:t>
      </w:r>
      <w:proofErr w:type="spellStart"/>
      <w:r w:rsidRPr="00634677">
        <w:rPr>
          <w:sz w:val="24"/>
          <w:szCs w:val="24"/>
        </w:rPr>
        <w:t>DaCArt</w:t>
      </w:r>
      <w:proofErr w:type="spellEnd"/>
      <w:r w:rsidRPr="00634677">
        <w:rPr>
          <w:sz w:val="24"/>
          <w:szCs w:val="24"/>
        </w:rPr>
        <w:t xml:space="preserve"> are:</w:t>
      </w:r>
    </w:p>
    <w:p w14:paraId="1ADAE57A" w14:textId="77777777" w:rsidR="001435B7" w:rsidRPr="00634677" w:rsidRDefault="001435B7" w:rsidP="001435B7">
      <w:pPr>
        <w:pStyle w:val="ListParagraph"/>
        <w:numPr>
          <w:ilvl w:val="0"/>
          <w:numId w:val="1"/>
        </w:numPr>
        <w:spacing w:before="40" w:after="40"/>
        <w:contextualSpacing w:val="0"/>
        <w:rPr>
          <w:sz w:val="24"/>
          <w:szCs w:val="24"/>
        </w:rPr>
      </w:pPr>
      <w:r w:rsidRPr="00634677">
        <w:rPr>
          <w:b/>
          <w:bCs/>
          <w:sz w:val="24"/>
          <w:szCs w:val="24"/>
        </w:rPr>
        <w:t xml:space="preserve">Specific: </w:t>
      </w:r>
      <w:r w:rsidRPr="00634677">
        <w:rPr>
          <w:sz w:val="24"/>
          <w:szCs w:val="24"/>
        </w:rPr>
        <w:t xml:space="preserve">Build a 500 sqm professional polycarbonate greenhouse, a 65 sqm technical shed and install a </w:t>
      </w:r>
      <w:proofErr w:type="spellStart"/>
      <w:r w:rsidRPr="00634677">
        <w:rPr>
          <w:sz w:val="24"/>
          <w:szCs w:val="24"/>
        </w:rPr>
        <w:t>Demtec</w:t>
      </w:r>
      <w:proofErr w:type="spellEnd"/>
      <w:r w:rsidRPr="00634677">
        <w:rPr>
          <w:sz w:val="24"/>
          <w:szCs w:val="24"/>
        </w:rPr>
        <w:t xml:space="preserve"> Top Fill automated potting line by spring 2027 (</w:t>
      </w:r>
      <w:proofErr w:type="spellStart"/>
      <w:r w:rsidRPr="00634677">
        <w:rPr>
          <w:sz w:val="24"/>
          <w:szCs w:val="24"/>
        </w:rPr>
        <w:t>Demtec</w:t>
      </w:r>
      <w:proofErr w:type="spellEnd"/>
      <w:r w:rsidRPr="00634677">
        <w:rPr>
          <w:sz w:val="24"/>
          <w:szCs w:val="24"/>
        </w:rPr>
        <w:t>, 2024).</w:t>
      </w:r>
    </w:p>
    <w:p w14:paraId="6CACE3CA" w14:textId="536ED9B8" w:rsidR="00EC2C11" w:rsidRPr="00EC2C11" w:rsidRDefault="001435B7" w:rsidP="00EC2C11">
      <w:pPr>
        <w:pStyle w:val="ListParagraph"/>
        <w:numPr>
          <w:ilvl w:val="0"/>
          <w:numId w:val="1"/>
        </w:numPr>
        <w:spacing w:before="40" w:after="40"/>
        <w:contextualSpacing w:val="0"/>
        <w:rPr>
          <w:sz w:val="24"/>
          <w:szCs w:val="24"/>
        </w:rPr>
      </w:pPr>
      <w:r w:rsidRPr="00634677">
        <w:rPr>
          <w:b/>
          <w:bCs/>
          <w:sz w:val="24"/>
          <w:szCs w:val="24"/>
        </w:rPr>
        <w:t xml:space="preserve">Measurable: </w:t>
      </w:r>
      <w:r w:rsidRPr="00634677">
        <w:rPr>
          <w:sz w:val="24"/>
          <w:szCs w:val="24"/>
        </w:rPr>
        <w:t xml:space="preserve">Produce 51,000 ornamental shrubs in Production Cycle I and build a </w:t>
      </w:r>
      <w:proofErr w:type="gramStart"/>
      <w:r w:rsidRPr="00634677">
        <w:rPr>
          <w:sz w:val="24"/>
          <w:szCs w:val="24"/>
        </w:rPr>
        <w:t>15 kW</w:t>
      </w:r>
      <w:proofErr w:type="gramEnd"/>
      <w:r w:rsidRPr="00634677">
        <w:rPr>
          <w:sz w:val="24"/>
          <w:szCs w:val="24"/>
        </w:rPr>
        <w:t xml:space="preserve"> hybrid photovoltaic system achieving at least 98% electrical autonomy from the rural grid.</w:t>
      </w:r>
    </w:p>
    <w:p w14:paraId="1F464A1D" w14:textId="77777777" w:rsidR="001435B7" w:rsidRPr="00634677" w:rsidRDefault="001435B7" w:rsidP="001435B7">
      <w:pPr>
        <w:pStyle w:val="ListParagraph"/>
        <w:numPr>
          <w:ilvl w:val="0"/>
          <w:numId w:val="1"/>
        </w:numPr>
        <w:spacing w:before="40" w:after="40"/>
        <w:contextualSpacing w:val="0"/>
        <w:rPr>
          <w:sz w:val="24"/>
          <w:szCs w:val="24"/>
        </w:rPr>
      </w:pPr>
      <w:r w:rsidRPr="00634677">
        <w:rPr>
          <w:b/>
          <w:bCs/>
          <w:sz w:val="24"/>
          <w:szCs w:val="24"/>
        </w:rPr>
        <w:lastRenderedPageBreak/>
        <w:t xml:space="preserve">Affordable: </w:t>
      </w:r>
      <w:r w:rsidRPr="00634677">
        <w:rPr>
          <w:sz w:val="24"/>
          <w:szCs w:val="24"/>
        </w:rPr>
        <w:t>The development bank BID’s “Diaspora Invests at Home” programme grants 60% (£246,000) of the project, while the remaining 40% is financed by private resources and a pre-approved credit line, for a total budget of £410,000.</w:t>
      </w:r>
    </w:p>
    <w:p w14:paraId="6695FDAB" w14:textId="77777777" w:rsidR="001435B7" w:rsidRPr="00634677" w:rsidRDefault="001435B7" w:rsidP="001435B7">
      <w:pPr>
        <w:pStyle w:val="ListParagraph"/>
        <w:numPr>
          <w:ilvl w:val="0"/>
          <w:numId w:val="1"/>
        </w:numPr>
        <w:spacing w:before="40" w:after="40"/>
        <w:contextualSpacing w:val="0"/>
        <w:rPr>
          <w:sz w:val="24"/>
          <w:szCs w:val="24"/>
        </w:rPr>
      </w:pPr>
      <w:r w:rsidRPr="00634677">
        <w:rPr>
          <w:b/>
          <w:bCs/>
          <w:sz w:val="24"/>
          <w:szCs w:val="24"/>
        </w:rPr>
        <w:t xml:space="preserve">Relevant: </w:t>
      </w:r>
      <w:r w:rsidRPr="00634677">
        <w:rPr>
          <w:sz w:val="24"/>
          <w:szCs w:val="24"/>
        </w:rPr>
        <w:t>By eliminating intermediaries, the initiative meets Moldavia’s high residential demand at 25–30% lower costs than imported plants.</w:t>
      </w:r>
    </w:p>
    <w:p w14:paraId="23317FBC" w14:textId="77777777" w:rsidR="001435B7" w:rsidRPr="00634677" w:rsidRDefault="001435B7" w:rsidP="001435B7">
      <w:pPr>
        <w:pStyle w:val="ListParagraph"/>
        <w:numPr>
          <w:ilvl w:val="0"/>
          <w:numId w:val="1"/>
        </w:numPr>
        <w:spacing w:before="40" w:after="40"/>
        <w:contextualSpacing w:val="0"/>
        <w:rPr>
          <w:sz w:val="24"/>
          <w:szCs w:val="24"/>
        </w:rPr>
      </w:pPr>
      <w:r w:rsidRPr="00634677">
        <w:rPr>
          <w:b/>
          <w:bCs/>
          <w:sz w:val="24"/>
          <w:szCs w:val="24"/>
        </w:rPr>
        <w:t xml:space="preserve">On Time: </w:t>
      </w:r>
      <w:r w:rsidRPr="00634677">
        <w:rPr>
          <w:sz w:val="24"/>
          <w:szCs w:val="24"/>
        </w:rPr>
        <w:t>Construction, technology installation, and calibration must be completed within 10 months to commence production in April 2027.</w:t>
      </w:r>
    </w:p>
    <w:p w14:paraId="3CFE1761" w14:textId="77777777" w:rsidR="001435B7" w:rsidRPr="00634677" w:rsidRDefault="001435B7" w:rsidP="001435B7">
      <w:pPr>
        <w:spacing w:before="80"/>
        <w:rPr>
          <w:sz w:val="24"/>
          <w:szCs w:val="24"/>
        </w:rPr>
      </w:pPr>
    </w:p>
    <w:p w14:paraId="7AD3B409" w14:textId="77777777" w:rsidR="001435B7" w:rsidRPr="0062020D" w:rsidRDefault="001435B7" w:rsidP="001435B7">
      <w:pPr>
        <w:pStyle w:val="Heading2"/>
        <w:rPr>
          <w:color w:val="000000" w:themeColor="text1"/>
        </w:rPr>
      </w:pPr>
      <w:r w:rsidRPr="0062020D">
        <w:rPr>
          <w:rFonts w:ascii="Arial" w:eastAsia="Arial" w:hAnsi="Arial" w:cs="Arial"/>
          <w:b/>
          <w:bCs/>
          <w:color w:val="000000" w:themeColor="text1"/>
          <w:sz w:val="24"/>
          <w:szCs w:val="24"/>
        </w:rPr>
        <w:t>2.3 Project Scope</w:t>
      </w:r>
    </w:p>
    <w:p w14:paraId="26AEA845" w14:textId="77777777" w:rsidR="001435B7" w:rsidRPr="00634677" w:rsidRDefault="001435B7" w:rsidP="001435B7">
      <w:pPr>
        <w:spacing w:before="60" w:after="100"/>
        <w:jc w:val="both"/>
        <w:rPr>
          <w:sz w:val="24"/>
          <w:szCs w:val="24"/>
        </w:rPr>
      </w:pPr>
      <w:r w:rsidRPr="00634677">
        <w:rPr>
          <w:sz w:val="24"/>
          <w:szCs w:val="24"/>
        </w:rPr>
        <w:t>Included in scope:</w:t>
      </w:r>
    </w:p>
    <w:p w14:paraId="157A213B" w14:textId="77777777" w:rsidR="001435B7" w:rsidRPr="00634677" w:rsidRDefault="001435B7" w:rsidP="001435B7">
      <w:pPr>
        <w:pStyle w:val="ListParagraph"/>
        <w:numPr>
          <w:ilvl w:val="0"/>
          <w:numId w:val="2"/>
        </w:numPr>
        <w:spacing w:before="40" w:after="40"/>
        <w:contextualSpacing w:val="0"/>
        <w:rPr>
          <w:sz w:val="24"/>
          <w:szCs w:val="24"/>
        </w:rPr>
      </w:pPr>
      <w:r w:rsidRPr="00634677">
        <w:rPr>
          <w:sz w:val="24"/>
          <w:szCs w:val="24"/>
        </w:rPr>
        <w:t>Full technical design and architectural DTAC preparation</w:t>
      </w:r>
    </w:p>
    <w:p w14:paraId="095996D3" w14:textId="77777777" w:rsidR="001435B7" w:rsidRPr="00634677" w:rsidRDefault="001435B7" w:rsidP="001435B7">
      <w:pPr>
        <w:pStyle w:val="ListParagraph"/>
        <w:numPr>
          <w:ilvl w:val="0"/>
          <w:numId w:val="2"/>
        </w:numPr>
        <w:spacing w:before="40" w:after="40"/>
        <w:contextualSpacing w:val="0"/>
        <w:rPr>
          <w:sz w:val="24"/>
          <w:szCs w:val="24"/>
        </w:rPr>
      </w:pPr>
      <w:r w:rsidRPr="00634677">
        <w:rPr>
          <w:sz w:val="24"/>
          <w:szCs w:val="24"/>
        </w:rPr>
        <w:t>Environmental permits and producer authorisation from the Territorial Inspectorate for Seed and Planting Material Quality (ITCSMS)</w:t>
      </w:r>
    </w:p>
    <w:p w14:paraId="4CFBCD94" w14:textId="77777777" w:rsidR="001435B7" w:rsidRPr="00634677" w:rsidRDefault="001435B7" w:rsidP="001435B7">
      <w:pPr>
        <w:pStyle w:val="ListParagraph"/>
        <w:numPr>
          <w:ilvl w:val="0"/>
          <w:numId w:val="2"/>
        </w:numPr>
        <w:spacing w:before="40" w:after="40"/>
        <w:contextualSpacing w:val="0"/>
        <w:rPr>
          <w:sz w:val="24"/>
          <w:szCs w:val="24"/>
        </w:rPr>
      </w:pPr>
      <w:r w:rsidRPr="00634677">
        <w:rPr>
          <w:sz w:val="24"/>
          <w:szCs w:val="24"/>
        </w:rPr>
        <w:t>Mechanised earthworks and logistical lane compaction</w:t>
      </w:r>
    </w:p>
    <w:p w14:paraId="730A980E" w14:textId="77777777" w:rsidR="001435B7" w:rsidRPr="00634677" w:rsidRDefault="001435B7" w:rsidP="001435B7">
      <w:pPr>
        <w:pStyle w:val="ListParagraph"/>
        <w:numPr>
          <w:ilvl w:val="0"/>
          <w:numId w:val="2"/>
        </w:numPr>
        <w:spacing w:before="40" w:after="40"/>
        <w:contextualSpacing w:val="0"/>
        <w:rPr>
          <w:sz w:val="24"/>
          <w:szCs w:val="24"/>
        </w:rPr>
      </w:pPr>
      <w:r w:rsidRPr="00634677">
        <w:rPr>
          <w:sz w:val="24"/>
          <w:szCs w:val="24"/>
        </w:rPr>
        <w:t>Greenhouse (500 sqm) and technical shed (65 sqm) installation</w:t>
      </w:r>
    </w:p>
    <w:p w14:paraId="78784380" w14:textId="77777777" w:rsidR="001435B7" w:rsidRPr="00634677" w:rsidRDefault="001435B7" w:rsidP="001435B7">
      <w:pPr>
        <w:pStyle w:val="ListParagraph"/>
        <w:numPr>
          <w:ilvl w:val="0"/>
          <w:numId w:val="2"/>
        </w:numPr>
        <w:spacing w:before="40" w:after="40"/>
        <w:contextualSpacing w:val="0"/>
        <w:rPr>
          <w:sz w:val="24"/>
          <w:szCs w:val="24"/>
        </w:rPr>
      </w:pPr>
      <w:r w:rsidRPr="00634677">
        <w:rPr>
          <w:sz w:val="24"/>
          <w:szCs w:val="24"/>
        </w:rPr>
        <w:t>15 kW hybrid photovoltaic system and Netafim irrigation automation installation (Netafim, 2024, p. 41)</w:t>
      </w:r>
    </w:p>
    <w:p w14:paraId="38C26D6D" w14:textId="77777777" w:rsidR="001435B7" w:rsidRPr="00634677" w:rsidRDefault="001435B7" w:rsidP="001435B7">
      <w:pPr>
        <w:pStyle w:val="ListParagraph"/>
        <w:numPr>
          <w:ilvl w:val="0"/>
          <w:numId w:val="2"/>
        </w:numPr>
        <w:spacing w:before="40" w:after="40"/>
        <w:contextualSpacing w:val="0"/>
        <w:rPr>
          <w:sz w:val="24"/>
          <w:szCs w:val="24"/>
        </w:rPr>
      </w:pPr>
      <w:r w:rsidRPr="00634677">
        <w:rPr>
          <w:sz w:val="24"/>
          <w:szCs w:val="24"/>
        </w:rPr>
        <w:t>Uponor-compatible HDPE water pipe network and fertigation node (Uponor, 2023, p. 18)</w:t>
      </w:r>
    </w:p>
    <w:p w14:paraId="15ECC60B" w14:textId="77777777" w:rsidR="001435B7" w:rsidRPr="00634677" w:rsidRDefault="001435B7" w:rsidP="001435B7">
      <w:pPr>
        <w:pStyle w:val="ListParagraph"/>
        <w:numPr>
          <w:ilvl w:val="0"/>
          <w:numId w:val="2"/>
        </w:numPr>
        <w:spacing w:before="40" w:after="40"/>
        <w:contextualSpacing w:val="0"/>
        <w:rPr>
          <w:sz w:val="24"/>
          <w:szCs w:val="24"/>
        </w:rPr>
      </w:pPr>
      <w:r w:rsidRPr="00634677">
        <w:rPr>
          <w:sz w:val="24"/>
          <w:szCs w:val="24"/>
        </w:rPr>
        <w:t>E-commerce digital platform development</w:t>
      </w:r>
    </w:p>
    <w:p w14:paraId="37764680" w14:textId="77777777" w:rsidR="001435B7" w:rsidRPr="00634677" w:rsidRDefault="001435B7" w:rsidP="001435B7">
      <w:pPr>
        <w:spacing w:before="60"/>
        <w:rPr>
          <w:sz w:val="24"/>
          <w:szCs w:val="24"/>
        </w:rPr>
      </w:pPr>
    </w:p>
    <w:p w14:paraId="4F7B604F" w14:textId="77777777" w:rsidR="001435B7" w:rsidRPr="00634677" w:rsidRDefault="001435B7" w:rsidP="001435B7">
      <w:pPr>
        <w:spacing w:before="60" w:after="100"/>
        <w:jc w:val="both"/>
        <w:rPr>
          <w:sz w:val="24"/>
          <w:szCs w:val="24"/>
        </w:rPr>
      </w:pPr>
      <w:r w:rsidRPr="00634677">
        <w:rPr>
          <w:sz w:val="24"/>
          <w:szCs w:val="24"/>
        </w:rPr>
        <w:t>Excluded from scope:</w:t>
      </w:r>
    </w:p>
    <w:p w14:paraId="4B2A9F4C" w14:textId="24EFF337" w:rsidR="001435B7" w:rsidRPr="00634677" w:rsidRDefault="001435B7" w:rsidP="001435B7">
      <w:pPr>
        <w:pStyle w:val="ListParagraph"/>
        <w:numPr>
          <w:ilvl w:val="0"/>
          <w:numId w:val="2"/>
        </w:numPr>
        <w:spacing w:before="40" w:after="40"/>
        <w:contextualSpacing w:val="0"/>
        <w:rPr>
          <w:sz w:val="24"/>
          <w:szCs w:val="24"/>
        </w:rPr>
      </w:pPr>
      <w:r w:rsidRPr="00634677">
        <w:rPr>
          <w:sz w:val="24"/>
          <w:szCs w:val="24"/>
        </w:rPr>
        <w:t>The associates’ private funds (£5,641) funded the deep hydrological drilling (50 metres) and VES geophysical study, which are excluded from this project's budget to ensure a risk-free IDB bank final audit.</w:t>
      </w:r>
    </w:p>
    <w:p w14:paraId="3D2E1654" w14:textId="77777777" w:rsidR="001435B7" w:rsidRPr="00634677" w:rsidRDefault="001435B7" w:rsidP="001435B7">
      <w:pPr>
        <w:pStyle w:val="ListParagraph"/>
        <w:numPr>
          <w:ilvl w:val="0"/>
          <w:numId w:val="2"/>
        </w:numPr>
        <w:spacing w:before="40" w:after="40"/>
        <w:contextualSpacing w:val="0"/>
        <w:rPr>
          <w:sz w:val="24"/>
          <w:szCs w:val="24"/>
        </w:rPr>
      </w:pPr>
      <w:r w:rsidRPr="00634677">
        <w:rPr>
          <w:sz w:val="24"/>
          <w:szCs w:val="24"/>
        </w:rPr>
        <w:t>Landscaping or planting at the end customer’s property.</w:t>
      </w:r>
    </w:p>
    <w:p w14:paraId="2C1B67B0" w14:textId="77777777" w:rsidR="001435B7" w:rsidRDefault="001435B7" w:rsidP="001435B7">
      <w:pPr>
        <w:spacing w:before="120"/>
      </w:pPr>
    </w:p>
    <w:p w14:paraId="3265963E" w14:textId="77777777" w:rsidR="001435B7" w:rsidRPr="0062020D" w:rsidRDefault="001435B7" w:rsidP="001435B7">
      <w:pPr>
        <w:pStyle w:val="Heading1"/>
        <w:rPr>
          <w:color w:val="000000" w:themeColor="text1"/>
        </w:rPr>
      </w:pPr>
      <w:r w:rsidRPr="0062020D">
        <w:rPr>
          <w:rFonts w:ascii="Arial" w:eastAsia="Arial" w:hAnsi="Arial" w:cs="Arial"/>
          <w:b/>
          <w:bCs/>
          <w:color w:val="000000" w:themeColor="text1"/>
          <w:sz w:val="28"/>
          <w:szCs w:val="28"/>
        </w:rPr>
        <w:t>3. MAIN BODY OF PROJECT</w:t>
      </w:r>
    </w:p>
    <w:p w14:paraId="7E41910D" w14:textId="77777777" w:rsidR="001435B7" w:rsidRPr="0062020D" w:rsidRDefault="001435B7" w:rsidP="001435B7">
      <w:pPr>
        <w:pStyle w:val="Heading2"/>
        <w:rPr>
          <w:color w:val="000000" w:themeColor="text1"/>
        </w:rPr>
      </w:pPr>
      <w:r w:rsidRPr="0062020D">
        <w:rPr>
          <w:rFonts w:ascii="Arial" w:eastAsia="Arial" w:hAnsi="Arial" w:cs="Arial"/>
          <w:b/>
          <w:bCs/>
          <w:color w:val="000000" w:themeColor="text1"/>
          <w:sz w:val="24"/>
          <w:szCs w:val="24"/>
        </w:rPr>
        <w:t>3.1 Results (Deliverables)</w:t>
      </w:r>
    </w:p>
    <w:p w14:paraId="34669955" w14:textId="77777777" w:rsidR="001435B7" w:rsidRPr="00634677" w:rsidRDefault="001435B7" w:rsidP="001435B7">
      <w:pPr>
        <w:spacing w:before="60" w:after="100"/>
        <w:jc w:val="both"/>
        <w:rPr>
          <w:sz w:val="24"/>
          <w:szCs w:val="24"/>
        </w:rPr>
      </w:pPr>
      <w:r w:rsidRPr="00634677">
        <w:rPr>
          <w:sz w:val="24"/>
          <w:szCs w:val="24"/>
        </w:rPr>
        <w:t xml:space="preserve">To be successful, external contractor teams must deliver the following concrete, validated, and audited deliverables to </w:t>
      </w:r>
      <w:proofErr w:type="spellStart"/>
      <w:r w:rsidRPr="00634677">
        <w:rPr>
          <w:sz w:val="24"/>
          <w:szCs w:val="24"/>
        </w:rPr>
        <w:t>DaCArt</w:t>
      </w:r>
      <w:proofErr w:type="spellEnd"/>
      <w:r w:rsidRPr="00634677">
        <w:rPr>
          <w:sz w:val="24"/>
          <w:szCs w:val="24"/>
        </w:rPr>
        <w:t xml:space="preserve"> after 10 months. According to the PMI (2025, p. 22), a deliverable is any unique and verifiable product, result, or capability produced to complete a process, phase, or project. Cleland and Ireland (2006, p. 119) further emphasise that deliverables must be formally accepted by the client to confirm scope fulfilment. Lock (2020, p. 75) adds that audited deliverable acceptance is the primary control mechanism in outsourced project environments.</w:t>
      </w:r>
    </w:p>
    <w:p w14:paraId="5F152439" w14:textId="77777777" w:rsidR="001435B7" w:rsidRPr="00634677" w:rsidRDefault="001435B7" w:rsidP="001435B7">
      <w:pPr>
        <w:spacing w:before="40" w:after="40"/>
        <w:rPr>
          <w:sz w:val="24"/>
          <w:szCs w:val="24"/>
        </w:rPr>
      </w:pPr>
      <w:r w:rsidRPr="00634677">
        <w:rPr>
          <w:b/>
          <w:bCs/>
          <w:sz w:val="24"/>
          <w:szCs w:val="24"/>
        </w:rPr>
        <w:t xml:space="preserve">Professional Modular Greenhouse (500 sqm): </w:t>
      </w:r>
      <w:r w:rsidRPr="00634677">
        <w:rPr>
          <w:sz w:val="24"/>
          <w:szCs w:val="24"/>
        </w:rPr>
        <w:t>A hot-dip galvanised steel structure with 10 mm structural twin-wall polycarbonate sheets and double UV protection, shade netting with aluminium inserts, rack-and-pinion ventilation motors, and a temperature computer.</w:t>
      </w:r>
    </w:p>
    <w:p w14:paraId="491B9073" w14:textId="77777777" w:rsidR="001435B7" w:rsidRPr="00634677" w:rsidRDefault="001435B7" w:rsidP="001435B7">
      <w:pPr>
        <w:pStyle w:val="ListParagraph"/>
        <w:numPr>
          <w:ilvl w:val="0"/>
          <w:numId w:val="3"/>
        </w:numPr>
        <w:spacing w:before="40" w:after="40"/>
        <w:contextualSpacing w:val="0"/>
        <w:rPr>
          <w:sz w:val="24"/>
          <w:szCs w:val="24"/>
        </w:rPr>
      </w:pPr>
      <w:r w:rsidRPr="00634677">
        <w:rPr>
          <w:b/>
          <w:bCs/>
          <w:sz w:val="24"/>
          <w:szCs w:val="24"/>
        </w:rPr>
        <w:t xml:space="preserve">Technical Shed Industrial (65 sqm): </w:t>
      </w:r>
      <w:r w:rsidRPr="00634677">
        <w:rPr>
          <w:sz w:val="24"/>
          <w:szCs w:val="24"/>
        </w:rPr>
        <w:t xml:space="preserve">Reinforced foundation, quartz-helicoptered concrete floor rated for heavy traffic. The technical section </w:t>
      </w:r>
      <w:r w:rsidRPr="00634677">
        <w:rPr>
          <w:sz w:val="24"/>
          <w:szCs w:val="24"/>
        </w:rPr>
        <w:lastRenderedPageBreak/>
        <w:t>housing inverters and batteries is insulated with 80 mm PIR sandwich panels.</w:t>
      </w:r>
    </w:p>
    <w:p w14:paraId="41815B47" w14:textId="77777777" w:rsidR="001435B7" w:rsidRPr="00634677" w:rsidRDefault="001435B7" w:rsidP="001435B7">
      <w:pPr>
        <w:pStyle w:val="ListParagraph"/>
        <w:numPr>
          <w:ilvl w:val="0"/>
          <w:numId w:val="3"/>
        </w:numPr>
        <w:spacing w:before="40" w:after="40"/>
        <w:contextualSpacing w:val="0"/>
        <w:rPr>
          <w:sz w:val="24"/>
          <w:szCs w:val="24"/>
        </w:rPr>
      </w:pPr>
      <w:proofErr w:type="spellStart"/>
      <w:r w:rsidRPr="00634677">
        <w:rPr>
          <w:b/>
          <w:bCs/>
          <w:sz w:val="24"/>
          <w:szCs w:val="24"/>
        </w:rPr>
        <w:t>Demtec</w:t>
      </w:r>
      <w:proofErr w:type="spellEnd"/>
      <w:r w:rsidRPr="00634677">
        <w:rPr>
          <w:b/>
          <w:bCs/>
          <w:sz w:val="24"/>
          <w:szCs w:val="24"/>
        </w:rPr>
        <w:t xml:space="preserve"> Top Fill Potting Line: </w:t>
      </w:r>
      <w:r w:rsidRPr="00634677">
        <w:rPr>
          <w:sz w:val="24"/>
          <w:szCs w:val="24"/>
        </w:rPr>
        <w:t xml:space="preserve">Fixed 220V </w:t>
      </w:r>
      <w:proofErr w:type="spellStart"/>
      <w:r w:rsidRPr="00634677">
        <w:rPr>
          <w:sz w:val="24"/>
          <w:szCs w:val="24"/>
        </w:rPr>
        <w:t>Demtec</w:t>
      </w:r>
      <w:proofErr w:type="spellEnd"/>
      <w:r w:rsidRPr="00634677">
        <w:rPr>
          <w:sz w:val="24"/>
          <w:szCs w:val="24"/>
        </w:rPr>
        <w:t xml:space="preserve"> Top Fill machine in the technical shed, with 1.5 m³ hopper, pneumatic drilling system, and rotary brush for pot cleaning (</w:t>
      </w:r>
      <w:proofErr w:type="spellStart"/>
      <w:r w:rsidRPr="00634677">
        <w:rPr>
          <w:sz w:val="24"/>
          <w:szCs w:val="24"/>
        </w:rPr>
        <w:t>Demtec</w:t>
      </w:r>
      <w:proofErr w:type="spellEnd"/>
      <w:r w:rsidRPr="00634677">
        <w:rPr>
          <w:sz w:val="24"/>
          <w:szCs w:val="24"/>
        </w:rPr>
        <w:t>, 2024).</w:t>
      </w:r>
    </w:p>
    <w:p w14:paraId="1A9781EB" w14:textId="77777777" w:rsidR="001435B7" w:rsidRPr="00634677" w:rsidRDefault="001435B7" w:rsidP="001435B7">
      <w:pPr>
        <w:pStyle w:val="ListParagraph"/>
        <w:numPr>
          <w:ilvl w:val="0"/>
          <w:numId w:val="3"/>
        </w:numPr>
        <w:spacing w:before="40" w:after="40"/>
        <w:contextualSpacing w:val="0"/>
        <w:rPr>
          <w:sz w:val="24"/>
          <w:szCs w:val="24"/>
        </w:rPr>
      </w:pPr>
      <w:r w:rsidRPr="00634677">
        <w:rPr>
          <w:b/>
          <w:bCs/>
          <w:sz w:val="24"/>
          <w:szCs w:val="24"/>
        </w:rPr>
        <w:t xml:space="preserve">Hybrid Micro-Power Plant: </w:t>
      </w:r>
      <w:r w:rsidRPr="00634677">
        <w:rPr>
          <w:sz w:val="24"/>
          <w:szCs w:val="24"/>
        </w:rPr>
        <w:t>15 kW single-phase photovoltaic system with N-Type Bifacial panels, two 8 kW Deye hybrid inverters, and a 20 kWh LiFePO4 battery bank to ensure greenhouse operation during rural power outages.</w:t>
      </w:r>
    </w:p>
    <w:p w14:paraId="415FE704" w14:textId="77777777" w:rsidR="001435B7" w:rsidRPr="00634677" w:rsidRDefault="001435B7" w:rsidP="001435B7">
      <w:pPr>
        <w:pStyle w:val="ListParagraph"/>
        <w:numPr>
          <w:ilvl w:val="0"/>
          <w:numId w:val="3"/>
        </w:numPr>
        <w:spacing w:before="40" w:after="40"/>
        <w:contextualSpacing w:val="0"/>
        <w:rPr>
          <w:sz w:val="24"/>
          <w:szCs w:val="24"/>
        </w:rPr>
      </w:pPr>
      <w:r w:rsidRPr="00634677">
        <w:rPr>
          <w:b/>
          <w:bCs/>
          <w:sz w:val="24"/>
          <w:szCs w:val="24"/>
        </w:rPr>
        <w:t xml:space="preserve">Irrigation and Fertigation Node: </w:t>
      </w:r>
      <w:r w:rsidRPr="00634677">
        <w:rPr>
          <w:sz w:val="24"/>
          <w:szCs w:val="24"/>
        </w:rPr>
        <w:t>20 m³ vertical and opaque buffer tank (to prevent algae growth) on a reinforced concrete slab with 2.2 kW surface pump with speed inverter and Netafim process computer for precise nutrient distribution (Netafim, 2024, p. 41).</w:t>
      </w:r>
    </w:p>
    <w:p w14:paraId="172E6BB5" w14:textId="77777777" w:rsidR="001435B7" w:rsidRPr="00634677" w:rsidRDefault="001435B7" w:rsidP="001435B7">
      <w:pPr>
        <w:pStyle w:val="ListParagraph"/>
        <w:numPr>
          <w:ilvl w:val="0"/>
          <w:numId w:val="3"/>
        </w:numPr>
        <w:spacing w:before="40" w:after="40"/>
        <w:contextualSpacing w:val="0"/>
        <w:rPr>
          <w:sz w:val="24"/>
          <w:szCs w:val="24"/>
        </w:rPr>
      </w:pPr>
      <w:r w:rsidRPr="00634677">
        <w:rPr>
          <w:b/>
          <w:bCs/>
          <w:sz w:val="24"/>
          <w:szCs w:val="24"/>
        </w:rPr>
        <w:t xml:space="preserve">HDPE Water Network: </w:t>
      </w:r>
      <w:r w:rsidRPr="00634677">
        <w:rPr>
          <w:sz w:val="24"/>
          <w:szCs w:val="24"/>
        </w:rPr>
        <w:t>200-metre utility trench with Uponor HDPE PE100 water pipe, CYY-F power cabling, and FTP Cat6 data cables connecting the borehole to the fertigation node (Uponor, 2023, p. 18).</w:t>
      </w:r>
    </w:p>
    <w:p w14:paraId="6AE6BDC4" w14:textId="77777777" w:rsidR="001435B7" w:rsidRPr="00634677" w:rsidRDefault="001435B7" w:rsidP="001435B7">
      <w:pPr>
        <w:pStyle w:val="ListParagraph"/>
        <w:numPr>
          <w:ilvl w:val="0"/>
          <w:numId w:val="3"/>
        </w:numPr>
        <w:spacing w:before="40" w:after="40"/>
        <w:contextualSpacing w:val="0"/>
        <w:rPr>
          <w:sz w:val="24"/>
          <w:szCs w:val="24"/>
        </w:rPr>
      </w:pPr>
      <w:r w:rsidRPr="00634677">
        <w:rPr>
          <w:b/>
          <w:bCs/>
          <w:sz w:val="24"/>
          <w:szCs w:val="24"/>
        </w:rPr>
        <w:t xml:space="preserve">Omnichannel Digital Platform: </w:t>
      </w:r>
      <w:r w:rsidRPr="00634677">
        <w:rPr>
          <w:sz w:val="24"/>
          <w:szCs w:val="24"/>
        </w:rPr>
        <w:t>Custom e-commerce web shop with courier and payment processing modules, and an industrial thermal transfer printer for barcode pot marking.</w:t>
      </w:r>
    </w:p>
    <w:p w14:paraId="310AFF31" w14:textId="77777777" w:rsidR="001435B7" w:rsidRPr="00634677" w:rsidRDefault="001435B7" w:rsidP="001435B7">
      <w:pPr>
        <w:pStyle w:val="ListParagraph"/>
        <w:numPr>
          <w:ilvl w:val="0"/>
          <w:numId w:val="3"/>
        </w:numPr>
        <w:spacing w:before="40" w:after="40"/>
        <w:contextualSpacing w:val="0"/>
        <w:rPr>
          <w:sz w:val="24"/>
          <w:szCs w:val="24"/>
        </w:rPr>
      </w:pPr>
      <w:r w:rsidRPr="00634677">
        <w:rPr>
          <w:b/>
          <w:bCs/>
          <w:sz w:val="24"/>
          <w:szCs w:val="24"/>
        </w:rPr>
        <w:t xml:space="preserve">Project Implementation Report: </w:t>
      </w:r>
      <w:r w:rsidRPr="00634677">
        <w:rPr>
          <w:sz w:val="24"/>
          <w:szCs w:val="24"/>
        </w:rPr>
        <w:t>A complete project manager report on the investment deployment, equipment technical compliance, timeframes, and budgets.</w:t>
      </w:r>
    </w:p>
    <w:p w14:paraId="0DECBF5D" w14:textId="77777777" w:rsidR="001435B7" w:rsidRDefault="001435B7" w:rsidP="001435B7">
      <w:pPr>
        <w:spacing w:before="120"/>
      </w:pPr>
    </w:p>
    <w:p w14:paraId="4E760DFA" w14:textId="77777777" w:rsidR="001435B7" w:rsidRPr="0062020D" w:rsidRDefault="001435B7" w:rsidP="001435B7">
      <w:pPr>
        <w:pStyle w:val="Heading2"/>
        <w:rPr>
          <w:color w:val="000000" w:themeColor="text1"/>
        </w:rPr>
      </w:pPr>
      <w:r w:rsidRPr="0062020D">
        <w:rPr>
          <w:rFonts w:ascii="Arial" w:eastAsia="Arial" w:hAnsi="Arial" w:cs="Arial"/>
          <w:b/>
          <w:bCs/>
          <w:color w:val="000000" w:themeColor="text1"/>
          <w:sz w:val="24"/>
          <w:szCs w:val="24"/>
        </w:rPr>
        <w:t>3.2 Stakeholders &amp; Communication Plan</w:t>
      </w:r>
    </w:p>
    <w:p w14:paraId="22031CB1" w14:textId="77777777" w:rsidR="001435B7" w:rsidRPr="00B23FB6" w:rsidRDefault="001435B7" w:rsidP="001435B7">
      <w:pPr>
        <w:spacing w:before="60" w:after="100"/>
        <w:jc w:val="both"/>
        <w:rPr>
          <w:sz w:val="24"/>
          <w:szCs w:val="24"/>
        </w:rPr>
      </w:pPr>
      <w:r w:rsidRPr="00B23FB6">
        <w:rPr>
          <w:sz w:val="24"/>
          <w:szCs w:val="24"/>
        </w:rPr>
        <w:t>Stakeholder management is critical in a 100% outsourced business model, as Turner (2022, p. 457) notes that outsourcing transfers execution risk to contractors but intensifies the need for relational governance and communication. Freeman (1984, p. 55) originally defined stakeholders as any group or individual who can affect or is affected by the achievement of the organisation’s objectives, establishing the conceptual basis for stakeholder analysis. Bourne (2016, p. 2) extends this by arguing that effective stakeholder relationship management directly determines project outcomes in complex, multi-contractor environments.</w:t>
      </w:r>
    </w:p>
    <w:p w14:paraId="6C708937" w14:textId="77777777" w:rsidR="001435B7" w:rsidRPr="0062020D" w:rsidRDefault="001435B7" w:rsidP="001435B7">
      <w:pPr>
        <w:pBdr>
          <w:bottom w:val="single" w:sz="2" w:space="15" w:color="2E7D32"/>
        </w:pBdr>
        <w:spacing w:before="160" w:after="80"/>
        <w:rPr>
          <w:color w:val="000000" w:themeColor="text1"/>
        </w:rPr>
      </w:pPr>
      <w:r w:rsidRPr="0062020D">
        <w:rPr>
          <w:b/>
          <w:bCs/>
          <w:color w:val="000000" w:themeColor="text1"/>
        </w:rPr>
        <w:t>3.2.1 Stakeholder Lis</w:t>
      </w:r>
      <w:r>
        <w:rPr>
          <w:b/>
          <w:bCs/>
          <w:color w:val="000000" w:themeColor="text1"/>
        </w:rPr>
        <w:t>t</w:t>
      </w:r>
    </w:p>
    <w:p w14:paraId="344CF7CB" w14:textId="77777777" w:rsidR="001435B7" w:rsidRPr="00B23FB6" w:rsidRDefault="001435B7" w:rsidP="001435B7">
      <w:pPr>
        <w:spacing w:before="60" w:after="100"/>
        <w:jc w:val="both"/>
        <w:rPr>
          <w:sz w:val="24"/>
          <w:szCs w:val="24"/>
        </w:rPr>
      </w:pPr>
      <w:r w:rsidRPr="00B23FB6">
        <w:rPr>
          <w:sz w:val="24"/>
          <w:szCs w:val="24"/>
        </w:rPr>
        <w:t>Internal stakeholders:</w:t>
      </w:r>
    </w:p>
    <w:p w14:paraId="07CB077B" w14:textId="77777777" w:rsidR="001435B7" w:rsidRPr="00B23FB6" w:rsidRDefault="001435B7" w:rsidP="001435B7">
      <w:pPr>
        <w:pStyle w:val="ListParagraph"/>
        <w:numPr>
          <w:ilvl w:val="0"/>
          <w:numId w:val="2"/>
        </w:numPr>
        <w:spacing w:before="40" w:after="40"/>
        <w:contextualSpacing w:val="0"/>
        <w:rPr>
          <w:sz w:val="24"/>
          <w:szCs w:val="24"/>
        </w:rPr>
      </w:pPr>
      <w:r w:rsidRPr="00B23FB6">
        <w:rPr>
          <w:sz w:val="24"/>
          <w:szCs w:val="24"/>
        </w:rPr>
        <w:t>Project Manager (Economic Profile / Contractor)</w:t>
      </w:r>
    </w:p>
    <w:p w14:paraId="12EAC045" w14:textId="77777777" w:rsidR="001435B7" w:rsidRPr="00B23FB6" w:rsidRDefault="001435B7" w:rsidP="001435B7">
      <w:pPr>
        <w:pStyle w:val="ListParagraph"/>
        <w:numPr>
          <w:ilvl w:val="0"/>
          <w:numId w:val="2"/>
        </w:numPr>
        <w:spacing w:before="40" w:after="40"/>
        <w:contextualSpacing w:val="0"/>
        <w:rPr>
          <w:sz w:val="24"/>
          <w:szCs w:val="24"/>
        </w:rPr>
      </w:pPr>
      <w:r w:rsidRPr="00B23FB6">
        <w:rPr>
          <w:sz w:val="24"/>
          <w:szCs w:val="24"/>
        </w:rPr>
        <w:t>Horticultural Manager (Technical Profile / Contractor)</w:t>
      </w:r>
    </w:p>
    <w:p w14:paraId="52DECE96" w14:textId="77777777" w:rsidR="001435B7" w:rsidRPr="00B23FB6" w:rsidRDefault="001435B7" w:rsidP="001435B7">
      <w:pPr>
        <w:spacing w:before="60"/>
        <w:rPr>
          <w:sz w:val="24"/>
          <w:szCs w:val="24"/>
        </w:rPr>
      </w:pPr>
    </w:p>
    <w:p w14:paraId="48A8412F" w14:textId="77777777" w:rsidR="001435B7" w:rsidRPr="00B23FB6" w:rsidRDefault="001435B7" w:rsidP="001435B7">
      <w:pPr>
        <w:spacing w:before="60" w:after="100"/>
        <w:jc w:val="both"/>
        <w:rPr>
          <w:sz w:val="24"/>
          <w:szCs w:val="24"/>
        </w:rPr>
      </w:pPr>
      <w:r w:rsidRPr="00B23FB6">
        <w:rPr>
          <w:sz w:val="24"/>
          <w:szCs w:val="24"/>
        </w:rPr>
        <w:t>External stakeholders:</w:t>
      </w:r>
    </w:p>
    <w:p w14:paraId="79D9891A" w14:textId="77777777" w:rsidR="001435B7" w:rsidRPr="00B23FB6" w:rsidRDefault="001435B7" w:rsidP="001435B7">
      <w:pPr>
        <w:pStyle w:val="ListParagraph"/>
        <w:numPr>
          <w:ilvl w:val="0"/>
          <w:numId w:val="2"/>
        </w:numPr>
        <w:spacing w:before="40" w:after="40"/>
        <w:contextualSpacing w:val="0"/>
        <w:rPr>
          <w:sz w:val="24"/>
          <w:szCs w:val="24"/>
        </w:rPr>
      </w:pPr>
      <w:r w:rsidRPr="00B23FB6">
        <w:rPr>
          <w:sz w:val="24"/>
          <w:szCs w:val="24"/>
        </w:rPr>
        <w:t>BID Development Bank (Grant Fund Provider – 60% financing)</w:t>
      </w:r>
    </w:p>
    <w:p w14:paraId="296DB344" w14:textId="77777777" w:rsidR="001435B7" w:rsidRPr="00B23FB6" w:rsidRDefault="001435B7" w:rsidP="001435B7">
      <w:pPr>
        <w:pStyle w:val="ListParagraph"/>
        <w:numPr>
          <w:ilvl w:val="0"/>
          <w:numId w:val="2"/>
        </w:numPr>
        <w:spacing w:before="40" w:after="40"/>
        <w:contextualSpacing w:val="0"/>
        <w:rPr>
          <w:sz w:val="24"/>
          <w:szCs w:val="24"/>
        </w:rPr>
      </w:pPr>
      <w:r w:rsidRPr="00B23FB6">
        <w:rPr>
          <w:sz w:val="24"/>
          <w:szCs w:val="24"/>
        </w:rPr>
        <w:t xml:space="preserve">Authorised Firms / Contractors (Greenhouse Constructor, </w:t>
      </w:r>
      <w:proofErr w:type="spellStart"/>
      <w:r w:rsidRPr="00B23FB6">
        <w:rPr>
          <w:sz w:val="24"/>
          <w:szCs w:val="24"/>
        </w:rPr>
        <w:t>Demtec</w:t>
      </w:r>
      <w:proofErr w:type="spellEnd"/>
      <w:r w:rsidRPr="00B23FB6">
        <w:rPr>
          <w:sz w:val="24"/>
          <w:szCs w:val="24"/>
        </w:rPr>
        <w:t xml:space="preserve"> Line Supplier, Photovoltaic Installer)</w:t>
      </w:r>
    </w:p>
    <w:p w14:paraId="70830540" w14:textId="77777777" w:rsidR="001435B7" w:rsidRPr="00B23FB6" w:rsidRDefault="001435B7" w:rsidP="001435B7">
      <w:pPr>
        <w:pStyle w:val="ListParagraph"/>
        <w:numPr>
          <w:ilvl w:val="0"/>
          <w:numId w:val="2"/>
        </w:numPr>
        <w:spacing w:before="40" w:after="40"/>
        <w:contextualSpacing w:val="0"/>
        <w:rPr>
          <w:sz w:val="24"/>
          <w:szCs w:val="24"/>
        </w:rPr>
      </w:pPr>
      <w:r w:rsidRPr="00B23FB6">
        <w:rPr>
          <w:sz w:val="24"/>
          <w:szCs w:val="24"/>
        </w:rPr>
        <w:t>ITCSMS Inspectorate (Phytosanitary certification authority)</w:t>
      </w:r>
    </w:p>
    <w:p w14:paraId="6D6D6860" w14:textId="77777777" w:rsidR="001435B7" w:rsidRPr="00B23FB6" w:rsidRDefault="001435B7" w:rsidP="001435B7">
      <w:pPr>
        <w:pStyle w:val="ListParagraph"/>
        <w:numPr>
          <w:ilvl w:val="0"/>
          <w:numId w:val="2"/>
        </w:numPr>
        <w:spacing w:before="40" w:after="40"/>
        <w:contextualSpacing w:val="0"/>
        <w:rPr>
          <w:sz w:val="24"/>
          <w:szCs w:val="24"/>
        </w:rPr>
      </w:pPr>
      <w:r w:rsidRPr="00B23FB6">
        <w:rPr>
          <w:sz w:val="24"/>
          <w:szCs w:val="24"/>
        </w:rPr>
        <w:t>APM Environmental Inspectorate</w:t>
      </w:r>
    </w:p>
    <w:p w14:paraId="194A1C18" w14:textId="77777777" w:rsidR="001435B7" w:rsidRPr="00B23FB6" w:rsidRDefault="001435B7" w:rsidP="001435B7">
      <w:pPr>
        <w:pStyle w:val="ListParagraph"/>
        <w:numPr>
          <w:ilvl w:val="0"/>
          <w:numId w:val="2"/>
        </w:numPr>
        <w:spacing w:before="40" w:after="40"/>
        <w:contextualSpacing w:val="0"/>
        <w:rPr>
          <w:sz w:val="24"/>
          <w:szCs w:val="24"/>
        </w:rPr>
      </w:pPr>
      <w:r w:rsidRPr="00B23FB6">
        <w:rPr>
          <w:sz w:val="24"/>
          <w:szCs w:val="24"/>
        </w:rPr>
        <w:t xml:space="preserve">End Clients (real estate developers and private </w:t>
      </w:r>
      <w:proofErr w:type="gramStart"/>
      <w:r w:rsidRPr="00B23FB6">
        <w:rPr>
          <w:sz w:val="24"/>
          <w:szCs w:val="24"/>
        </w:rPr>
        <w:t>home-owners</w:t>
      </w:r>
      <w:proofErr w:type="gramEnd"/>
      <w:r w:rsidRPr="00B23FB6">
        <w:rPr>
          <w:sz w:val="24"/>
          <w:szCs w:val="24"/>
        </w:rPr>
        <w:t>)</w:t>
      </w:r>
    </w:p>
    <w:p w14:paraId="4B2489E1" w14:textId="77777777" w:rsidR="001435B7" w:rsidRPr="00B23FB6" w:rsidRDefault="001435B7" w:rsidP="001435B7">
      <w:pPr>
        <w:spacing w:before="80"/>
        <w:rPr>
          <w:sz w:val="24"/>
          <w:szCs w:val="24"/>
        </w:rPr>
      </w:pPr>
    </w:p>
    <w:p w14:paraId="53CA4950" w14:textId="77777777" w:rsidR="001435B7" w:rsidRPr="00B23FB6" w:rsidRDefault="001435B7" w:rsidP="001435B7">
      <w:pPr>
        <w:pBdr>
          <w:bottom w:val="single" w:sz="2" w:space="0" w:color="2E7D32"/>
        </w:pBdr>
        <w:spacing w:before="160" w:after="80"/>
        <w:rPr>
          <w:color w:val="000000" w:themeColor="text1"/>
          <w:sz w:val="24"/>
          <w:szCs w:val="24"/>
        </w:rPr>
      </w:pPr>
      <w:r w:rsidRPr="00B23FB6">
        <w:rPr>
          <w:b/>
          <w:bCs/>
          <w:color w:val="000000" w:themeColor="text1"/>
          <w:sz w:val="24"/>
          <w:szCs w:val="24"/>
        </w:rPr>
        <w:t>3.2.2 Power–Interest Grid Analysis</w:t>
      </w:r>
    </w:p>
    <w:p w14:paraId="126B7455" w14:textId="5C80506D" w:rsidR="005B5D2F" w:rsidRPr="00B23FB6" w:rsidRDefault="001435B7" w:rsidP="001435B7">
      <w:pPr>
        <w:spacing w:before="60" w:after="100"/>
        <w:jc w:val="both"/>
        <w:rPr>
          <w:sz w:val="24"/>
          <w:szCs w:val="24"/>
        </w:rPr>
      </w:pPr>
      <w:r w:rsidRPr="00B23FB6">
        <w:rPr>
          <w:sz w:val="24"/>
          <w:szCs w:val="24"/>
        </w:rPr>
        <w:t>Stakeholders were classified using the Power–Interest Grid model originally proposed by Freeman (1984, pp. 62–63), who identified that different stakeholders require distinct management strategies based on their ability to exercise power and their level of interest in the project. Kerzner (2017, p. 355) builds on this, emphasising that the project manager must identify who has the power to kill the project and allocate communication effort accordingly. The PMI (2025, pp. 141–142) further recommends a stakeholder classification combining power, interest, influence, and impact dimensions.</w:t>
      </w:r>
    </w:p>
    <w:p w14:paraId="1FA9D402" w14:textId="1009CE46" w:rsidR="001435B7" w:rsidRDefault="00B23FB6" w:rsidP="00B23FB6">
      <w:pPr>
        <w:spacing w:after="160" w:line="259" w:lineRule="auto"/>
      </w:pPr>
      <w:r w:rsidRPr="005B5D2F">
        <w:rPr>
          <w:noProof/>
        </w:rPr>
        <w:drawing>
          <wp:inline distT="0" distB="0" distL="0" distR="0" wp14:anchorId="62BFA351" wp14:editId="11B20EDC">
            <wp:extent cx="5731510" cy="2377440"/>
            <wp:effectExtent l="0" t="0" r="2540" b="3810"/>
            <wp:docPr id="2050094422" name="Picture 1"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094422" name="Picture 1" descr="A table with text on it&#10;&#10;Description automatically generated"/>
                    <pic:cNvPicPr/>
                  </pic:nvPicPr>
                  <pic:blipFill>
                    <a:blip r:embed="rId7"/>
                    <a:stretch>
                      <a:fillRect/>
                    </a:stretch>
                  </pic:blipFill>
                  <pic:spPr>
                    <a:xfrm>
                      <a:off x="0" y="0"/>
                      <a:ext cx="5731510" cy="2377440"/>
                    </a:xfrm>
                    <a:prstGeom prst="rect">
                      <a:avLst/>
                    </a:prstGeom>
                  </pic:spPr>
                </pic:pic>
              </a:graphicData>
            </a:graphic>
          </wp:inline>
        </w:drawing>
      </w:r>
    </w:p>
    <w:p w14:paraId="5137070D" w14:textId="77777777" w:rsidR="001435B7" w:rsidRDefault="001435B7" w:rsidP="001435B7">
      <w:pPr>
        <w:spacing w:before="40" w:after="120"/>
        <w:jc w:val="center"/>
      </w:pPr>
      <w:r>
        <w:rPr>
          <w:i/>
          <w:iCs/>
          <w:color w:val="757575"/>
          <w:sz w:val="19"/>
          <w:szCs w:val="19"/>
        </w:rPr>
        <w:t>Table 1: Power–Interest Grid (adapted from Freeman, 1984, pp. 62–63; Kerzner, 2017, p. 355; PMI, 2025, pp. 141–142)</w:t>
      </w:r>
    </w:p>
    <w:p w14:paraId="47164BA6" w14:textId="77777777" w:rsidR="001435B7" w:rsidRPr="0062020D" w:rsidRDefault="001435B7" w:rsidP="001435B7">
      <w:pPr>
        <w:pBdr>
          <w:bottom w:val="single" w:sz="2" w:space="0" w:color="2E7D32"/>
        </w:pBdr>
        <w:spacing w:before="160" w:after="80"/>
        <w:rPr>
          <w:color w:val="000000" w:themeColor="text1"/>
        </w:rPr>
      </w:pPr>
      <w:r w:rsidRPr="0062020D">
        <w:rPr>
          <w:b/>
          <w:bCs/>
          <w:color w:val="000000" w:themeColor="text1"/>
        </w:rPr>
        <w:t>3.2.3 Communication and Reporting Plan</w:t>
      </w:r>
    </w:p>
    <w:p w14:paraId="206DFCE8" w14:textId="77777777" w:rsidR="001435B7" w:rsidRDefault="001435B7" w:rsidP="001435B7">
      <w:pPr>
        <w:spacing w:before="60"/>
      </w:pPr>
    </w:p>
    <w:p w14:paraId="68172F01" w14:textId="70C6B746" w:rsidR="005B5D2F" w:rsidRDefault="005B5D2F" w:rsidP="001435B7">
      <w:pPr>
        <w:spacing w:before="60"/>
      </w:pPr>
      <w:r w:rsidRPr="005B5D2F">
        <w:rPr>
          <w:noProof/>
        </w:rPr>
        <w:drawing>
          <wp:inline distT="0" distB="0" distL="0" distR="0" wp14:anchorId="1271E1EF" wp14:editId="29928144">
            <wp:extent cx="5731510" cy="2590165"/>
            <wp:effectExtent l="0" t="0" r="2540" b="635"/>
            <wp:docPr id="1967000246" name="Picture 1" descr="A tab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000246" name="Picture 1" descr="A table with black text&#10;&#10;Description automatically generated"/>
                    <pic:cNvPicPr/>
                  </pic:nvPicPr>
                  <pic:blipFill>
                    <a:blip r:embed="rId8"/>
                    <a:stretch>
                      <a:fillRect/>
                    </a:stretch>
                  </pic:blipFill>
                  <pic:spPr>
                    <a:xfrm>
                      <a:off x="0" y="0"/>
                      <a:ext cx="5731510" cy="2590165"/>
                    </a:xfrm>
                    <a:prstGeom prst="rect">
                      <a:avLst/>
                    </a:prstGeom>
                  </pic:spPr>
                </pic:pic>
              </a:graphicData>
            </a:graphic>
          </wp:inline>
        </w:drawing>
      </w:r>
    </w:p>
    <w:p w14:paraId="125BF421" w14:textId="77777777" w:rsidR="005B5D2F" w:rsidRDefault="005B5D2F" w:rsidP="001435B7">
      <w:pPr>
        <w:spacing w:before="60"/>
      </w:pPr>
    </w:p>
    <w:p w14:paraId="368C0DA6" w14:textId="7CA994D6" w:rsidR="00B23FB6" w:rsidRDefault="001435B7" w:rsidP="001435B7">
      <w:pPr>
        <w:spacing w:before="40" w:after="120"/>
        <w:jc w:val="center"/>
        <w:rPr>
          <w:i/>
          <w:iCs/>
          <w:color w:val="757575"/>
          <w:sz w:val="19"/>
          <w:szCs w:val="19"/>
        </w:rPr>
      </w:pPr>
      <w:r>
        <w:rPr>
          <w:i/>
          <w:iCs/>
          <w:color w:val="757575"/>
          <w:sz w:val="19"/>
          <w:szCs w:val="19"/>
        </w:rPr>
        <w:t>Table 2: Communication Plan (adapted from Turner, 2022, p. 457; Maylor, 2010, p. 160)</w:t>
      </w:r>
    </w:p>
    <w:p w14:paraId="694E51EB" w14:textId="5C7068C8" w:rsidR="001435B7" w:rsidRPr="00B23FB6" w:rsidRDefault="00B23FB6" w:rsidP="00B23FB6">
      <w:pPr>
        <w:spacing w:after="160" w:line="259" w:lineRule="auto"/>
        <w:rPr>
          <w:i/>
          <w:iCs/>
          <w:color w:val="757575"/>
          <w:sz w:val="19"/>
          <w:szCs w:val="19"/>
        </w:rPr>
      </w:pPr>
      <w:r>
        <w:rPr>
          <w:i/>
          <w:iCs/>
          <w:color w:val="757575"/>
          <w:sz w:val="19"/>
          <w:szCs w:val="19"/>
        </w:rPr>
        <w:br w:type="page"/>
      </w:r>
    </w:p>
    <w:p w14:paraId="35F46A14" w14:textId="77777777" w:rsidR="001435B7" w:rsidRPr="00B23FB6" w:rsidRDefault="001435B7" w:rsidP="001435B7">
      <w:pPr>
        <w:pBdr>
          <w:bottom w:val="single" w:sz="2" w:space="0" w:color="2E7D32"/>
        </w:pBdr>
        <w:spacing w:before="160" w:after="80"/>
        <w:rPr>
          <w:color w:val="000000" w:themeColor="text1"/>
          <w:sz w:val="24"/>
          <w:szCs w:val="24"/>
        </w:rPr>
      </w:pPr>
      <w:r w:rsidRPr="00B23FB6">
        <w:rPr>
          <w:b/>
          <w:bCs/>
          <w:color w:val="000000" w:themeColor="text1"/>
          <w:sz w:val="24"/>
          <w:szCs w:val="24"/>
        </w:rPr>
        <w:lastRenderedPageBreak/>
        <w:t>3.2.4 Critical Stakeholder Debriefing</w:t>
      </w:r>
    </w:p>
    <w:p w14:paraId="7C9653C2" w14:textId="77777777" w:rsidR="001435B7" w:rsidRPr="00B23FB6" w:rsidRDefault="001435B7" w:rsidP="001435B7">
      <w:pPr>
        <w:spacing w:before="60" w:after="100"/>
        <w:jc w:val="both"/>
        <w:rPr>
          <w:sz w:val="24"/>
          <w:szCs w:val="24"/>
        </w:rPr>
      </w:pPr>
      <w:r w:rsidRPr="00B23FB6">
        <w:rPr>
          <w:b/>
          <w:bCs/>
          <w:sz w:val="24"/>
          <w:szCs w:val="24"/>
        </w:rPr>
        <w:t xml:space="preserve">Who is the strongest stakeholder? </w:t>
      </w:r>
      <w:r w:rsidRPr="00B23FB6">
        <w:rPr>
          <w:sz w:val="24"/>
          <w:szCs w:val="24"/>
        </w:rPr>
        <w:t>BID Development Bank. Controlling over 60% of the financing flow, any audit query could suspend payments, threatening the entire project viability (Kerzner, 2017, p. 355).</w:t>
      </w:r>
    </w:p>
    <w:p w14:paraId="2E183928" w14:textId="77777777" w:rsidR="001435B7" w:rsidRPr="00B23FB6" w:rsidRDefault="001435B7" w:rsidP="001435B7">
      <w:pPr>
        <w:spacing w:before="60" w:after="100"/>
        <w:jc w:val="both"/>
        <w:rPr>
          <w:sz w:val="24"/>
          <w:szCs w:val="24"/>
        </w:rPr>
      </w:pPr>
      <w:r w:rsidRPr="00B23FB6">
        <w:rPr>
          <w:b/>
          <w:bCs/>
          <w:sz w:val="24"/>
          <w:szCs w:val="24"/>
        </w:rPr>
        <w:t xml:space="preserve">Who could kill the project? </w:t>
      </w:r>
      <w:r w:rsidRPr="00B23FB6">
        <w:rPr>
          <w:sz w:val="24"/>
          <w:szCs w:val="24"/>
        </w:rPr>
        <w:t>Authorised Contractors and ITCSMS. A construction company delaying the greenhouse foundation until winter frost could shift the schedule by 4–5 months. ITCSMS refusal of phytosanitary passports would immediately revoke market access.</w:t>
      </w:r>
    </w:p>
    <w:p w14:paraId="72557AC9" w14:textId="77777777" w:rsidR="001435B7" w:rsidRPr="00B23FB6" w:rsidRDefault="001435B7" w:rsidP="001435B7">
      <w:pPr>
        <w:spacing w:before="60" w:after="100"/>
        <w:jc w:val="both"/>
        <w:rPr>
          <w:sz w:val="24"/>
          <w:szCs w:val="24"/>
        </w:rPr>
      </w:pPr>
      <w:r w:rsidRPr="00B23FB6">
        <w:rPr>
          <w:b/>
          <w:bCs/>
          <w:sz w:val="24"/>
          <w:szCs w:val="24"/>
        </w:rPr>
        <w:t xml:space="preserve">Who requires the closest technical management? </w:t>
      </w:r>
      <w:r w:rsidRPr="00B23FB6">
        <w:rPr>
          <w:sz w:val="24"/>
          <w:szCs w:val="24"/>
        </w:rPr>
        <w:t>Technical contractors (greenhouse constructor and PV system installer). An error in greenhouse installation will cascade through the climate computer function and compromise plant life, as the technologies are interdependent.</w:t>
      </w:r>
    </w:p>
    <w:p w14:paraId="54546741" w14:textId="77777777" w:rsidR="001435B7" w:rsidRPr="00B23FB6" w:rsidRDefault="001435B7" w:rsidP="001435B7">
      <w:pPr>
        <w:spacing w:before="120"/>
        <w:rPr>
          <w:sz w:val="24"/>
          <w:szCs w:val="24"/>
        </w:rPr>
      </w:pPr>
    </w:p>
    <w:p w14:paraId="450A1ABB" w14:textId="77777777" w:rsidR="001435B7" w:rsidRPr="00B23FB6" w:rsidRDefault="001435B7" w:rsidP="001435B7">
      <w:pPr>
        <w:pStyle w:val="Heading2"/>
        <w:rPr>
          <w:color w:val="000000" w:themeColor="text1"/>
          <w:sz w:val="24"/>
          <w:szCs w:val="24"/>
        </w:rPr>
      </w:pPr>
      <w:r w:rsidRPr="00B23FB6">
        <w:rPr>
          <w:rFonts w:ascii="Arial" w:eastAsia="Arial" w:hAnsi="Arial" w:cs="Arial"/>
          <w:b/>
          <w:bCs/>
          <w:color w:val="000000" w:themeColor="text1"/>
          <w:sz w:val="24"/>
          <w:szCs w:val="24"/>
        </w:rPr>
        <w:t>3.3 Activities and Work Breakdown Structure (WBS)</w:t>
      </w:r>
    </w:p>
    <w:p w14:paraId="2FB043EA" w14:textId="77777777" w:rsidR="001435B7" w:rsidRDefault="001435B7" w:rsidP="001435B7">
      <w:pPr>
        <w:spacing w:before="60" w:after="100"/>
        <w:jc w:val="both"/>
        <w:rPr>
          <w:sz w:val="24"/>
          <w:szCs w:val="24"/>
        </w:rPr>
      </w:pPr>
      <w:r w:rsidRPr="00B23FB6">
        <w:rPr>
          <w:sz w:val="24"/>
          <w:szCs w:val="24"/>
        </w:rPr>
        <w:t>The project has been hierarchically decomposed into five major Work Breakdown Structure (WBS) stages with clear activities and tasks. The PMI (2025, p. 165) defines the WBS as a hierarchical decomposition of the total scope of work to be carried out by the project team to accomplish project objectives and create required deliverables. Kerzner (2017, p. 391) adds that the WBS must be accompanied by a scope description for each work package; otherwise only those who issued it will fully understand the required output. Lock (2020, p. 6) notes that the WBS is the essential starting point for all subsequent scheduling, costing, and responsibility assignment.</w:t>
      </w:r>
    </w:p>
    <w:p w14:paraId="54C7EA9C" w14:textId="77777777" w:rsidR="00B23FB6" w:rsidRPr="00B23FB6" w:rsidRDefault="00B23FB6" w:rsidP="001435B7">
      <w:pPr>
        <w:spacing w:before="60" w:after="100"/>
        <w:jc w:val="both"/>
        <w:rPr>
          <w:sz w:val="24"/>
          <w:szCs w:val="24"/>
        </w:rPr>
      </w:pPr>
    </w:p>
    <w:p w14:paraId="7C9E0CFE" w14:textId="54025CE1" w:rsidR="001435B7" w:rsidRDefault="005B5D2F" w:rsidP="001435B7">
      <w:pPr>
        <w:spacing w:before="60"/>
      </w:pPr>
      <w:r w:rsidRPr="005B5D2F">
        <w:rPr>
          <w:noProof/>
        </w:rPr>
        <w:lastRenderedPageBreak/>
        <w:drawing>
          <wp:inline distT="0" distB="0" distL="0" distR="0" wp14:anchorId="79B1FEEC" wp14:editId="490D8BC1">
            <wp:extent cx="5664200" cy="5851815"/>
            <wp:effectExtent l="0" t="0" r="0" b="0"/>
            <wp:docPr id="1413177643"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177643" name="Picture 1" descr="A white sheet with black text&#10;&#10;Description automatically generated"/>
                    <pic:cNvPicPr/>
                  </pic:nvPicPr>
                  <pic:blipFill>
                    <a:blip r:embed="rId9"/>
                    <a:stretch>
                      <a:fillRect/>
                    </a:stretch>
                  </pic:blipFill>
                  <pic:spPr>
                    <a:xfrm>
                      <a:off x="0" y="0"/>
                      <a:ext cx="5678432" cy="5866519"/>
                    </a:xfrm>
                    <a:prstGeom prst="rect">
                      <a:avLst/>
                    </a:prstGeom>
                  </pic:spPr>
                </pic:pic>
              </a:graphicData>
            </a:graphic>
          </wp:inline>
        </w:drawing>
      </w:r>
    </w:p>
    <w:p w14:paraId="56656847" w14:textId="77777777" w:rsidR="001435B7" w:rsidRDefault="001435B7" w:rsidP="001435B7">
      <w:pPr>
        <w:spacing w:before="40" w:after="120"/>
        <w:jc w:val="center"/>
      </w:pPr>
      <w:r>
        <w:rPr>
          <w:i/>
          <w:iCs/>
          <w:color w:val="757575"/>
          <w:sz w:val="19"/>
          <w:szCs w:val="19"/>
        </w:rPr>
        <w:t>Table 3: Work Breakdown Structure (adapted from PMI, 2025, p. 165; Kerzner, 2017, p. 391; Lock, 2020, p. 6)</w:t>
      </w:r>
    </w:p>
    <w:p w14:paraId="0B5E5D50" w14:textId="77777777" w:rsidR="001435B7" w:rsidRPr="00B23FB6" w:rsidRDefault="001435B7" w:rsidP="001435B7">
      <w:pPr>
        <w:pStyle w:val="Heading2"/>
        <w:rPr>
          <w:color w:val="000000" w:themeColor="text1"/>
          <w:sz w:val="24"/>
          <w:szCs w:val="24"/>
        </w:rPr>
      </w:pPr>
      <w:r w:rsidRPr="00B23FB6">
        <w:rPr>
          <w:rFonts w:ascii="Arial" w:eastAsia="Arial" w:hAnsi="Arial" w:cs="Arial"/>
          <w:b/>
          <w:bCs/>
          <w:color w:val="000000" w:themeColor="text1"/>
          <w:sz w:val="24"/>
          <w:szCs w:val="24"/>
        </w:rPr>
        <w:t>3.4 Activities, Milestones and Responsibilities</w:t>
      </w:r>
    </w:p>
    <w:p w14:paraId="3E2E80A8" w14:textId="77777777" w:rsidR="001435B7" w:rsidRPr="00B23FB6" w:rsidRDefault="001435B7" w:rsidP="001435B7">
      <w:pPr>
        <w:pBdr>
          <w:bottom w:val="single" w:sz="2" w:space="0" w:color="2E7D32"/>
        </w:pBdr>
        <w:spacing w:before="160" w:after="80"/>
        <w:rPr>
          <w:color w:val="000000" w:themeColor="text1"/>
          <w:sz w:val="24"/>
          <w:szCs w:val="24"/>
        </w:rPr>
      </w:pPr>
      <w:r w:rsidRPr="00B23FB6">
        <w:rPr>
          <w:b/>
          <w:bCs/>
          <w:color w:val="000000" w:themeColor="text1"/>
          <w:sz w:val="24"/>
          <w:szCs w:val="24"/>
        </w:rPr>
        <w:t>3.4.1 RACI Matrix</w:t>
      </w:r>
    </w:p>
    <w:p w14:paraId="190A8885" w14:textId="77777777" w:rsidR="001435B7" w:rsidRPr="00B23FB6" w:rsidRDefault="001435B7" w:rsidP="001435B7">
      <w:pPr>
        <w:spacing w:before="60" w:after="100"/>
        <w:jc w:val="both"/>
        <w:rPr>
          <w:sz w:val="24"/>
          <w:szCs w:val="24"/>
        </w:rPr>
      </w:pPr>
      <w:r w:rsidRPr="00B23FB6">
        <w:rPr>
          <w:sz w:val="24"/>
          <w:szCs w:val="24"/>
        </w:rPr>
        <w:t>Physical execution is fully outsourced to licensed third-party firms; the two entrepreneurs focus exclusively on qualitative process supervision, indicator review, and receipt sign-off. The PMI (2025, p. 195) defines the RACI matrix as a responsibility assignment tool that maps roles against activities, identifying those Responsible, Accountable, Consulted, and Informed. Maylor (2010, p. 160) notes that in outsourced project structures, a clear RACI matrix is the primary mechanism for preventing accountability gaps between client-side managers and external contractors.</w:t>
      </w:r>
    </w:p>
    <w:p w14:paraId="442427D7" w14:textId="77777777" w:rsidR="001435B7" w:rsidRPr="00B23FB6" w:rsidRDefault="001435B7" w:rsidP="001435B7">
      <w:pPr>
        <w:spacing w:before="80"/>
        <w:rPr>
          <w:sz w:val="24"/>
          <w:szCs w:val="24"/>
        </w:rPr>
      </w:pPr>
    </w:p>
    <w:p w14:paraId="19005251" w14:textId="32CECC43" w:rsidR="001435B7" w:rsidRPr="0062020D" w:rsidRDefault="005B5D2F" w:rsidP="001435B7">
      <w:pPr>
        <w:spacing w:before="60"/>
        <w:rPr>
          <w:color w:val="000000" w:themeColor="text1"/>
        </w:rPr>
      </w:pPr>
      <w:r w:rsidRPr="005B5D2F">
        <w:rPr>
          <w:noProof/>
          <w:color w:val="000000" w:themeColor="text1"/>
        </w:rPr>
        <w:lastRenderedPageBreak/>
        <w:drawing>
          <wp:inline distT="0" distB="0" distL="0" distR="0" wp14:anchorId="427EEE59" wp14:editId="1934981F">
            <wp:extent cx="5670550" cy="2479856"/>
            <wp:effectExtent l="0" t="0" r="6350" b="0"/>
            <wp:docPr id="1520860910" name="Picture 1" descr="A table of workflows with wor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860910" name="Picture 1" descr="A table of workflows with words&#10;&#10;Description automatically generated with medium confidence"/>
                    <pic:cNvPicPr/>
                  </pic:nvPicPr>
                  <pic:blipFill>
                    <a:blip r:embed="rId10"/>
                    <a:stretch>
                      <a:fillRect/>
                    </a:stretch>
                  </pic:blipFill>
                  <pic:spPr>
                    <a:xfrm>
                      <a:off x="0" y="0"/>
                      <a:ext cx="5707182" cy="2495876"/>
                    </a:xfrm>
                    <a:prstGeom prst="rect">
                      <a:avLst/>
                    </a:prstGeom>
                  </pic:spPr>
                </pic:pic>
              </a:graphicData>
            </a:graphic>
          </wp:inline>
        </w:drawing>
      </w:r>
    </w:p>
    <w:p w14:paraId="3C62B582" w14:textId="77777777" w:rsidR="001435B7" w:rsidRDefault="001435B7" w:rsidP="001435B7">
      <w:pPr>
        <w:spacing w:before="40" w:after="120"/>
        <w:jc w:val="center"/>
      </w:pPr>
      <w:r>
        <w:rPr>
          <w:i/>
          <w:iCs/>
          <w:color w:val="757575"/>
          <w:sz w:val="19"/>
          <w:szCs w:val="19"/>
        </w:rPr>
        <w:t>Table 4: RACI Matrix (adapted from PMI, 2025, p. 195; Maylor, 2010, p. 160)  •  R = Responsible, A = Accountable, C = Consulted, I = Informed</w:t>
      </w:r>
    </w:p>
    <w:p w14:paraId="31DA0C07" w14:textId="77777777" w:rsidR="001435B7" w:rsidRPr="00B23FB6" w:rsidRDefault="001435B7" w:rsidP="001435B7">
      <w:pPr>
        <w:pBdr>
          <w:bottom w:val="single" w:sz="2" w:space="0" w:color="2E7D32"/>
        </w:pBdr>
        <w:spacing w:before="160" w:after="80"/>
        <w:rPr>
          <w:color w:val="000000" w:themeColor="text1"/>
          <w:sz w:val="24"/>
          <w:szCs w:val="24"/>
        </w:rPr>
      </w:pPr>
      <w:r w:rsidRPr="00B23FB6">
        <w:rPr>
          <w:b/>
          <w:bCs/>
          <w:color w:val="000000" w:themeColor="text1"/>
          <w:sz w:val="24"/>
          <w:szCs w:val="24"/>
        </w:rPr>
        <w:t>3.4.2 Project Milestones</w:t>
      </w:r>
    </w:p>
    <w:p w14:paraId="150C2D2E" w14:textId="77777777" w:rsidR="001435B7" w:rsidRPr="00B23FB6" w:rsidRDefault="001435B7" w:rsidP="001435B7">
      <w:pPr>
        <w:spacing w:before="60" w:after="100"/>
        <w:jc w:val="both"/>
        <w:rPr>
          <w:sz w:val="24"/>
          <w:szCs w:val="24"/>
        </w:rPr>
      </w:pPr>
      <w:r w:rsidRPr="00B23FB6">
        <w:rPr>
          <w:sz w:val="24"/>
          <w:szCs w:val="24"/>
        </w:rPr>
        <w:t xml:space="preserve">Lock (2020, p. 10) defines a milestone as a significant event in a project schedule, typically marking the completion of a major deliverable or phase gate. The APM Body of Knowledge (Murray-Webster and </w:t>
      </w:r>
      <w:proofErr w:type="spellStart"/>
      <w:r w:rsidRPr="00B23FB6">
        <w:rPr>
          <w:sz w:val="24"/>
          <w:szCs w:val="24"/>
        </w:rPr>
        <w:t>Dalcher</w:t>
      </w:r>
      <w:proofErr w:type="spellEnd"/>
      <w:r w:rsidRPr="00B23FB6">
        <w:rPr>
          <w:sz w:val="24"/>
          <w:szCs w:val="24"/>
        </w:rPr>
        <w:t>, 2019, p. 28) further specifies that milestones should be used as control points to verify project progress and authorise continuation to the next phase.</w:t>
      </w:r>
    </w:p>
    <w:p w14:paraId="0F2DFFE0" w14:textId="77777777" w:rsidR="001435B7" w:rsidRDefault="001435B7" w:rsidP="001435B7">
      <w:pPr>
        <w:spacing w:before="80"/>
      </w:pPr>
    </w:p>
    <w:p w14:paraId="0A00FC89" w14:textId="4B323759" w:rsidR="001435B7" w:rsidRDefault="00077727" w:rsidP="001435B7">
      <w:pPr>
        <w:spacing w:before="60"/>
      </w:pPr>
      <w:r w:rsidRPr="00077727">
        <w:rPr>
          <w:noProof/>
        </w:rPr>
        <w:drawing>
          <wp:inline distT="0" distB="0" distL="0" distR="0" wp14:anchorId="60823476" wp14:editId="7262AE71">
            <wp:extent cx="5753671" cy="2133600"/>
            <wp:effectExtent l="0" t="0" r="0" b="0"/>
            <wp:docPr id="1278365872" name="Picture 1"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365872" name="Picture 1" descr="A table with text on it&#10;&#10;Description automatically generated"/>
                    <pic:cNvPicPr/>
                  </pic:nvPicPr>
                  <pic:blipFill>
                    <a:blip r:embed="rId11"/>
                    <a:stretch>
                      <a:fillRect/>
                    </a:stretch>
                  </pic:blipFill>
                  <pic:spPr>
                    <a:xfrm>
                      <a:off x="0" y="0"/>
                      <a:ext cx="5756343" cy="2134591"/>
                    </a:xfrm>
                    <a:prstGeom prst="rect">
                      <a:avLst/>
                    </a:prstGeom>
                  </pic:spPr>
                </pic:pic>
              </a:graphicData>
            </a:graphic>
          </wp:inline>
        </w:drawing>
      </w:r>
    </w:p>
    <w:p w14:paraId="62E4C646" w14:textId="77777777" w:rsidR="001435B7" w:rsidRDefault="001435B7" w:rsidP="001435B7">
      <w:pPr>
        <w:spacing w:before="40" w:after="120"/>
        <w:jc w:val="center"/>
      </w:pPr>
      <w:r>
        <w:rPr>
          <w:i/>
          <w:iCs/>
          <w:color w:val="757575"/>
          <w:sz w:val="19"/>
          <w:szCs w:val="19"/>
        </w:rPr>
        <w:t xml:space="preserve">Table 5: Project Milestones (adapted from Lock, 2020, p. 10; Murray-Webster and </w:t>
      </w:r>
      <w:proofErr w:type="spellStart"/>
      <w:r>
        <w:rPr>
          <w:i/>
          <w:iCs/>
          <w:color w:val="757575"/>
          <w:sz w:val="19"/>
          <w:szCs w:val="19"/>
        </w:rPr>
        <w:t>Dalcher</w:t>
      </w:r>
      <w:proofErr w:type="spellEnd"/>
      <w:r>
        <w:rPr>
          <w:i/>
          <w:iCs/>
          <w:color w:val="757575"/>
          <w:sz w:val="19"/>
          <w:szCs w:val="19"/>
        </w:rPr>
        <w:t>, 2019, p. 28)</w:t>
      </w:r>
    </w:p>
    <w:p w14:paraId="7D97463B" w14:textId="77777777" w:rsidR="001435B7" w:rsidRPr="00B23FB6" w:rsidRDefault="001435B7" w:rsidP="001435B7">
      <w:pPr>
        <w:pStyle w:val="Heading2"/>
        <w:rPr>
          <w:color w:val="000000" w:themeColor="text1"/>
          <w:sz w:val="24"/>
          <w:szCs w:val="24"/>
        </w:rPr>
      </w:pPr>
      <w:r w:rsidRPr="0062020D">
        <w:rPr>
          <w:rFonts w:ascii="Arial" w:eastAsia="Arial" w:hAnsi="Arial" w:cs="Arial"/>
          <w:b/>
          <w:bCs/>
          <w:color w:val="000000" w:themeColor="text1"/>
          <w:sz w:val="24"/>
          <w:szCs w:val="24"/>
        </w:rPr>
        <w:t>3</w:t>
      </w:r>
      <w:r w:rsidRPr="00B23FB6">
        <w:rPr>
          <w:rFonts w:ascii="Arial" w:eastAsia="Arial" w:hAnsi="Arial" w:cs="Arial"/>
          <w:b/>
          <w:bCs/>
          <w:color w:val="000000" w:themeColor="text1"/>
          <w:sz w:val="24"/>
          <w:szCs w:val="24"/>
        </w:rPr>
        <w:t>.5 Resources and Cost Accounts</w:t>
      </w:r>
    </w:p>
    <w:p w14:paraId="2F6E3C0C" w14:textId="77777777" w:rsidR="001435B7" w:rsidRPr="00B23FB6" w:rsidRDefault="001435B7" w:rsidP="001435B7">
      <w:pPr>
        <w:spacing w:before="60" w:after="100"/>
        <w:jc w:val="both"/>
        <w:rPr>
          <w:sz w:val="24"/>
          <w:szCs w:val="24"/>
        </w:rPr>
      </w:pPr>
      <w:r w:rsidRPr="00B23FB6">
        <w:rPr>
          <w:sz w:val="24"/>
          <w:szCs w:val="24"/>
        </w:rPr>
        <w:t xml:space="preserve">To maintain rigorous budget control and prevent cost overruns, the project employs a strict dual-pricing methodology. Kerzner (2017, p. 709) identifies fixed-price or lump-sum contracts as the instrument under which the contractor must carefully estimate the target cost and bears full responsibility for any overrun beyond the agreed sum – a decisive mechanism for transferring cost risk to external firms. The APM Body of Knowledge (Murray-Webster and </w:t>
      </w:r>
      <w:proofErr w:type="spellStart"/>
      <w:r w:rsidRPr="00B23FB6">
        <w:rPr>
          <w:sz w:val="24"/>
          <w:szCs w:val="24"/>
        </w:rPr>
        <w:t>Dalcher</w:t>
      </w:r>
      <w:proofErr w:type="spellEnd"/>
      <w:r w:rsidRPr="00B23FB6">
        <w:rPr>
          <w:sz w:val="24"/>
          <w:szCs w:val="24"/>
        </w:rPr>
        <w:t>, 2019, p. 21) similarly recommends fixed-price procurement as a best practice for capital-intensive infrastructure projects where scope is clearly defined. For internal management work packages, hourly rate costing based on estimated consultant hours is applied, as recommended by Kerzner (2017, p. 391).</w:t>
      </w:r>
    </w:p>
    <w:p w14:paraId="33026084" w14:textId="77777777" w:rsidR="001435B7" w:rsidRPr="00B23FB6" w:rsidRDefault="001435B7" w:rsidP="001435B7">
      <w:pPr>
        <w:pBdr>
          <w:bottom w:val="single" w:sz="2" w:space="0" w:color="2E7D32"/>
        </w:pBdr>
        <w:spacing w:before="160" w:after="80"/>
        <w:rPr>
          <w:color w:val="000000" w:themeColor="text1"/>
          <w:sz w:val="24"/>
          <w:szCs w:val="24"/>
        </w:rPr>
      </w:pPr>
      <w:r w:rsidRPr="00B23FB6">
        <w:rPr>
          <w:b/>
          <w:bCs/>
          <w:color w:val="000000" w:themeColor="text1"/>
          <w:sz w:val="24"/>
          <w:szCs w:val="24"/>
        </w:rPr>
        <w:lastRenderedPageBreak/>
        <w:t>3.5.1 Management Hourly Rates</w:t>
      </w:r>
    </w:p>
    <w:p w14:paraId="5FD2FB6F" w14:textId="77777777" w:rsidR="001435B7" w:rsidRPr="00B23FB6" w:rsidRDefault="001435B7" w:rsidP="001435B7">
      <w:pPr>
        <w:spacing w:before="120"/>
        <w:rPr>
          <w:sz w:val="24"/>
          <w:szCs w:val="24"/>
        </w:rPr>
      </w:pPr>
    </w:p>
    <w:p w14:paraId="0FAA95D9" w14:textId="5EBD9B7D" w:rsidR="00077727" w:rsidRDefault="00077727" w:rsidP="001435B7">
      <w:pPr>
        <w:spacing w:before="120"/>
      </w:pPr>
      <w:r w:rsidRPr="00077727">
        <w:rPr>
          <w:noProof/>
        </w:rPr>
        <w:drawing>
          <wp:inline distT="0" distB="0" distL="0" distR="0" wp14:anchorId="2B02FD94" wp14:editId="2CC6D136">
            <wp:extent cx="5620039" cy="971600"/>
            <wp:effectExtent l="0" t="0" r="0" b="0"/>
            <wp:docPr id="15505752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575213" name=""/>
                    <pic:cNvPicPr/>
                  </pic:nvPicPr>
                  <pic:blipFill>
                    <a:blip r:embed="rId12"/>
                    <a:stretch>
                      <a:fillRect/>
                    </a:stretch>
                  </pic:blipFill>
                  <pic:spPr>
                    <a:xfrm>
                      <a:off x="0" y="0"/>
                      <a:ext cx="5620039" cy="971600"/>
                    </a:xfrm>
                    <a:prstGeom prst="rect">
                      <a:avLst/>
                    </a:prstGeom>
                  </pic:spPr>
                </pic:pic>
              </a:graphicData>
            </a:graphic>
          </wp:inline>
        </w:drawing>
      </w:r>
    </w:p>
    <w:p w14:paraId="5DD7B49B" w14:textId="77777777" w:rsidR="00077727" w:rsidRDefault="00077727" w:rsidP="001435B7">
      <w:pPr>
        <w:spacing w:before="120"/>
      </w:pPr>
    </w:p>
    <w:p w14:paraId="3C04BD5F" w14:textId="77777777" w:rsidR="001435B7" w:rsidRPr="0062020D" w:rsidRDefault="001435B7" w:rsidP="001435B7">
      <w:pPr>
        <w:pBdr>
          <w:bottom w:val="single" w:sz="2" w:space="0" w:color="2E7D32"/>
        </w:pBdr>
        <w:spacing w:before="160" w:after="80"/>
        <w:rPr>
          <w:color w:val="000000" w:themeColor="text1"/>
        </w:rPr>
      </w:pPr>
      <w:r w:rsidRPr="0062020D">
        <w:rPr>
          <w:b/>
          <w:bCs/>
          <w:color w:val="000000" w:themeColor="text1"/>
        </w:rPr>
        <w:t>3.5.2 Budget Breakdown and Cost Accounts</w:t>
      </w:r>
    </w:p>
    <w:p w14:paraId="5F46C532" w14:textId="77777777" w:rsidR="001435B7" w:rsidRDefault="001435B7" w:rsidP="001435B7">
      <w:pPr>
        <w:spacing w:before="60"/>
      </w:pPr>
    </w:p>
    <w:p w14:paraId="492C9AB5" w14:textId="273E3FBE" w:rsidR="00077727" w:rsidRDefault="00077727" w:rsidP="001435B7">
      <w:pPr>
        <w:spacing w:before="60"/>
      </w:pPr>
      <w:r w:rsidRPr="00077727">
        <w:rPr>
          <w:noProof/>
        </w:rPr>
        <w:drawing>
          <wp:inline distT="0" distB="0" distL="0" distR="0" wp14:anchorId="1A202707" wp14:editId="57501A0A">
            <wp:extent cx="5664491" cy="3200564"/>
            <wp:effectExtent l="0" t="0" r="0" b="0"/>
            <wp:docPr id="3764529" name="Picture 1" descr="A white and black tab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4529" name="Picture 1" descr="A white and black table with black text&#10;&#10;Description automatically generated"/>
                    <pic:cNvPicPr/>
                  </pic:nvPicPr>
                  <pic:blipFill>
                    <a:blip r:embed="rId13"/>
                    <a:stretch>
                      <a:fillRect/>
                    </a:stretch>
                  </pic:blipFill>
                  <pic:spPr>
                    <a:xfrm>
                      <a:off x="0" y="0"/>
                      <a:ext cx="5664491" cy="3200564"/>
                    </a:xfrm>
                    <a:prstGeom prst="rect">
                      <a:avLst/>
                    </a:prstGeom>
                  </pic:spPr>
                </pic:pic>
              </a:graphicData>
            </a:graphic>
          </wp:inline>
        </w:drawing>
      </w:r>
    </w:p>
    <w:p w14:paraId="6B0F9562" w14:textId="77777777" w:rsidR="00077727" w:rsidRDefault="00077727" w:rsidP="001435B7">
      <w:pPr>
        <w:spacing w:before="60"/>
      </w:pPr>
    </w:p>
    <w:p w14:paraId="3907EF99" w14:textId="77777777" w:rsidR="001435B7" w:rsidRDefault="001435B7" w:rsidP="001435B7">
      <w:pPr>
        <w:spacing w:before="40" w:after="120"/>
        <w:jc w:val="center"/>
      </w:pPr>
      <w:r>
        <w:rPr>
          <w:i/>
          <w:iCs/>
          <w:color w:val="757575"/>
          <w:sz w:val="19"/>
          <w:szCs w:val="19"/>
        </w:rPr>
        <w:t>Table 6: Budget Breakdown and Cost Accounts (fixed-price methodology per Kerzner, 2017, p. 709; APM, 2019, p. 21)</w:t>
      </w:r>
    </w:p>
    <w:p w14:paraId="007F91A9" w14:textId="77777777" w:rsidR="001435B7" w:rsidRPr="00B23FB6" w:rsidRDefault="001435B7" w:rsidP="001435B7">
      <w:pPr>
        <w:spacing w:before="60" w:after="100"/>
        <w:jc w:val="both"/>
        <w:rPr>
          <w:sz w:val="24"/>
          <w:szCs w:val="24"/>
        </w:rPr>
      </w:pPr>
      <w:r w:rsidRPr="00B23FB6">
        <w:rPr>
          <w:sz w:val="24"/>
          <w:szCs w:val="24"/>
        </w:rPr>
        <w:t xml:space="preserve">Cost estimates for administrative work packages (WBS 1.1) and final testing (WBS 1.5.3) are calculated by multiplying estimated contractor and consultant work hours by the corresponding hourly rates. The consulting firm charges 230 hours (£11,500) to construct the technical file and maintain the financial records. In contrast, the entire construction and </w:t>
      </w:r>
      <w:proofErr w:type="spellStart"/>
      <w:r w:rsidRPr="00B23FB6">
        <w:rPr>
          <w:sz w:val="24"/>
          <w:szCs w:val="24"/>
        </w:rPr>
        <w:t>technologisation</w:t>
      </w:r>
      <w:proofErr w:type="spellEnd"/>
      <w:r w:rsidRPr="00B23FB6">
        <w:rPr>
          <w:sz w:val="24"/>
          <w:szCs w:val="24"/>
        </w:rPr>
        <w:t xml:space="preserve"> phases (WBS 1.2, 1.3, and 1.4) are underpinned by fixed-price commercial contracts with accredited enterprises. The £118,000 budget for the professional greenhouse covers the metal structure, materials, transportation, and assembly team labour, removing any risk of on-site cost escalation for </w:t>
      </w:r>
      <w:proofErr w:type="spellStart"/>
      <w:r w:rsidRPr="00B23FB6">
        <w:rPr>
          <w:sz w:val="24"/>
          <w:szCs w:val="24"/>
        </w:rPr>
        <w:t>DaCArt</w:t>
      </w:r>
      <w:proofErr w:type="spellEnd"/>
      <w:r w:rsidRPr="00B23FB6">
        <w:rPr>
          <w:sz w:val="24"/>
          <w:szCs w:val="24"/>
        </w:rPr>
        <w:t xml:space="preserve">. Finally, the industrial biomass shredder (£4,500) in Package 1.5 directly grinds plant residues into biomass for the </w:t>
      </w:r>
      <w:proofErr w:type="spellStart"/>
      <w:r w:rsidRPr="00B23FB6">
        <w:rPr>
          <w:sz w:val="24"/>
          <w:szCs w:val="24"/>
        </w:rPr>
        <w:t>Biomeiler</w:t>
      </w:r>
      <w:proofErr w:type="spellEnd"/>
      <w:r w:rsidRPr="00B23FB6">
        <w:rPr>
          <w:sz w:val="24"/>
          <w:szCs w:val="24"/>
        </w:rPr>
        <w:t xml:space="preserve"> system, generating significant operational savings from the first winter of operation (Kerzner, 2017, p. 709).</w:t>
      </w:r>
    </w:p>
    <w:p w14:paraId="3903A20A" w14:textId="77777777" w:rsidR="001435B7" w:rsidRPr="00B23FB6" w:rsidRDefault="001435B7" w:rsidP="001435B7">
      <w:pPr>
        <w:spacing w:before="200"/>
        <w:rPr>
          <w:sz w:val="24"/>
          <w:szCs w:val="24"/>
        </w:rPr>
      </w:pPr>
    </w:p>
    <w:p w14:paraId="5B6C2277" w14:textId="77777777" w:rsidR="001435B7" w:rsidRPr="00B23FB6" w:rsidRDefault="001435B7" w:rsidP="001435B7">
      <w:pPr>
        <w:pStyle w:val="Heading1"/>
        <w:rPr>
          <w:color w:val="000000" w:themeColor="text1"/>
          <w:sz w:val="24"/>
          <w:szCs w:val="24"/>
        </w:rPr>
      </w:pPr>
      <w:r w:rsidRPr="00B23FB6">
        <w:rPr>
          <w:rFonts w:ascii="Arial" w:eastAsia="Arial" w:hAnsi="Arial" w:cs="Arial"/>
          <w:b/>
          <w:bCs/>
          <w:color w:val="000000" w:themeColor="text1"/>
          <w:sz w:val="24"/>
          <w:szCs w:val="24"/>
        </w:rPr>
        <w:lastRenderedPageBreak/>
        <w:t>CONCLUSION</w:t>
      </w:r>
    </w:p>
    <w:p w14:paraId="5E730373" w14:textId="77777777" w:rsidR="001435B7" w:rsidRPr="00B23FB6" w:rsidRDefault="001435B7" w:rsidP="001435B7">
      <w:pPr>
        <w:spacing w:before="60" w:after="100"/>
        <w:jc w:val="both"/>
        <w:rPr>
          <w:sz w:val="24"/>
          <w:szCs w:val="24"/>
        </w:rPr>
      </w:pPr>
      <w:r w:rsidRPr="00B23FB6">
        <w:rPr>
          <w:sz w:val="24"/>
          <w:szCs w:val="24"/>
        </w:rPr>
        <w:t xml:space="preserve">The </w:t>
      </w:r>
      <w:proofErr w:type="spellStart"/>
      <w:r w:rsidRPr="00B23FB6">
        <w:rPr>
          <w:sz w:val="24"/>
          <w:szCs w:val="24"/>
        </w:rPr>
        <w:t>DaCArt</w:t>
      </w:r>
      <w:proofErr w:type="spellEnd"/>
      <w:r w:rsidRPr="00B23FB6">
        <w:rPr>
          <w:sz w:val="24"/>
          <w:szCs w:val="24"/>
        </w:rPr>
        <w:t xml:space="preserve"> horticultural farm in </w:t>
      </w:r>
      <w:proofErr w:type="spellStart"/>
      <w:r w:rsidRPr="00B23FB6">
        <w:rPr>
          <w:sz w:val="24"/>
          <w:szCs w:val="24"/>
        </w:rPr>
        <w:t>Războieni</w:t>
      </w:r>
      <w:proofErr w:type="spellEnd"/>
      <w:r w:rsidRPr="00B23FB6">
        <w:rPr>
          <w:sz w:val="24"/>
          <w:szCs w:val="24"/>
        </w:rPr>
        <w:t xml:space="preserve"> represents a timely and well-structured strategic response to the North-East Region's structural deficit of premium domestic planting material. By outsourcing execution to authorised third-party firms, the project transfers technical risks directly to contractors, allowing the dual managerial team to concentrate on qualitative process supervision and rigorous budget control (Turner, 2022, p. 457). The combination of innovative Dutch automation technology (</w:t>
      </w:r>
      <w:proofErr w:type="spellStart"/>
      <w:r w:rsidRPr="00B23FB6">
        <w:rPr>
          <w:sz w:val="24"/>
          <w:szCs w:val="24"/>
        </w:rPr>
        <w:t>Demtec</w:t>
      </w:r>
      <w:proofErr w:type="spellEnd"/>
      <w:r w:rsidRPr="00B23FB6">
        <w:rPr>
          <w:sz w:val="24"/>
          <w:szCs w:val="24"/>
        </w:rPr>
        <w:t xml:space="preserve">, 2024; Netafim, 2024, p. 41), energy independence through a </w:t>
      </w:r>
      <w:proofErr w:type="gramStart"/>
      <w:r w:rsidRPr="00B23FB6">
        <w:rPr>
          <w:sz w:val="24"/>
          <w:szCs w:val="24"/>
        </w:rPr>
        <w:t>15 kW</w:t>
      </w:r>
      <w:proofErr w:type="gramEnd"/>
      <w:r w:rsidRPr="00B23FB6">
        <w:rPr>
          <w:sz w:val="24"/>
          <w:szCs w:val="24"/>
        </w:rPr>
        <w:t xml:space="preserve"> hybrid PV system, and circular economic solutions (the </w:t>
      </w:r>
      <w:proofErr w:type="spellStart"/>
      <w:r w:rsidRPr="00B23FB6">
        <w:rPr>
          <w:sz w:val="24"/>
          <w:szCs w:val="24"/>
        </w:rPr>
        <w:t>Biomeiler</w:t>
      </w:r>
      <w:proofErr w:type="spellEnd"/>
      <w:r w:rsidRPr="00B23FB6">
        <w:rPr>
          <w:sz w:val="24"/>
          <w:szCs w:val="24"/>
        </w:rPr>
        <w:t xml:space="preserve"> biomass heating system) ensures maximum biological resilience to climate change and drastically reduces operational costs. A direct-to-consumer online store aligned with verified local demand positions </w:t>
      </w:r>
      <w:proofErr w:type="spellStart"/>
      <w:r w:rsidRPr="00B23FB6">
        <w:rPr>
          <w:sz w:val="24"/>
          <w:szCs w:val="24"/>
        </w:rPr>
        <w:t>DaCArt</w:t>
      </w:r>
      <w:proofErr w:type="spellEnd"/>
      <w:r w:rsidRPr="00B23FB6">
        <w:rPr>
          <w:sz w:val="24"/>
          <w:szCs w:val="24"/>
        </w:rPr>
        <w:t xml:space="preserve"> as a premium, ecologically sustainable, and financially protected investment – fully calibrated to become a regional domestic landscaping reference hub.</w:t>
      </w:r>
    </w:p>
    <w:p w14:paraId="471CD14A" w14:textId="4BA7BD86" w:rsidR="001435B7" w:rsidRPr="00B23FB6" w:rsidRDefault="007D246A" w:rsidP="007D246A">
      <w:pPr>
        <w:spacing w:after="160" w:line="259" w:lineRule="auto"/>
        <w:rPr>
          <w:sz w:val="24"/>
          <w:szCs w:val="24"/>
        </w:rPr>
      </w:pPr>
      <w:r w:rsidRPr="00B23FB6">
        <w:rPr>
          <w:sz w:val="24"/>
          <w:szCs w:val="24"/>
        </w:rPr>
        <w:br w:type="page"/>
      </w:r>
    </w:p>
    <w:p w14:paraId="3BA5F035" w14:textId="77777777" w:rsidR="001435B7" w:rsidRPr="0062020D" w:rsidRDefault="001435B7" w:rsidP="001435B7">
      <w:pPr>
        <w:pStyle w:val="Heading1"/>
        <w:rPr>
          <w:color w:val="000000" w:themeColor="text1"/>
        </w:rPr>
      </w:pPr>
      <w:r w:rsidRPr="0062020D">
        <w:rPr>
          <w:rFonts w:ascii="Arial" w:eastAsia="Arial" w:hAnsi="Arial" w:cs="Arial"/>
          <w:b/>
          <w:bCs/>
          <w:color w:val="000000" w:themeColor="text1"/>
          <w:sz w:val="28"/>
          <w:szCs w:val="28"/>
        </w:rPr>
        <w:lastRenderedPageBreak/>
        <w:t>4. REFERENCE LIST</w:t>
      </w:r>
    </w:p>
    <w:p w14:paraId="67FCF9E4" w14:textId="77777777" w:rsidR="001435B7" w:rsidRDefault="001435B7" w:rsidP="001435B7">
      <w:pPr>
        <w:spacing w:before="80"/>
      </w:pPr>
    </w:p>
    <w:p w14:paraId="6F0B9B75" w14:textId="77777777" w:rsidR="001435B7" w:rsidRDefault="001435B7" w:rsidP="001435B7">
      <w:pPr>
        <w:spacing w:before="80" w:after="60"/>
        <w:ind w:left="720" w:hanging="720"/>
      </w:pPr>
      <w:r>
        <w:rPr>
          <w:sz w:val="21"/>
          <w:szCs w:val="21"/>
        </w:rPr>
        <w:t xml:space="preserve">APM Body of Knowledge – see Murray-Webster, R. and </w:t>
      </w:r>
      <w:proofErr w:type="spellStart"/>
      <w:r>
        <w:rPr>
          <w:sz w:val="21"/>
          <w:szCs w:val="21"/>
        </w:rPr>
        <w:t>Dalcher</w:t>
      </w:r>
      <w:proofErr w:type="spellEnd"/>
      <w:r>
        <w:rPr>
          <w:sz w:val="21"/>
          <w:szCs w:val="21"/>
        </w:rPr>
        <w:t xml:space="preserve">, D. (eds) (2019) </w:t>
      </w:r>
    </w:p>
    <w:p w14:paraId="2B57CC78" w14:textId="77777777" w:rsidR="001435B7" w:rsidRDefault="001435B7" w:rsidP="001435B7">
      <w:pPr>
        <w:spacing w:before="40"/>
      </w:pPr>
    </w:p>
    <w:p w14:paraId="624BDFE6" w14:textId="77777777" w:rsidR="001435B7" w:rsidRDefault="001435B7" w:rsidP="001435B7">
      <w:pPr>
        <w:spacing w:before="80" w:after="60"/>
        <w:ind w:left="720" w:hanging="720"/>
      </w:pPr>
      <w:r>
        <w:rPr>
          <w:sz w:val="21"/>
          <w:szCs w:val="21"/>
        </w:rPr>
        <w:t xml:space="preserve">Bourne, L. (2016) </w:t>
      </w:r>
      <w:r>
        <w:rPr>
          <w:i/>
          <w:iCs/>
          <w:sz w:val="21"/>
          <w:szCs w:val="21"/>
        </w:rPr>
        <w:t>Stakeholder Relationship Management: A Maturity Model for Organisational Implementation</w:t>
      </w:r>
      <w:r>
        <w:rPr>
          <w:sz w:val="21"/>
          <w:szCs w:val="21"/>
        </w:rPr>
        <w:t xml:space="preserve">. 2nd </w:t>
      </w:r>
      <w:proofErr w:type="spellStart"/>
      <w:r>
        <w:rPr>
          <w:sz w:val="21"/>
          <w:szCs w:val="21"/>
        </w:rPr>
        <w:t>edn</w:t>
      </w:r>
      <w:proofErr w:type="spellEnd"/>
      <w:r>
        <w:rPr>
          <w:sz w:val="21"/>
          <w:szCs w:val="21"/>
        </w:rPr>
        <w:t>. Abingdon: Routledge.</w:t>
      </w:r>
    </w:p>
    <w:p w14:paraId="13D95F43" w14:textId="77777777" w:rsidR="001435B7" w:rsidRDefault="001435B7" w:rsidP="001435B7">
      <w:pPr>
        <w:spacing w:before="40"/>
      </w:pPr>
    </w:p>
    <w:p w14:paraId="1528459D" w14:textId="77777777" w:rsidR="001435B7" w:rsidRDefault="001435B7" w:rsidP="001435B7">
      <w:pPr>
        <w:spacing w:before="80" w:after="60"/>
        <w:ind w:left="720" w:hanging="720"/>
      </w:pPr>
      <w:r>
        <w:rPr>
          <w:sz w:val="21"/>
          <w:szCs w:val="21"/>
        </w:rPr>
        <w:t xml:space="preserve">Cleland, D.L. and Ireland, L.R. (2006) </w:t>
      </w:r>
      <w:r>
        <w:rPr>
          <w:i/>
          <w:iCs/>
          <w:sz w:val="21"/>
          <w:szCs w:val="21"/>
        </w:rPr>
        <w:t>Project Management: Strategic Design and Implementation</w:t>
      </w:r>
      <w:r>
        <w:rPr>
          <w:sz w:val="21"/>
          <w:szCs w:val="21"/>
        </w:rPr>
        <w:t xml:space="preserve">. 5th </w:t>
      </w:r>
      <w:proofErr w:type="spellStart"/>
      <w:r>
        <w:rPr>
          <w:sz w:val="21"/>
          <w:szCs w:val="21"/>
        </w:rPr>
        <w:t>edn</w:t>
      </w:r>
      <w:proofErr w:type="spellEnd"/>
      <w:r>
        <w:rPr>
          <w:sz w:val="21"/>
          <w:szCs w:val="21"/>
        </w:rPr>
        <w:t>. New York: McGraw-Hill.</w:t>
      </w:r>
    </w:p>
    <w:p w14:paraId="45035B52" w14:textId="77777777" w:rsidR="001435B7" w:rsidRDefault="001435B7" w:rsidP="001435B7">
      <w:pPr>
        <w:spacing w:before="40"/>
      </w:pPr>
    </w:p>
    <w:p w14:paraId="2CD336FA" w14:textId="77777777" w:rsidR="001435B7" w:rsidRDefault="001435B7" w:rsidP="001435B7">
      <w:pPr>
        <w:spacing w:before="80" w:after="60"/>
        <w:ind w:left="720" w:hanging="720"/>
      </w:pPr>
      <w:proofErr w:type="spellStart"/>
      <w:r>
        <w:rPr>
          <w:sz w:val="21"/>
          <w:szCs w:val="21"/>
        </w:rPr>
        <w:t>Demtec</w:t>
      </w:r>
      <w:proofErr w:type="spellEnd"/>
      <w:r>
        <w:rPr>
          <w:sz w:val="21"/>
          <w:szCs w:val="21"/>
        </w:rPr>
        <w:t xml:space="preserve"> (2024) </w:t>
      </w:r>
      <w:proofErr w:type="spellStart"/>
      <w:r>
        <w:rPr>
          <w:i/>
          <w:iCs/>
          <w:sz w:val="21"/>
          <w:szCs w:val="21"/>
        </w:rPr>
        <w:t>Demtec</w:t>
      </w:r>
      <w:proofErr w:type="spellEnd"/>
      <w:r>
        <w:rPr>
          <w:i/>
          <w:iCs/>
          <w:sz w:val="21"/>
          <w:szCs w:val="21"/>
        </w:rPr>
        <w:t xml:space="preserve"> Top Fill Potting Machine – Product Specification and Installation Manual</w:t>
      </w:r>
      <w:r>
        <w:rPr>
          <w:sz w:val="21"/>
          <w:szCs w:val="21"/>
        </w:rPr>
        <w:t xml:space="preserve">. </w:t>
      </w:r>
      <w:proofErr w:type="spellStart"/>
      <w:r>
        <w:rPr>
          <w:sz w:val="21"/>
          <w:szCs w:val="21"/>
        </w:rPr>
        <w:t>Westmeerbeek</w:t>
      </w:r>
      <w:proofErr w:type="spellEnd"/>
      <w:r>
        <w:rPr>
          <w:sz w:val="21"/>
          <w:szCs w:val="21"/>
        </w:rPr>
        <w:t xml:space="preserve">: </w:t>
      </w:r>
      <w:proofErr w:type="spellStart"/>
      <w:r>
        <w:rPr>
          <w:sz w:val="21"/>
          <w:szCs w:val="21"/>
        </w:rPr>
        <w:t>Demtec</w:t>
      </w:r>
      <w:proofErr w:type="spellEnd"/>
      <w:r>
        <w:rPr>
          <w:sz w:val="21"/>
          <w:szCs w:val="21"/>
        </w:rPr>
        <w:t xml:space="preserve"> </w:t>
      </w:r>
      <w:proofErr w:type="spellStart"/>
      <w:r>
        <w:rPr>
          <w:sz w:val="21"/>
          <w:szCs w:val="21"/>
        </w:rPr>
        <w:t>nv</w:t>
      </w:r>
      <w:proofErr w:type="spellEnd"/>
      <w:r>
        <w:rPr>
          <w:sz w:val="21"/>
          <w:szCs w:val="21"/>
        </w:rPr>
        <w:t>. Available at: https://www.demtec.be (Accessed: 14 June 2026).</w:t>
      </w:r>
    </w:p>
    <w:p w14:paraId="3DF0D4A9" w14:textId="77777777" w:rsidR="001435B7" w:rsidRDefault="001435B7" w:rsidP="001435B7">
      <w:pPr>
        <w:spacing w:before="40"/>
      </w:pPr>
    </w:p>
    <w:p w14:paraId="5B1B27F1" w14:textId="77777777" w:rsidR="001435B7" w:rsidRDefault="001435B7" w:rsidP="001435B7">
      <w:pPr>
        <w:spacing w:before="80" w:after="60"/>
        <w:ind w:left="720" w:hanging="720"/>
      </w:pPr>
      <w:r>
        <w:rPr>
          <w:sz w:val="21"/>
          <w:szCs w:val="21"/>
        </w:rPr>
        <w:t>Doran, G.T. (1981) There’s a S.M.A.R.T. way to write management’s goals and objectives. Management Review, 70(11), pp. 35–36.</w:t>
      </w:r>
    </w:p>
    <w:p w14:paraId="3BD82C81" w14:textId="77777777" w:rsidR="001435B7" w:rsidRDefault="001435B7" w:rsidP="001435B7">
      <w:pPr>
        <w:spacing w:before="40"/>
      </w:pPr>
    </w:p>
    <w:p w14:paraId="6F30368A" w14:textId="77777777" w:rsidR="001435B7" w:rsidRDefault="001435B7" w:rsidP="001435B7">
      <w:pPr>
        <w:spacing w:before="80" w:after="60"/>
        <w:ind w:left="720" w:hanging="720"/>
      </w:pPr>
      <w:r>
        <w:rPr>
          <w:sz w:val="21"/>
          <w:szCs w:val="21"/>
        </w:rPr>
        <w:t xml:space="preserve">European Commission (2024) </w:t>
      </w:r>
      <w:r>
        <w:rPr>
          <w:i/>
          <w:iCs/>
          <w:sz w:val="21"/>
          <w:szCs w:val="21"/>
        </w:rPr>
        <w:t>Guidelines on State Aid for Agriculture and Forestry</w:t>
      </w:r>
      <w:r>
        <w:rPr>
          <w:sz w:val="21"/>
          <w:szCs w:val="21"/>
        </w:rPr>
        <w:t>. Brussels: European Union.</w:t>
      </w:r>
    </w:p>
    <w:p w14:paraId="27A938A1" w14:textId="77777777" w:rsidR="001435B7" w:rsidRDefault="001435B7" w:rsidP="001435B7">
      <w:pPr>
        <w:spacing w:before="40"/>
      </w:pPr>
    </w:p>
    <w:p w14:paraId="21EE52EE" w14:textId="77777777" w:rsidR="001435B7" w:rsidRDefault="001435B7" w:rsidP="001435B7">
      <w:pPr>
        <w:spacing w:before="80" w:after="60"/>
        <w:ind w:left="720" w:hanging="720"/>
      </w:pPr>
      <w:r>
        <w:rPr>
          <w:sz w:val="21"/>
          <w:szCs w:val="21"/>
        </w:rPr>
        <w:t xml:space="preserve">Freeman, R.E. (1984) </w:t>
      </w:r>
      <w:r>
        <w:rPr>
          <w:i/>
          <w:iCs/>
          <w:sz w:val="21"/>
          <w:szCs w:val="21"/>
        </w:rPr>
        <w:t>Strategic Management: A Stakeholder Approach</w:t>
      </w:r>
      <w:r>
        <w:rPr>
          <w:sz w:val="21"/>
          <w:szCs w:val="21"/>
        </w:rPr>
        <w:t>. Boston: Pitman.</w:t>
      </w:r>
    </w:p>
    <w:p w14:paraId="4EF03127" w14:textId="77777777" w:rsidR="001435B7" w:rsidRDefault="001435B7" w:rsidP="001435B7">
      <w:pPr>
        <w:spacing w:before="40"/>
      </w:pPr>
    </w:p>
    <w:p w14:paraId="6F9A83F3" w14:textId="77777777" w:rsidR="001435B7" w:rsidRDefault="001435B7" w:rsidP="001435B7">
      <w:pPr>
        <w:spacing w:before="80" w:after="60"/>
        <w:ind w:left="720" w:hanging="720"/>
      </w:pPr>
      <w:r>
        <w:rPr>
          <w:sz w:val="21"/>
          <w:szCs w:val="21"/>
        </w:rPr>
        <w:t xml:space="preserve">Kerzner, H. (2017) </w:t>
      </w:r>
      <w:r>
        <w:rPr>
          <w:i/>
          <w:iCs/>
          <w:sz w:val="21"/>
          <w:szCs w:val="21"/>
        </w:rPr>
        <w:t>Project Management: A Systems Approach to Planning, Scheduling, and Controlling</w:t>
      </w:r>
      <w:r>
        <w:rPr>
          <w:sz w:val="21"/>
          <w:szCs w:val="21"/>
        </w:rPr>
        <w:t xml:space="preserve">. 12th </w:t>
      </w:r>
      <w:proofErr w:type="spellStart"/>
      <w:r>
        <w:rPr>
          <w:sz w:val="21"/>
          <w:szCs w:val="21"/>
        </w:rPr>
        <w:t>edn</w:t>
      </w:r>
      <w:proofErr w:type="spellEnd"/>
      <w:r>
        <w:rPr>
          <w:sz w:val="21"/>
          <w:szCs w:val="21"/>
        </w:rPr>
        <w:t>. Hoboken, NJ: John Wiley &amp; Sons.</w:t>
      </w:r>
    </w:p>
    <w:p w14:paraId="15C4F8DE" w14:textId="77777777" w:rsidR="001435B7" w:rsidRDefault="001435B7" w:rsidP="001435B7">
      <w:pPr>
        <w:spacing w:before="40"/>
      </w:pPr>
    </w:p>
    <w:p w14:paraId="408C0C3A" w14:textId="77777777" w:rsidR="001435B7" w:rsidRDefault="001435B7" w:rsidP="001435B7">
      <w:pPr>
        <w:spacing w:before="80" w:after="60"/>
        <w:ind w:left="720" w:hanging="720"/>
      </w:pPr>
      <w:r>
        <w:rPr>
          <w:sz w:val="21"/>
          <w:szCs w:val="21"/>
        </w:rPr>
        <w:t xml:space="preserve">Locke, E.A. and Latham, G.P. (eds) (2013) </w:t>
      </w:r>
      <w:r>
        <w:rPr>
          <w:i/>
          <w:iCs/>
          <w:sz w:val="21"/>
          <w:szCs w:val="21"/>
        </w:rPr>
        <w:t>New Developments in Goal Setting and Task Performance</w:t>
      </w:r>
      <w:r>
        <w:rPr>
          <w:sz w:val="21"/>
          <w:szCs w:val="21"/>
        </w:rPr>
        <w:t>. New York: Routledge.</w:t>
      </w:r>
    </w:p>
    <w:p w14:paraId="57BDF405" w14:textId="77777777" w:rsidR="001435B7" w:rsidRDefault="001435B7" w:rsidP="001435B7">
      <w:pPr>
        <w:spacing w:before="40"/>
      </w:pPr>
    </w:p>
    <w:p w14:paraId="2D4753B0" w14:textId="77777777" w:rsidR="001435B7" w:rsidRDefault="001435B7" w:rsidP="001435B7">
      <w:pPr>
        <w:spacing w:before="80" w:after="60"/>
        <w:ind w:left="720" w:hanging="720"/>
      </w:pPr>
      <w:r>
        <w:rPr>
          <w:sz w:val="21"/>
          <w:szCs w:val="21"/>
        </w:rPr>
        <w:t xml:space="preserve">Lock, D. (2020) </w:t>
      </w:r>
      <w:r>
        <w:rPr>
          <w:i/>
          <w:iCs/>
          <w:sz w:val="21"/>
          <w:szCs w:val="21"/>
        </w:rPr>
        <w:t>Project Management</w:t>
      </w:r>
      <w:r>
        <w:rPr>
          <w:sz w:val="21"/>
          <w:szCs w:val="21"/>
        </w:rPr>
        <w:t xml:space="preserve">. 11th </w:t>
      </w:r>
      <w:proofErr w:type="spellStart"/>
      <w:r>
        <w:rPr>
          <w:sz w:val="21"/>
          <w:szCs w:val="21"/>
        </w:rPr>
        <w:t>edn</w:t>
      </w:r>
      <w:proofErr w:type="spellEnd"/>
      <w:r>
        <w:rPr>
          <w:sz w:val="21"/>
          <w:szCs w:val="21"/>
        </w:rPr>
        <w:t>. Abingdon: Routledge.</w:t>
      </w:r>
    </w:p>
    <w:p w14:paraId="246241AF" w14:textId="77777777" w:rsidR="001435B7" w:rsidRDefault="001435B7" w:rsidP="001435B7">
      <w:pPr>
        <w:spacing w:before="40"/>
      </w:pPr>
    </w:p>
    <w:p w14:paraId="687E99A2" w14:textId="77777777" w:rsidR="001435B7" w:rsidRDefault="001435B7" w:rsidP="001435B7">
      <w:pPr>
        <w:spacing w:before="80" w:after="60"/>
        <w:ind w:left="720" w:hanging="720"/>
      </w:pPr>
      <w:r>
        <w:rPr>
          <w:sz w:val="21"/>
          <w:szCs w:val="21"/>
        </w:rPr>
        <w:t xml:space="preserve">Maylor, H. (2010) </w:t>
      </w:r>
      <w:r>
        <w:rPr>
          <w:i/>
          <w:iCs/>
          <w:sz w:val="21"/>
          <w:szCs w:val="21"/>
        </w:rPr>
        <w:t>Project Management</w:t>
      </w:r>
      <w:r>
        <w:rPr>
          <w:sz w:val="21"/>
          <w:szCs w:val="21"/>
        </w:rPr>
        <w:t xml:space="preserve">. 4th </w:t>
      </w:r>
      <w:proofErr w:type="spellStart"/>
      <w:r>
        <w:rPr>
          <w:sz w:val="21"/>
          <w:szCs w:val="21"/>
        </w:rPr>
        <w:t>edn</w:t>
      </w:r>
      <w:proofErr w:type="spellEnd"/>
      <w:r>
        <w:rPr>
          <w:sz w:val="21"/>
          <w:szCs w:val="21"/>
        </w:rPr>
        <w:t>. Harlow: Pearson Education.</w:t>
      </w:r>
    </w:p>
    <w:p w14:paraId="5BD8CB7E" w14:textId="77777777" w:rsidR="001435B7" w:rsidRDefault="001435B7" w:rsidP="001435B7">
      <w:pPr>
        <w:spacing w:before="40"/>
      </w:pPr>
    </w:p>
    <w:p w14:paraId="27039357" w14:textId="77777777" w:rsidR="001435B7" w:rsidRDefault="001435B7" w:rsidP="001435B7">
      <w:pPr>
        <w:spacing w:before="80" w:after="60"/>
        <w:ind w:left="720" w:hanging="720"/>
      </w:pPr>
      <w:r>
        <w:rPr>
          <w:sz w:val="21"/>
          <w:szCs w:val="21"/>
        </w:rPr>
        <w:t xml:space="preserve">Murray-Webster, R. and </w:t>
      </w:r>
      <w:proofErr w:type="spellStart"/>
      <w:r>
        <w:rPr>
          <w:sz w:val="21"/>
          <w:szCs w:val="21"/>
        </w:rPr>
        <w:t>Dalcher</w:t>
      </w:r>
      <w:proofErr w:type="spellEnd"/>
      <w:r>
        <w:rPr>
          <w:sz w:val="21"/>
          <w:szCs w:val="21"/>
        </w:rPr>
        <w:t xml:space="preserve">, D. (eds) (2019) </w:t>
      </w:r>
      <w:r>
        <w:rPr>
          <w:i/>
          <w:iCs/>
          <w:sz w:val="21"/>
          <w:szCs w:val="21"/>
        </w:rPr>
        <w:t>APM Body of Knowledge</w:t>
      </w:r>
      <w:r>
        <w:rPr>
          <w:sz w:val="21"/>
          <w:szCs w:val="21"/>
        </w:rPr>
        <w:t xml:space="preserve">. 7th </w:t>
      </w:r>
      <w:proofErr w:type="spellStart"/>
      <w:r>
        <w:rPr>
          <w:sz w:val="21"/>
          <w:szCs w:val="21"/>
        </w:rPr>
        <w:t>edn</w:t>
      </w:r>
      <w:proofErr w:type="spellEnd"/>
      <w:r>
        <w:rPr>
          <w:sz w:val="21"/>
          <w:szCs w:val="21"/>
        </w:rPr>
        <w:t>. Princes Risborough: Association for Project Management.</w:t>
      </w:r>
    </w:p>
    <w:p w14:paraId="4F384007" w14:textId="77777777" w:rsidR="001435B7" w:rsidRDefault="001435B7" w:rsidP="001435B7">
      <w:pPr>
        <w:spacing w:before="40"/>
      </w:pPr>
    </w:p>
    <w:p w14:paraId="3BFD3B10" w14:textId="77777777" w:rsidR="001435B7" w:rsidRDefault="001435B7" w:rsidP="001435B7">
      <w:pPr>
        <w:spacing w:before="80" w:after="60"/>
        <w:ind w:left="720" w:hanging="720"/>
      </w:pPr>
      <w:r>
        <w:rPr>
          <w:sz w:val="21"/>
          <w:szCs w:val="21"/>
        </w:rPr>
        <w:t xml:space="preserve">Netafim (2024) </w:t>
      </w:r>
      <w:proofErr w:type="spellStart"/>
      <w:r>
        <w:rPr>
          <w:i/>
          <w:iCs/>
          <w:sz w:val="21"/>
          <w:szCs w:val="21"/>
        </w:rPr>
        <w:t>NetafimTM</w:t>
      </w:r>
      <w:proofErr w:type="spellEnd"/>
      <w:r>
        <w:rPr>
          <w:i/>
          <w:iCs/>
          <w:sz w:val="21"/>
          <w:szCs w:val="21"/>
        </w:rPr>
        <w:t xml:space="preserve"> Precision Fertigation Systems – Technical Handbook</w:t>
      </w:r>
      <w:r>
        <w:rPr>
          <w:sz w:val="21"/>
          <w:szCs w:val="21"/>
        </w:rPr>
        <w:t>. Tel Aviv: Netafim Ltd. Available at: https://www.netafim.com (Accessed: 14 June 2026).</w:t>
      </w:r>
    </w:p>
    <w:p w14:paraId="7CCFAB93" w14:textId="77777777" w:rsidR="001435B7" w:rsidRDefault="001435B7" w:rsidP="001435B7">
      <w:pPr>
        <w:spacing w:before="40"/>
      </w:pPr>
    </w:p>
    <w:p w14:paraId="45F633A4" w14:textId="77777777" w:rsidR="001435B7" w:rsidRDefault="001435B7" w:rsidP="001435B7">
      <w:pPr>
        <w:spacing w:before="80" w:after="60"/>
        <w:ind w:left="720" w:hanging="720"/>
      </w:pPr>
      <w:r>
        <w:rPr>
          <w:sz w:val="21"/>
          <w:szCs w:val="21"/>
        </w:rPr>
        <w:t xml:space="preserve">Project Management Institute (PMI) (2025) </w:t>
      </w:r>
      <w:r>
        <w:rPr>
          <w:i/>
          <w:iCs/>
          <w:sz w:val="21"/>
          <w:szCs w:val="21"/>
        </w:rPr>
        <w:t>A Guide to the Project Management Body of Knowledge (PMBOK® Guide)</w:t>
      </w:r>
      <w:r>
        <w:rPr>
          <w:sz w:val="21"/>
          <w:szCs w:val="21"/>
        </w:rPr>
        <w:t xml:space="preserve">. 8th </w:t>
      </w:r>
      <w:proofErr w:type="spellStart"/>
      <w:r>
        <w:rPr>
          <w:sz w:val="21"/>
          <w:szCs w:val="21"/>
        </w:rPr>
        <w:t>edn</w:t>
      </w:r>
      <w:proofErr w:type="spellEnd"/>
      <w:r>
        <w:rPr>
          <w:sz w:val="21"/>
          <w:szCs w:val="21"/>
        </w:rPr>
        <w:t>. Newtown Square, PA: Project Management Institute.</w:t>
      </w:r>
    </w:p>
    <w:p w14:paraId="1128038E" w14:textId="77777777" w:rsidR="001435B7" w:rsidRDefault="001435B7" w:rsidP="001435B7">
      <w:pPr>
        <w:spacing w:before="40"/>
      </w:pPr>
    </w:p>
    <w:p w14:paraId="471D246B" w14:textId="77777777" w:rsidR="001435B7" w:rsidRDefault="001435B7" w:rsidP="001435B7">
      <w:pPr>
        <w:spacing w:before="80" w:after="60"/>
        <w:ind w:left="720" w:hanging="720"/>
      </w:pPr>
      <w:r>
        <w:rPr>
          <w:sz w:val="21"/>
          <w:szCs w:val="21"/>
        </w:rPr>
        <w:t xml:space="preserve">Turner, J.R. (2022) </w:t>
      </w:r>
      <w:r>
        <w:rPr>
          <w:i/>
          <w:iCs/>
          <w:sz w:val="21"/>
          <w:szCs w:val="21"/>
        </w:rPr>
        <w:t>Gower Handbook of Project Management</w:t>
      </w:r>
      <w:r>
        <w:rPr>
          <w:sz w:val="21"/>
          <w:szCs w:val="21"/>
        </w:rPr>
        <w:t xml:space="preserve">. 5th </w:t>
      </w:r>
      <w:proofErr w:type="spellStart"/>
      <w:r>
        <w:rPr>
          <w:sz w:val="21"/>
          <w:szCs w:val="21"/>
        </w:rPr>
        <w:t>edn</w:t>
      </w:r>
      <w:proofErr w:type="spellEnd"/>
      <w:r>
        <w:rPr>
          <w:sz w:val="21"/>
          <w:szCs w:val="21"/>
        </w:rPr>
        <w:t>. Abingdon: Routledge.</w:t>
      </w:r>
    </w:p>
    <w:p w14:paraId="440B01CD" w14:textId="77777777" w:rsidR="001435B7" w:rsidRDefault="001435B7" w:rsidP="001435B7">
      <w:pPr>
        <w:spacing w:before="40"/>
      </w:pPr>
    </w:p>
    <w:p w14:paraId="79B17746" w14:textId="7D1E8DA0" w:rsidR="001435B7" w:rsidRDefault="001435B7" w:rsidP="007D246A">
      <w:pPr>
        <w:spacing w:before="80" w:after="60"/>
        <w:ind w:left="720" w:hanging="720"/>
      </w:pPr>
      <w:r>
        <w:rPr>
          <w:sz w:val="21"/>
          <w:szCs w:val="21"/>
        </w:rPr>
        <w:t xml:space="preserve">Uponor (2023) </w:t>
      </w:r>
      <w:r>
        <w:rPr>
          <w:i/>
          <w:iCs/>
          <w:sz w:val="21"/>
          <w:szCs w:val="21"/>
        </w:rPr>
        <w:t>Uponor Infra PE100 HDPE Pipe Systems – Technical and Installation Guide</w:t>
      </w:r>
      <w:r>
        <w:rPr>
          <w:sz w:val="21"/>
          <w:szCs w:val="21"/>
        </w:rPr>
        <w:t>. Vantaa: Uponor Corporation. Available at: https://www.uponor.com (Accessed: 14 June 2026).</w:t>
      </w:r>
    </w:p>
    <w:sectPr w:rsidR="001435B7">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AA82A5" w14:textId="77777777" w:rsidR="00E556E8" w:rsidRDefault="00E556E8" w:rsidP="00EC2C11">
      <w:r>
        <w:separator/>
      </w:r>
    </w:p>
  </w:endnote>
  <w:endnote w:type="continuationSeparator" w:id="0">
    <w:p w14:paraId="67778396" w14:textId="77777777" w:rsidR="00E556E8" w:rsidRDefault="00E556E8" w:rsidP="00EC2C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ED31C0" w14:textId="77777777" w:rsidR="00EC2C11" w:rsidRDefault="00EC2C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98031597"/>
      <w:docPartObj>
        <w:docPartGallery w:val="Page Numbers (Bottom of Page)"/>
        <w:docPartUnique/>
      </w:docPartObj>
    </w:sdtPr>
    <w:sdtEndPr>
      <w:rPr>
        <w:noProof/>
      </w:rPr>
    </w:sdtEndPr>
    <w:sdtContent>
      <w:p w14:paraId="5A93049B" w14:textId="45217C5C" w:rsidR="00EC2C11" w:rsidRDefault="00EC2C1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B75255" w14:textId="77777777" w:rsidR="00EC2C11" w:rsidRDefault="00EC2C1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0EC472" w14:textId="77777777" w:rsidR="00EC2C11" w:rsidRDefault="00EC2C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A232D7" w14:textId="77777777" w:rsidR="00E556E8" w:rsidRDefault="00E556E8" w:rsidP="00EC2C11">
      <w:r>
        <w:separator/>
      </w:r>
    </w:p>
  </w:footnote>
  <w:footnote w:type="continuationSeparator" w:id="0">
    <w:p w14:paraId="403451C7" w14:textId="77777777" w:rsidR="00E556E8" w:rsidRDefault="00E556E8" w:rsidP="00EC2C1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18DAEE5" w14:textId="77777777" w:rsidR="00EC2C11" w:rsidRDefault="00EC2C1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718B26" w14:textId="77777777" w:rsidR="00EC2C11" w:rsidRDefault="00EC2C11">
    <w:pPr>
      <w:pStyle w:val="Header"/>
    </w:pPr>
  </w:p>
  <w:p w14:paraId="0E31B5D1" w14:textId="77777777" w:rsidR="00EC2C11" w:rsidRDefault="00EC2C1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789ED3" w14:textId="77777777" w:rsidR="00EC2C11" w:rsidRDefault="00EC2C1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96537B"/>
    <w:multiLevelType w:val="hybridMultilevel"/>
    <w:tmpl w:val="A7B8E3AA"/>
    <w:lvl w:ilvl="0" w:tplc="9FAAB8D6">
      <w:start w:val="1"/>
      <w:numFmt w:val="bullet"/>
      <w:lvlText w:val="•"/>
      <w:lvlJc w:val="left"/>
      <w:pPr>
        <w:ind w:left="720" w:hanging="360"/>
      </w:pPr>
    </w:lvl>
    <w:lvl w:ilvl="1" w:tplc="8742755A">
      <w:numFmt w:val="decimal"/>
      <w:lvlText w:val=""/>
      <w:lvlJc w:val="left"/>
    </w:lvl>
    <w:lvl w:ilvl="2" w:tplc="7B4C7AC4">
      <w:numFmt w:val="decimal"/>
      <w:lvlText w:val=""/>
      <w:lvlJc w:val="left"/>
    </w:lvl>
    <w:lvl w:ilvl="3" w:tplc="38100E50">
      <w:numFmt w:val="decimal"/>
      <w:lvlText w:val=""/>
      <w:lvlJc w:val="left"/>
    </w:lvl>
    <w:lvl w:ilvl="4" w:tplc="9834A7F6">
      <w:numFmt w:val="decimal"/>
      <w:lvlText w:val=""/>
      <w:lvlJc w:val="left"/>
    </w:lvl>
    <w:lvl w:ilvl="5" w:tplc="38FA1D6E">
      <w:numFmt w:val="decimal"/>
      <w:lvlText w:val=""/>
      <w:lvlJc w:val="left"/>
    </w:lvl>
    <w:lvl w:ilvl="6" w:tplc="7C926B64">
      <w:numFmt w:val="decimal"/>
      <w:lvlText w:val=""/>
      <w:lvlJc w:val="left"/>
    </w:lvl>
    <w:lvl w:ilvl="7" w:tplc="7C321CD0">
      <w:numFmt w:val="decimal"/>
      <w:lvlText w:val=""/>
      <w:lvlJc w:val="left"/>
    </w:lvl>
    <w:lvl w:ilvl="8" w:tplc="C3AAD426">
      <w:numFmt w:val="decimal"/>
      <w:lvlText w:val=""/>
      <w:lvlJc w:val="left"/>
    </w:lvl>
  </w:abstractNum>
  <w:abstractNum w:abstractNumId="1" w15:restartNumberingAfterBreak="0">
    <w:nsid w:val="316B255F"/>
    <w:multiLevelType w:val="hybridMultilevel"/>
    <w:tmpl w:val="3C6EA28E"/>
    <w:lvl w:ilvl="0" w:tplc="A56A4BFC">
      <w:start w:val="1"/>
      <w:numFmt w:val="decimal"/>
      <w:lvlText w:val="%1."/>
      <w:lvlJc w:val="left"/>
      <w:pPr>
        <w:ind w:left="1080" w:hanging="360"/>
      </w:pPr>
      <w:rPr>
        <w:rFonts w:ascii="Arial" w:eastAsia="Arial" w:hAnsi="Arial" w:cs="Arial"/>
        <w:b/>
        <w:sz w:val="21"/>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F474CAA"/>
    <w:multiLevelType w:val="hybridMultilevel"/>
    <w:tmpl w:val="DB2E1E3C"/>
    <w:lvl w:ilvl="0" w:tplc="2402B1F2">
      <w:start w:val="1"/>
      <w:numFmt w:val="decimal"/>
      <w:lvlText w:val="%1."/>
      <w:lvlJc w:val="left"/>
      <w:pPr>
        <w:ind w:left="720" w:hanging="360"/>
      </w:pPr>
    </w:lvl>
    <w:lvl w:ilvl="1" w:tplc="05887426">
      <w:numFmt w:val="decimal"/>
      <w:lvlText w:val=""/>
      <w:lvlJc w:val="left"/>
    </w:lvl>
    <w:lvl w:ilvl="2" w:tplc="53BE1A50">
      <w:numFmt w:val="decimal"/>
      <w:lvlText w:val=""/>
      <w:lvlJc w:val="left"/>
    </w:lvl>
    <w:lvl w:ilvl="3" w:tplc="C338E0A4">
      <w:numFmt w:val="decimal"/>
      <w:lvlText w:val=""/>
      <w:lvlJc w:val="left"/>
    </w:lvl>
    <w:lvl w:ilvl="4" w:tplc="B6404072">
      <w:numFmt w:val="decimal"/>
      <w:lvlText w:val=""/>
      <w:lvlJc w:val="left"/>
    </w:lvl>
    <w:lvl w:ilvl="5" w:tplc="EAA0A01A">
      <w:numFmt w:val="decimal"/>
      <w:lvlText w:val=""/>
      <w:lvlJc w:val="left"/>
    </w:lvl>
    <w:lvl w:ilvl="6" w:tplc="88325518">
      <w:numFmt w:val="decimal"/>
      <w:lvlText w:val=""/>
      <w:lvlJc w:val="left"/>
    </w:lvl>
    <w:lvl w:ilvl="7" w:tplc="CA3C0940">
      <w:numFmt w:val="decimal"/>
      <w:lvlText w:val=""/>
      <w:lvlJc w:val="left"/>
    </w:lvl>
    <w:lvl w:ilvl="8" w:tplc="5986DE5E">
      <w:numFmt w:val="decimal"/>
      <w:lvlText w:val=""/>
      <w:lvlJc w:val="left"/>
    </w:lvl>
  </w:abstractNum>
  <w:num w:numId="1" w16cid:durableId="1963461367">
    <w:abstractNumId w:val="2"/>
    <w:lvlOverride w:ilvl="0">
      <w:startOverride w:val="1"/>
    </w:lvlOverride>
  </w:num>
  <w:num w:numId="2" w16cid:durableId="46416531">
    <w:abstractNumId w:val="0"/>
    <w:lvlOverride w:ilvl="0">
      <w:startOverride w:val="1"/>
    </w:lvlOverride>
  </w:num>
  <w:num w:numId="3" w16cid:durableId="15590506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5B7"/>
    <w:rsid w:val="00020884"/>
    <w:rsid w:val="00077727"/>
    <w:rsid w:val="001435B7"/>
    <w:rsid w:val="00420145"/>
    <w:rsid w:val="00425D83"/>
    <w:rsid w:val="005B5D2F"/>
    <w:rsid w:val="00634677"/>
    <w:rsid w:val="007D246A"/>
    <w:rsid w:val="008747C0"/>
    <w:rsid w:val="00B23FB6"/>
    <w:rsid w:val="00D630AE"/>
    <w:rsid w:val="00E556E8"/>
    <w:rsid w:val="00EC2C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97E3F"/>
  <w15:chartTrackingRefBased/>
  <w15:docId w15:val="{FF0DE785-1F09-475F-94C1-E6DB7AFA12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35B7"/>
    <w:pPr>
      <w:spacing w:after="0" w:line="240" w:lineRule="auto"/>
    </w:pPr>
    <w:rPr>
      <w:rFonts w:ascii="Arial" w:eastAsia="Arial" w:hAnsi="Arial" w:cs="Arial"/>
      <w:color w:val="212121"/>
      <w:kern w:val="0"/>
      <w:lang w:eastAsia="en-GB"/>
      <w14:ligatures w14:val="none"/>
    </w:rPr>
  </w:style>
  <w:style w:type="paragraph" w:styleId="Heading1">
    <w:name w:val="heading 1"/>
    <w:basedOn w:val="Normal"/>
    <w:next w:val="Normal"/>
    <w:link w:val="Heading1Char"/>
    <w:uiPriority w:val="9"/>
    <w:qFormat/>
    <w:rsid w:val="001435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435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35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35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35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35B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35B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35B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35B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35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435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35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35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35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35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35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35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35B7"/>
    <w:rPr>
      <w:rFonts w:eastAsiaTheme="majorEastAsia" w:cstheme="majorBidi"/>
      <w:color w:val="272727" w:themeColor="text1" w:themeTint="D8"/>
    </w:rPr>
  </w:style>
  <w:style w:type="paragraph" w:styleId="Title">
    <w:name w:val="Title"/>
    <w:basedOn w:val="Normal"/>
    <w:next w:val="Normal"/>
    <w:link w:val="TitleChar"/>
    <w:uiPriority w:val="10"/>
    <w:qFormat/>
    <w:rsid w:val="001435B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35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35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35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35B7"/>
    <w:pPr>
      <w:spacing w:before="160"/>
      <w:jc w:val="center"/>
    </w:pPr>
    <w:rPr>
      <w:i/>
      <w:iCs/>
      <w:color w:val="404040" w:themeColor="text1" w:themeTint="BF"/>
    </w:rPr>
  </w:style>
  <w:style w:type="character" w:customStyle="1" w:styleId="QuoteChar">
    <w:name w:val="Quote Char"/>
    <w:basedOn w:val="DefaultParagraphFont"/>
    <w:link w:val="Quote"/>
    <w:uiPriority w:val="29"/>
    <w:rsid w:val="001435B7"/>
    <w:rPr>
      <w:i/>
      <w:iCs/>
      <w:color w:val="404040" w:themeColor="text1" w:themeTint="BF"/>
    </w:rPr>
  </w:style>
  <w:style w:type="paragraph" w:styleId="ListParagraph">
    <w:name w:val="List Paragraph"/>
    <w:basedOn w:val="Normal"/>
    <w:qFormat/>
    <w:rsid w:val="001435B7"/>
    <w:pPr>
      <w:ind w:left="720"/>
      <w:contextualSpacing/>
    </w:pPr>
  </w:style>
  <w:style w:type="character" w:styleId="IntenseEmphasis">
    <w:name w:val="Intense Emphasis"/>
    <w:basedOn w:val="DefaultParagraphFont"/>
    <w:uiPriority w:val="21"/>
    <w:qFormat/>
    <w:rsid w:val="001435B7"/>
    <w:rPr>
      <w:i/>
      <w:iCs/>
      <w:color w:val="0F4761" w:themeColor="accent1" w:themeShade="BF"/>
    </w:rPr>
  </w:style>
  <w:style w:type="paragraph" w:styleId="IntenseQuote">
    <w:name w:val="Intense Quote"/>
    <w:basedOn w:val="Normal"/>
    <w:next w:val="Normal"/>
    <w:link w:val="IntenseQuoteChar"/>
    <w:uiPriority w:val="30"/>
    <w:qFormat/>
    <w:rsid w:val="001435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35B7"/>
    <w:rPr>
      <w:i/>
      <w:iCs/>
      <w:color w:val="0F4761" w:themeColor="accent1" w:themeShade="BF"/>
    </w:rPr>
  </w:style>
  <w:style w:type="character" w:styleId="IntenseReference">
    <w:name w:val="Intense Reference"/>
    <w:basedOn w:val="DefaultParagraphFont"/>
    <w:uiPriority w:val="32"/>
    <w:qFormat/>
    <w:rsid w:val="001435B7"/>
    <w:rPr>
      <w:b/>
      <w:bCs/>
      <w:smallCaps/>
      <w:color w:val="0F4761" w:themeColor="accent1" w:themeShade="BF"/>
      <w:spacing w:val="5"/>
    </w:rPr>
  </w:style>
  <w:style w:type="paragraph" w:styleId="Header">
    <w:name w:val="header"/>
    <w:basedOn w:val="Normal"/>
    <w:link w:val="HeaderChar"/>
    <w:uiPriority w:val="99"/>
    <w:unhideWhenUsed/>
    <w:rsid w:val="00EC2C11"/>
    <w:pPr>
      <w:tabs>
        <w:tab w:val="center" w:pos="4513"/>
        <w:tab w:val="right" w:pos="9026"/>
      </w:tabs>
    </w:pPr>
  </w:style>
  <w:style w:type="character" w:customStyle="1" w:styleId="HeaderChar">
    <w:name w:val="Header Char"/>
    <w:basedOn w:val="DefaultParagraphFont"/>
    <w:link w:val="Header"/>
    <w:uiPriority w:val="99"/>
    <w:rsid w:val="00EC2C11"/>
    <w:rPr>
      <w:rFonts w:ascii="Arial" w:eastAsia="Arial" w:hAnsi="Arial" w:cs="Arial"/>
      <w:color w:val="212121"/>
      <w:kern w:val="0"/>
      <w:lang w:eastAsia="en-GB"/>
      <w14:ligatures w14:val="none"/>
    </w:rPr>
  </w:style>
  <w:style w:type="paragraph" w:styleId="Footer">
    <w:name w:val="footer"/>
    <w:basedOn w:val="Normal"/>
    <w:link w:val="FooterChar"/>
    <w:uiPriority w:val="99"/>
    <w:unhideWhenUsed/>
    <w:rsid w:val="00EC2C11"/>
    <w:pPr>
      <w:tabs>
        <w:tab w:val="center" w:pos="4513"/>
        <w:tab w:val="right" w:pos="9026"/>
      </w:tabs>
    </w:pPr>
  </w:style>
  <w:style w:type="character" w:customStyle="1" w:styleId="FooterChar">
    <w:name w:val="Footer Char"/>
    <w:basedOn w:val="DefaultParagraphFont"/>
    <w:link w:val="Footer"/>
    <w:uiPriority w:val="99"/>
    <w:rsid w:val="00EC2C11"/>
    <w:rPr>
      <w:rFonts w:ascii="Arial" w:eastAsia="Arial" w:hAnsi="Arial" w:cs="Arial"/>
      <w:color w:val="212121"/>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58679052">
      <w:bodyDiv w:val="1"/>
      <w:marLeft w:val="0"/>
      <w:marRight w:val="0"/>
      <w:marTop w:val="0"/>
      <w:marBottom w:val="0"/>
      <w:divBdr>
        <w:top w:val="none" w:sz="0" w:space="0" w:color="auto"/>
        <w:left w:val="none" w:sz="0" w:space="0" w:color="auto"/>
        <w:bottom w:val="none" w:sz="0" w:space="0" w:color="auto"/>
        <w:right w:val="none" w:sz="0" w:space="0" w:color="auto"/>
      </w:divBdr>
    </w:div>
    <w:div w:id="1128626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image" Target="media/image4.png"/><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2552</Words>
  <Characters>14548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munteanu</dc:creator>
  <cp:keywords/>
  <dc:description/>
  <cp:lastModifiedBy>daniela munteanu</cp:lastModifiedBy>
  <cp:revision>7</cp:revision>
  <dcterms:created xsi:type="dcterms:W3CDTF">2026-06-24T04:45:00Z</dcterms:created>
  <dcterms:modified xsi:type="dcterms:W3CDTF">2026-06-28T04:06:00Z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ff52ffc5-fbd1-4baa-a865-b9a0f0099953</vt:lpwstr>
  </property>
</Properties>
</file>