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4257C" w14:textId="4B653DAA" w:rsidR="00D03CD7" w:rsidRDefault="00D03CD7" w:rsidP="00D03CD7">
      <w:pPr>
        <w:rPr>
          <w:rFonts w:ascii="Arial" w:hAnsi="Arial" w:cs="Arial"/>
          <w:b/>
          <w:bCs/>
          <w:sz w:val="32"/>
          <w:szCs w:val="32"/>
          <w:u w:val="single"/>
        </w:rPr>
      </w:pPr>
      <w:r w:rsidRPr="00D03CD7">
        <w:rPr>
          <w:rFonts w:ascii="Arial" w:hAnsi="Arial" w:cs="Arial"/>
          <w:noProof/>
          <w:sz w:val="32"/>
          <w:szCs w:val="32"/>
        </w:rPr>
        <w:drawing>
          <wp:inline distT="0" distB="0" distL="0" distR="0" wp14:anchorId="2D732F09" wp14:editId="7EA2ECD9">
            <wp:extent cx="1810385" cy="725170"/>
            <wp:effectExtent l="0" t="0" r="0" b="0"/>
            <wp:docPr id="391480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96E77A5" w14:textId="77777777" w:rsidR="00D03CD7" w:rsidRPr="00D03CD7" w:rsidRDefault="00D03CD7" w:rsidP="00D03CD7">
      <w:pPr>
        <w:rPr>
          <w:rFonts w:ascii="Arial" w:hAnsi="Arial" w:cs="Arial"/>
          <w:b/>
          <w:bCs/>
        </w:rPr>
      </w:pPr>
      <w:r w:rsidRPr="00D03CD7">
        <w:rPr>
          <w:rFonts w:ascii="Arial" w:hAnsi="Arial" w:cs="Arial"/>
          <w:b/>
          <w:bCs/>
        </w:rPr>
        <w:t xml:space="preserve">Module: </w:t>
      </w:r>
      <w:r w:rsidRPr="00D03CD7">
        <w:rPr>
          <w:rFonts w:ascii="Arial" w:hAnsi="Arial" w:cs="Arial"/>
        </w:rPr>
        <w:t>Entrepreneurship</w:t>
      </w:r>
      <w:r w:rsidRPr="00D03CD7">
        <w:rPr>
          <w:rFonts w:ascii="Arial" w:hAnsi="Arial" w:cs="Arial"/>
          <w:b/>
          <w:bCs/>
        </w:rPr>
        <w:t xml:space="preserve"> </w:t>
      </w:r>
    </w:p>
    <w:p w14:paraId="2FF95E1D" w14:textId="553DB626" w:rsidR="00D03CD7" w:rsidRPr="00D03CD7" w:rsidRDefault="00D03CD7" w:rsidP="00D03CD7">
      <w:pPr>
        <w:rPr>
          <w:rFonts w:ascii="Arial" w:hAnsi="Arial" w:cs="Arial"/>
          <w:b/>
          <w:bCs/>
        </w:rPr>
      </w:pPr>
      <w:r w:rsidRPr="00D03CD7">
        <w:rPr>
          <w:rFonts w:ascii="Arial" w:hAnsi="Arial" w:cs="Arial"/>
          <w:b/>
          <w:bCs/>
        </w:rPr>
        <w:t xml:space="preserve">Assignment: </w:t>
      </w:r>
      <w:r w:rsidRPr="00D03CD7">
        <w:rPr>
          <w:rFonts w:ascii="Arial" w:hAnsi="Arial" w:cs="Arial"/>
        </w:rPr>
        <w:t>Task 1</w:t>
      </w:r>
      <w:r w:rsidRPr="00D03CD7">
        <w:rPr>
          <w:rFonts w:ascii="Arial" w:hAnsi="Arial" w:cs="Arial"/>
          <w:b/>
          <w:bCs/>
        </w:rPr>
        <w:t xml:space="preserve">: </w:t>
      </w:r>
      <w:r w:rsidRPr="00D03CD7">
        <w:rPr>
          <w:rFonts w:ascii="Arial" w:hAnsi="Arial" w:cs="Arial"/>
        </w:rPr>
        <w:t>Business Plan-Essay</w:t>
      </w:r>
    </w:p>
    <w:p w14:paraId="43F9F6B8" w14:textId="11724FDC" w:rsidR="00D03CD7" w:rsidRPr="00D03CD7" w:rsidRDefault="00D03CD7" w:rsidP="00D03CD7">
      <w:pPr>
        <w:rPr>
          <w:rFonts w:ascii="Arial" w:hAnsi="Arial" w:cs="Arial"/>
          <w:b/>
          <w:bCs/>
        </w:rPr>
      </w:pPr>
      <w:r w:rsidRPr="00D03CD7">
        <w:rPr>
          <w:rFonts w:ascii="Arial" w:hAnsi="Arial" w:cs="Arial"/>
          <w:b/>
          <w:bCs/>
        </w:rPr>
        <w:t xml:space="preserve">Student Name: </w:t>
      </w:r>
      <w:r w:rsidRPr="00D03CD7">
        <w:rPr>
          <w:rFonts w:ascii="Arial" w:hAnsi="Arial" w:cs="Arial"/>
        </w:rPr>
        <w:t>Andreea-Rebeca Dascalu</w:t>
      </w:r>
    </w:p>
    <w:p w14:paraId="6647509B" w14:textId="23DE1268" w:rsidR="00D03CD7" w:rsidRPr="00D03CD7" w:rsidRDefault="00D03CD7" w:rsidP="00D03CD7">
      <w:pPr>
        <w:rPr>
          <w:rFonts w:ascii="Arial" w:hAnsi="Arial" w:cs="Arial"/>
        </w:rPr>
      </w:pPr>
      <w:r w:rsidRPr="00D03CD7">
        <w:rPr>
          <w:rFonts w:ascii="Arial" w:hAnsi="Arial" w:cs="Arial"/>
          <w:b/>
          <w:bCs/>
        </w:rPr>
        <w:t xml:space="preserve">Student Number: </w:t>
      </w:r>
      <w:r w:rsidRPr="00D03CD7">
        <w:rPr>
          <w:rFonts w:ascii="Arial" w:hAnsi="Arial" w:cs="Arial"/>
        </w:rPr>
        <w:t>2311833</w:t>
      </w:r>
    </w:p>
    <w:p w14:paraId="36EF8211" w14:textId="77777777" w:rsidR="00D03CD7" w:rsidRDefault="00D03CD7" w:rsidP="00D03CD7">
      <w:pPr>
        <w:rPr>
          <w:rFonts w:ascii="Arial" w:hAnsi="Arial" w:cs="Arial"/>
          <w:b/>
          <w:bCs/>
          <w:sz w:val="32"/>
          <w:szCs w:val="32"/>
          <w:u w:val="single"/>
        </w:rPr>
      </w:pPr>
    </w:p>
    <w:p w14:paraId="195AF714" w14:textId="58DD6D3A" w:rsidR="00C86C0C" w:rsidRDefault="00C86C0C" w:rsidP="00C86C0C">
      <w:pPr>
        <w:jc w:val="center"/>
        <w:rPr>
          <w:rFonts w:ascii="Arial" w:hAnsi="Arial" w:cs="Arial"/>
          <w:b/>
          <w:bCs/>
          <w:sz w:val="32"/>
          <w:szCs w:val="32"/>
          <w:u w:val="single"/>
        </w:rPr>
      </w:pPr>
      <w:r w:rsidRPr="00C86C0C">
        <w:rPr>
          <w:rFonts w:ascii="Arial" w:hAnsi="Arial" w:cs="Arial"/>
          <w:b/>
          <w:bCs/>
          <w:sz w:val="32"/>
          <w:szCs w:val="32"/>
          <w:u w:val="single"/>
        </w:rPr>
        <w:t>Business Plan for a Boutique Gym in Leicester, United Kingdom</w:t>
      </w:r>
    </w:p>
    <w:p w14:paraId="7080E9DB" w14:textId="1C98787D" w:rsidR="00D03CD7" w:rsidRPr="00C86C0C" w:rsidRDefault="00D03CD7" w:rsidP="00C86C0C">
      <w:pPr>
        <w:jc w:val="center"/>
        <w:rPr>
          <w:rFonts w:ascii="Arial" w:hAnsi="Arial" w:cs="Arial"/>
          <w:color w:val="EE0000"/>
          <w:sz w:val="36"/>
          <w:szCs w:val="36"/>
          <w:u w:val="single"/>
        </w:rPr>
      </w:pPr>
      <w:r w:rsidRPr="00C86C0C">
        <w:rPr>
          <w:rFonts w:ascii="Arial" w:hAnsi="Arial" w:cs="Arial"/>
          <w:b/>
          <w:bCs/>
          <w:color w:val="EE0000"/>
          <w:sz w:val="36"/>
          <w:szCs w:val="36"/>
          <w:u w:val="single"/>
        </w:rPr>
        <w:t>Elevate Performance Leicester Ltd</w:t>
      </w:r>
    </w:p>
    <w:p w14:paraId="1F3C42D9" w14:textId="77777777" w:rsidR="00C64093" w:rsidRDefault="00C64093" w:rsidP="00C86C0C">
      <w:pPr>
        <w:rPr>
          <w:rFonts w:ascii="Arial" w:hAnsi="Arial" w:cs="Arial"/>
          <w:b/>
          <w:bCs/>
        </w:rPr>
      </w:pPr>
    </w:p>
    <w:p w14:paraId="1F299706" w14:textId="332F406F" w:rsidR="00C86C0C" w:rsidRPr="00C64093" w:rsidRDefault="00C64093" w:rsidP="00C64093">
      <w:pPr>
        <w:rPr>
          <w:rFonts w:ascii="Arial" w:hAnsi="Arial" w:cs="Arial"/>
          <w:b/>
          <w:bCs/>
        </w:rPr>
      </w:pPr>
      <w:r>
        <w:rPr>
          <w:rFonts w:ascii="Arial" w:hAnsi="Arial" w:cs="Arial"/>
          <w:b/>
          <w:bCs/>
        </w:rPr>
        <w:t>1.</w:t>
      </w:r>
      <w:r w:rsidR="00C86C0C" w:rsidRPr="00C64093">
        <w:rPr>
          <w:rFonts w:ascii="Arial" w:hAnsi="Arial" w:cs="Arial"/>
          <w:b/>
          <w:bCs/>
        </w:rPr>
        <w:t>Business Idea, Products/Services, Objectives and Unique Selling Point</w:t>
      </w:r>
    </w:p>
    <w:p w14:paraId="19938657" w14:textId="77777777" w:rsidR="00C86C0C" w:rsidRPr="00C86C0C" w:rsidRDefault="00C86C0C" w:rsidP="00C86C0C">
      <w:pPr>
        <w:rPr>
          <w:rFonts w:ascii="Arial" w:hAnsi="Arial" w:cs="Arial"/>
          <w:b/>
          <w:bCs/>
        </w:rPr>
      </w:pPr>
      <w:r w:rsidRPr="00C86C0C">
        <w:rPr>
          <w:rFonts w:ascii="Arial" w:hAnsi="Arial" w:cs="Arial"/>
          <w:b/>
          <w:bCs/>
        </w:rPr>
        <w:t>Business Idea and Overview</w:t>
      </w:r>
    </w:p>
    <w:p w14:paraId="4B95842F" w14:textId="005D9418" w:rsidR="00C86C0C" w:rsidRPr="00C86C0C" w:rsidRDefault="00C86C0C" w:rsidP="00C86C0C">
      <w:pPr>
        <w:rPr>
          <w:rFonts w:ascii="Arial" w:hAnsi="Arial" w:cs="Arial"/>
        </w:rPr>
      </w:pPr>
      <w:r w:rsidRPr="00C86C0C">
        <w:rPr>
          <w:rFonts w:ascii="Arial" w:hAnsi="Arial" w:cs="Arial"/>
        </w:rPr>
        <w:t xml:space="preserve">The proposed business is a </w:t>
      </w:r>
      <w:r w:rsidRPr="00C64093">
        <w:rPr>
          <w:rFonts w:ascii="Arial" w:hAnsi="Arial" w:cs="Arial"/>
        </w:rPr>
        <w:t>premium,</w:t>
      </w:r>
      <w:r w:rsidRPr="00C86C0C">
        <w:rPr>
          <w:rFonts w:ascii="Arial" w:hAnsi="Arial" w:cs="Arial"/>
        </w:rPr>
        <w:t xml:space="preserve"> yet accessible boutique gym located in Leicester city centre, provisionally named </w:t>
      </w:r>
      <w:r w:rsidRPr="00C86C0C">
        <w:rPr>
          <w:rFonts w:ascii="Arial" w:hAnsi="Arial" w:cs="Arial"/>
          <w:b/>
          <w:bCs/>
          <w:i/>
          <w:iCs/>
        </w:rPr>
        <w:t>Elevate Performance Leicester Ltd</w:t>
      </w:r>
      <w:r w:rsidRPr="00C86C0C">
        <w:rPr>
          <w:rFonts w:ascii="Arial" w:hAnsi="Arial" w:cs="Arial"/>
        </w:rPr>
        <w:t>. The gym will operate as a technology-enabled, community-focused fitness facility combining strength training, functional fitness, small-group personal training, and evidence-based health coaching. Leicester, a diverse and growing city in the East Midlands with a population exceeding 350,000, presents a strong market opportunity due to increasing public awareness of physical health, rising obesity rates, and a cultural shift towards preventative wellbeing.</w:t>
      </w:r>
    </w:p>
    <w:p w14:paraId="41FCCAFA" w14:textId="77777777" w:rsidR="00C86C0C" w:rsidRPr="00C86C0C" w:rsidRDefault="00C86C0C" w:rsidP="00C86C0C">
      <w:pPr>
        <w:rPr>
          <w:rFonts w:ascii="Arial" w:hAnsi="Arial" w:cs="Arial"/>
        </w:rPr>
      </w:pPr>
      <w:r w:rsidRPr="00C86C0C">
        <w:rPr>
          <w:rFonts w:ascii="Arial" w:hAnsi="Arial" w:cs="Arial"/>
        </w:rPr>
        <w:t>Unlike large, low-cost gym chains that compete primarily on price and scale, Elevate Performance Leicester Ltd will focus on personalised programming, measurable progress, and holistic wellbeing. The core offering will include structured small-group training sessions (maximum 10 members per class), personal training, physiotherapy-led rehabilitation support, nutrition coaching, and digital progress tracking through wearable integration. The facility will operate on a membership model supplemented by premium add-on services such as one-to-one coaching, corporate wellness packages, and youth athletic development programmes.</w:t>
      </w:r>
    </w:p>
    <w:p w14:paraId="1A03B2BD" w14:textId="77777777" w:rsidR="00C86C0C" w:rsidRPr="00C86C0C" w:rsidRDefault="00C86C0C" w:rsidP="00C86C0C">
      <w:pPr>
        <w:rPr>
          <w:rFonts w:ascii="Arial" w:hAnsi="Arial" w:cs="Arial"/>
        </w:rPr>
      </w:pPr>
      <w:r w:rsidRPr="00C86C0C">
        <w:rPr>
          <w:rFonts w:ascii="Arial" w:hAnsi="Arial" w:cs="Arial"/>
        </w:rPr>
        <w:t>The gym will occupy approximately 4,000 square feet of leased commercial space within Leicester city centre. The interior design will prioritise open-plan strength zones, functional training rigs, free weights, recovery spaces, and consultation rooms. The business will adopt a hybrid service approach: physical in-gym training supported by a dedicated mobile application that tracks performance metrics, attendance, goal progression, and communication between coaches and members.</w:t>
      </w:r>
    </w:p>
    <w:p w14:paraId="1AECAEF1" w14:textId="77777777" w:rsidR="00C86C0C" w:rsidRPr="00C86C0C" w:rsidRDefault="00C86C0C" w:rsidP="00C86C0C">
      <w:pPr>
        <w:rPr>
          <w:rFonts w:ascii="Arial" w:hAnsi="Arial" w:cs="Arial"/>
          <w:b/>
          <w:bCs/>
        </w:rPr>
      </w:pPr>
      <w:r w:rsidRPr="00C86C0C">
        <w:rPr>
          <w:rFonts w:ascii="Arial" w:hAnsi="Arial" w:cs="Arial"/>
          <w:b/>
          <w:bCs/>
        </w:rPr>
        <w:t>Objectives</w:t>
      </w:r>
    </w:p>
    <w:p w14:paraId="05000276" w14:textId="77777777" w:rsidR="00C86C0C" w:rsidRPr="00C86C0C" w:rsidRDefault="00C86C0C" w:rsidP="00C86C0C">
      <w:pPr>
        <w:rPr>
          <w:rFonts w:ascii="Arial" w:hAnsi="Arial" w:cs="Arial"/>
        </w:rPr>
      </w:pPr>
      <w:r w:rsidRPr="00C86C0C">
        <w:rPr>
          <w:rFonts w:ascii="Arial" w:hAnsi="Arial" w:cs="Arial"/>
        </w:rPr>
        <w:t xml:space="preserve">The short-term objective (years 1–2) is to achieve operational break-even within the first 18 months of trading and reach 400 active members by the end of year two. Based on average projected monthly membership fees of £55–£75 and additional service revenue, the target </w:t>
      </w:r>
      <w:r w:rsidRPr="00C86C0C">
        <w:rPr>
          <w:rFonts w:ascii="Arial" w:hAnsi="Arial" w:cs="Arial"/>
        </w:rPr>
        <w:lastRenderedPageBreak/>
        <w:t>turnover for year two is approximately £420,000, with a projected net profit margin of 10–12% after stabilisation.</w:t>
      </w:r>
    </w:p>
    <w:p w14:paraId="6C6B111A" w14:textId="77777777" w:rsidR="00C86C0C" w:rsidRPr="00C86C0C" w:rsidRDefault="00C86C0C" w:rsidP="00C86C0C">
      <w:pPr>
        <w:rPr>
          <w:rFonts w:ascii="Arial" w:hAnsi="Arial" w:cs="Arial"/>
        </w:rPr>
      </w:pPr>
      <w:r w:rsidRPr="00C86C0C">
        <w:rPr>
          <w:rFonts w:ascii="Arial" w:hAnsi="Arial" w:cs="Arial"/>
        </w:rPr>
        <w:t>Medium-term objectives (years 3–5) include expanding membership to 600 active clients, increasing annual turnover to approximately £650,000, and achieving a net profit margin of 15–18%. At this stage, the business aims to generate annual net profits in the region of £100,000.</w:t>
      </w:r>
    </w:p>
    <w:p w14:paraId="627C010A" w14:textId="77777777" w:rsidR="00C86C0C" w:rsidRPr="00C86C0C" w:rsidRDefault="00C86C0C" w:rsidP="00C86C0C">
      <w:pPr>
        <w:rPr>
          <w:rFonts w:ascii="Arial" w:hAnsi="Arial" w:cs="Arial"/>
        </w:rPr>
      </w:pPr>
      <w:r w:rsidRPr="00C86C0C">
        <w:rPr>
          <w:rFonts w:ascii="Arial" w:hAnsi="Arial" w:cs="Arial"/>
        </w:rPr>
        <w:t>The long-term objective (years 5–8) is to establish a replicable boutique fitness model and open a second location within the East Midlands region. The long-term vision is to position Elevate Performance as Leicester’s leading results-driven gym brand, recognised for measurable member outcomes and community engagement.</w:t>
      </w:r>
    </w:p>
    <w:p w14:paraId="51598714" w14:textId="77777777" w:rsidR="00C86C0C" w:rsidRPr="00C64093" w:rsidRDefault="00C86C0C" w:rsidP="00C86C0C">
      <w:pPr>
        <w:rPr>
          <w:rFonts w:ascii="Arial" w:hAnsi="Arial" w:cs="Arial"/>
          <w:b/>
          <w:bCs/>
        </w:rPr>
      </w:pPr>
    </w:p>
    <w:p w14:paraId="7BA569FA" w14:textId="77777777" w:rsidR="00C86C0C" w:rsidRPr="00C64093" w:rsidRDefault="00C86C0C" w:rsidP="00C86C0C">
      <w:pPr>
        <w:rPr>
          <w:rFonts w:ascii="Arial" w:hAnsi="Arial" w:cs="Arial"/>
          <w:b/>
          <w:bCs/>
        </w:rPr>
      </w:pPr>
    </w:p>
    <w:p w14:paraId="4A40BA5E" w14:textId="729FE873" w:rsidR="00C86C0C" w:rsidRPr="00C86C0C" w:rsidRDefault="00C86C0C" w:rsidP="00C86C0C">
      <w:pPr>
        <w:rPr>
          <w:rFonts w:ascii="Arial" w:hAnsi="Arial" w:cs="Arial"/>
          <w:b/>
          <w:bCs/>
        </w:rPr>
      </w:pPr>
      <w:r w:rsidRPr="00C86C0C">
        <w:rPr>
          <w:rFonts w:ascii="Arial" w:hAnsi="Arial" w:cs="Arial"/>
          <w:b/>
          <w:bCs/>
        </w:rPr>
        <w:t>Unique Selling Point (USP)</w:t>
      </w:r>
    </w:p>
    <w:p w14:paraId="38B3F224" w14:textId="77777777" w:rsidR="00C64CB6" w:rsidRPr="00C64CB6" w:rsidRDefault="00C64CB6" w:rsidP="00C64CB6">
      <w:pPr>
        <w:rPr>
          <w:rFonts w:ascii="Arial" w:hAnsi="Arial" w:cs="Arial"/>
        </w:rPr>
      </w:pPr>
      <w:r w:rsidRPr="00C64CB6">
        <w:rPr>
          <w:rFonts w:ascii="Arial" w:hAnsi="Arial" w:cs="Arial"/>
        </w:rPr>
        <w:t>The defining competitive advantage of Elevate Performance Leicester Ltd lies in its structured “Data-Driven Transformation Model,” which integrates biometric tracking, behavioural accountability systems, and semi-private coaching to maximise measurable outcomes and long-term retention. While Leicester hosts multiple gym operators—including PureGym Leicester Walnut Street, The Gym Group Leicester City Centre, and Everlast Fitness Club Leicester—these competitors predominantly operate high-volume, low-touch models built around open-access memberships. Their pricing structures (£15–£30 per month) are designed to maximise volume rather than engagement.</w:t>
      </w:r>
    </w:p>
    <w:p w14:paraId="6A5D2698" w14:textId="77777777" w:rsidR="00C64CB6" w:rsidRPr="00C64CB6" w:rsidRDefault="00C64CB6" w:rsidP="00C64CB6">
      <w:pPr>
        <w:rPr>
          <w:rFonts w:ascii="Arial" w:hAnsi="Arial" w:cs="Arial"/>
        </w:rPr>
      </w:pPr>
      <w:r w:rsidRPr="00C64CB6">
        <w:rPr>
          <w:rFonts w:ascii="Arial" w:hAnsi="Arial" w:cs="Arial"/>
        </w:rPr>
        <w:t>The UK health and fitness market is valued at over £5 billion annually (Leisure DB, 2023), yet industry reports consistently identify retention as a structural weakness. The Leisure DB 2023 State of the Fitness Industry Report indicates average annual attrition rates between 28% and 40%. This suggests that many members disengage due to lack of accountability, absence of personalised progression, and minimal staff interaction.</w:t>
      </w:r>
    </w:p>
    <w:p w14:paraId="129E750E" w14:textId="77777777" w:rsidR="00C64CB6" w:rsidRPr="00C64CB6" w:rsidRDefault="00C64CB6" w:rsidP="00C64CB6">
      <w:pPr>
        <w:rPr>
          <w:rFonts w:ascii="Arial" w:hAnsi="Arial" w:cs="Arial"/>
        </w:rPr>
      </w:pPr>
      <w:r w:rsidRPr="00C64CB6">
        <w:rPr>
          <w:rFonts w:ascii="Arial" w:hAnsi="Arial" w:cs="Arial"/>
        </w:rPr>
        <w:t>From a theoretical perspective, service-dominant logic emphasises that value is co-created between provider and customer through ongoing interaction rather than passive consumption (Vargo and Lusch, 2004). Traditional budget gyms operate on transactional membership models; however, boutique fitness environments rely on relational engagement. Relationship marketing theory further suggests that long-term customer retention is more profitable than continuous new customer acquisition (Grönroos, 1994).</w:t>
      </w:r>
    </w:p>
    <w:p w14:paraId="63FD59C6" w14:textId="77777777" w:rsidR="00C64CB6" w:rsidRPr="00C64CB6" w:rsidRDefault="00C64CB6" w:rsidP="00C64CB6">
      <w:pPr>
        <w:rPr>
          <w:rFonts w:ascii="Arial" w:hAnsi="Arial" w:cs="Arial"/>
        </w:rPr>
      </w:pPr>
      <w:r w:rsidRPr="00C64CB6">
        <w:rPr>
          <w:rFonts w:ascii="Arial" w:hAnsi="Arial" w:cs="Arial"/>
        </w:rPr>
        <w:t>Elevate Performance operationalises these principles by embedding structured 12-week goal cycles and measurable performance reviews. Each member will undergo baseline physiological testing, body composition scanning, strength benchmarking, mobility screening, and lifestyle assessment. Quarterly reviews convert abstract fitness goals into objective metrics, increasing psychological commitment and perceived value.</w:t>
      </w:r>
    </w:p>
    <w:p w14:paraId="0969E9E8" w14:textId="77777777" w:rsidR="00C64CB6" w:rsidRPr="00C64CB6" w:rsidRDefault="00C64CB6" w:rsidP="00C64CB6">
      <w:pPr>
        <w:rPr>
          <w:rFonts w:ascii="Arial" w:hAnsi="Arial" w:cs="Arial"/>
        </w:rPr>
      </w:pPr>
      <w:r w:rsidRPr="00C64CB6">
        <w:rPr>
          <w:rFonts w:ascii="Arial" w:hAnsi="Arial" w:cs="Arial"/>
        </w:rPr>
        <w:t>From a financial perspective, improved retention directly enhances Customer Lifetime Value (CLV). If acquisition cost per member is estimated at £120 through digital marketing and referral incentives, but the average member remains for 24 months instead of 10 months (industry norm), lifetime revenue increases from approximately £650 to over £1,500 per member. Reichheld and Sasser (1990) demonstrate that small improvements in customer retention can significantly increase profitability due to reduced acquisition costs and recurring revenue stability. The Data-Driven Transformation Model therefore represents not merely a technological feature, but a strategic retention mechanism.</w:t>
      </w:r>
    </w:p>
    <w:p w14:paraId="3F3F2F1D" w14:textId="77777777" w:rsidR="00C64CB6" w:rsidRPr="00C64CB6" w:rsidRDefault="00C64CB6" w:rsidP="00C64CB6">
      <w:pPr>
        <w:rPr>
          <w:rFonts w:ascii="Arial" w:hAnsi="Arial" w:cs="Arial"/>
        </w:rPr>
      </w:pPr>
      <w:r w:rsidRPr="00C64CB6">
        <w:rPr>
          <w:rFonts w:ascii="Arial" w:hAnsi="Arial" w:cs="Arial"/>
        </w:rPr>
        <w:t>Additionally, the integration of physiotherapy-led injury prevention enhances service quality and reduces dropout caused by injury. Parasuraman, Zeithaml and Berry (1988) identify reliability and assurance as critical service quality dimensions influencing customer satisfaction. By embedding clinical oversight, Elevate Performance increases perceived professionalism and trust, strengthening long-term loyalty.</w:t>
      </w:r>
    </w:p>
    <w:p w14:paraId="75FF5076" w14:textId="77777777" w:rsidR="00C64CB6" w:rsidRPr="00C64CB6" w:rsidRDefault="00C64CB6" w:rsidP="00C64CB6">
      <w:pPr>
        <w:rPr>
          <w:rFonts w:ascii="Arial" w:hAnsi="Arial" w:cs="Arial"/>
        </w:rPr>
      </w:pPr>
      <w:r w:rsidRPr="00C64CB6">
        <w:rPr>
          <w:rFonts w:ascii="Arial" w:hAnsi="Arial" w:cs="Arial"/>
        </w:rPr>
        <w:t>The USP therefore rests on three integrated pillars: measurable progress, relational accountability, and embedded health expertise. This positions the business within the premium boutique segment while maintaining accessibility relative to London-based boutique operators charging £100+ per month.</w:t>
      </w:r>
    </w:p>
    <w:p w14:paraId="4184CF63" w14:textId="77777777" w:rsidR="00C64CB6" w:rsidRDefault="00C64CB6" w:rsidP="0059423A">
      <w:pPr>
        <w:rPr>
          <w:rFonts w:ascii="Arial" w:hAnsi="Arial" w:cs="Arial"/>
          <w:b/>
          <w:bCs/>
        </w:rPr>
      </w:pPr>
    </w:p>
    <w:p w14:paraId="4CE239BE" w14:textId="6841DB3E" w:rsidR="0059423A" w:rsidRPr="0059423A" w:rsidRDefault="00C64093" w:rsidP="0059423A">
      <w:pPr>
        <w:rPr>
          <w:rFonts w:ascii="Arial" w:hAnsi="Arial" w:cs="Arial"/>
          <w:b/>
          <w:bCs/>
        </w:rPr>
      </w:pPr>
      <w:r>
        <w:rPr>
          <w:rFonts w:ascii="Arial" w:hAnsi="Arial" w:cs="Arial"/>
          <w:b/>
          <w:bCs/>
        </w:rPr>
        <w:t xml:space="preserve">2. </w:t>
      </w:r>
      <w:r w:rsidR="0059423A" w:rsidRPr="0059423A">
        <w:rPr>
          <w:rFonts w:ascii="Arial" w:hAnsi="Arial" w:cs="Arial"/>
          <w:b/>
          <w:bCs/>
        </w:rPr>
        <w:t>Business Environment &amp; Competitor Analysis</w:t>
      </w:r>
    </w:p>
    <w:p w14:paraId="1DCE1594" w14:textId="77777777" w:rsidR="0059423A" w:rsidRPr="0059423A" w:rsidRDefault="0059423A" w:rsidP="0059423A">
      <w:pPr>
        <w:rPr>
          <w:rFonts w:ascii="Arial" w:hAnsi="Arial" w:cs="Arial"/>
          <w:b/>
          <w:bCs/>
        </w:rPr>
      </w:pPr>
      <w:r w:rsidRPr="0059423A">
        <w:rPr>
          <w:rFonts w:ascii="Arial" w:hAnsi="Arial" w:cs="Arial"/>
          <w:b/>
          <w:bCs/>
        </w:rPr>
        <w:t>Industry Overview and Local Market Context</w:t>
      </w:r>
    </w:p>
    <w:p w14:paraId="061E834B" w14:textId="77777777" w:rsidR="0059423A" w:rsidRPr="0059423A" w:rsidRDefault="0059423A" w:rsidP="0059423A">
      <w:pPr>
        <w:rPr>
          <w:rFonts w:ascii="Arial" w:hAnsi="Arial" w:cs="Arial"/>
        </w:rPr>
      </w:pPr>
      <w:r w:rsidRPr="0059423A">
        <w:rPr>
          <w:rFonts w:ascii="Arial" w:hAnsi="Arial" w:cs="Arial"/>
        </w:rPr>
        <w:t>The UK fitness industry is valued at over £5 billion annually and has demonstrated strong recovery and growth following the COVID-19 pandemic. According to Leisure DB’s 2023 State of the Fitness Industry Report, membership levels have returned to and in some regions exceeded pre-pandemic figures, reflecting sustained consumer prioritisation of health and preventative wellbeing. Leicester, as one of the largest cities in the East Midlands with a population exceeding 350,000, represents a commercially viable and demographically diverse fitness market.</w:t>
      </w:r>
    </w:p>
    <w:p w14:paraId="5B9F9462" w14:textId="77777777" w:rsidR="0059423A" w:rsidRPr="0059423A" w:rsidRDefault="0059423A" w:rsidP="0059423A">
      <w:pPr>
        <w:rPr>
          <w:rFonts w:ascii="Arial" w:hAnsi="Arial" w:cs="Arial"/>
        </w:rPr>
      </w:pPr>
      <w:r w:rsidRPr="0059423A">
        <w:rPr>
          <w:rFonts w:ascii="Arial" w:hAnsi="Arial" w:cs="Arial"/>
        </w:rPr>
        <w:t>Leicester’s gym sector can be segmented into three broad categories: low-cost national chains, mid-market leisure clubs, and independent boutique or specialist studios. Understanding the positioning, strengths, and limitations of these competitors is central to assessing market viability and differentiation opportunities.</w:t>
      </w:r>
    </w:p>
    <w:p w14:paraId="140C6007" w14:textId="77777777" w:rsidR="0059423A" w:rsidRPr="0059423A" w:rsidRDefault="0059423A" w:rsidP="0059423A">
      <w:pPr>
        <w:rPr>
          <w:rFonts w:ascii="Arial" w:hAnsi="Arial" w:cs="Arial"/>
        </w:rPr>
      </w:pPr>
      <w:r w:rsidRPr="0059423A">
        <w:rPr>
          <w:rFonts w:ascii="Arial" w:hAnsi="Arial" w:cs="Arial"/>
        </w:rPr>
        <w:t>Low-cost operators such as PureGym Leicester Walnut Street and The Gym Group Leicester City Centre dominate on price accessibility, typically charging between £15 and £25 per month. These facilities operate high-volume membership models characterised by 24-hour access, self-service entry systems, limited direct staff engagement, and heavy reliance on open-access equipment usage. Their competitive advantage lies in affordability and convenience; however, overcrowding at peak times and minimal personalised coaching are commonly cited limitations in consumer reviews. Their business model depends on over-subscription economics, where profitability is partly achieved because a significant proportion of members underutilise their memberships.</w:t>
      </w:r>
    </w:p>
    <w:p w14:paraId="39CC99A7" w14:textId="77777777" w:rsidR="0059423A" w:rsidRPr="0059423A" w:rsidRDefault="0059423A" w:rsidP="0059423A">
      <w:pPr>
        <w:rPr>
          <w:rFonts w:ascii="Arial" w:hAnsi="Arial" w:cs="Arial"/>
        </w:rPr>
      </w:pPr>
      <w:r w:rsidRPr="0059423A">
        <w:rPr>
          <w:rFonts w:ascii="Arial" w:hAnsi="Arial" w:cs="Arial"/>
        </w:rPr>
        <w:t>Mid-market facilities such as Everlast Fitness Club Leicester and David Lloyd Narborough offer broader amenities, including swimming pools, spa facilities, and racquet sports. Monthly fees range from approximately £40 to £90 depending on package tiers. While these clubs provide a more comprehensive leisure experience, their positioning is lifestyle-oriented rather than performance-focused. Structured coaching and measurable transformation programmes are not core features of their membership models.</w:t>
      </w:r>
    </w:p>
    <w:p w14:paraId="792F5C7A" w14:textId="77777777" w:rsidR="0059423A" w:rsidRPr="0059423A" w:rsidRDefault="0059423A" w:rsidP="0059423A">
      <w:pPr>
        <w:rPr>
          <w:rFonts w:ascii="Arial" w:hAnsi="Arial" w:cs="Arial"/>
        </w:rPr>
      </w:pPr>
      <w:r w:rsidRPr="0059423A">
        <w:rPr>
          <w:rFonts w:ascii="Arial" w:hAnsi="Arial" w:cs="Arial"/>
        </w:rPr>
        <w:t>Independent operators, including CrossFit Leicester and various personal training studios, provide community-driven training environments. However, CrossFit-style facilities often appeal to a narrower, high-intensity demographic and may deter beginners or professionals seeking structured but less extreme training environments.</w:t>
      </w:r>
    </w:p>
    <w:p w14:paraId="242E7A95" w14:textId="26215FC0" w:rsidR="00C52445" w:rsidRPr="00C52445" w:rsidRDefault="0059423A" w:rsidP="0059423A">
      <w:pPr>
        <w:rPr>
          <w:rFonts w:ascii="Arial" w:hAnsi="Arial" w:cs="Arial"/>
        </w:rPr>
      </w:pPr>
      <w:r w:rsidRPr="0059423A">
        <w:rPr>
          <w:rFonts w:ascii="Arial" w:hAnsi="Arial" w:cs="Arial"/>
        </w:rPr>
        <w:t>The key strategic insight emerging from this competitor analysis is the existence of a market gap between low-cost accessibility and high-intensity niche training. Leicester currently lacks a mid-sized boutique gym specifically targeting working professionals seeking measurable progress, structured accountability, and integrated health support without entering elite athletic environments. Elevate Performance Leicester Ltd is therefore positioned to occupy this under-served segment.</w:t>
      </w:r>
    </w:p>
    <w:p w14:paraId="6C7D736A" w14:textId="2BE3EED7" w:rsidR="0059423A" w:rsidRPr="0059423A" w:rsidRDefault="0059423A" w:rsidP="0059423A">
      <w:pPr>
        <w:rPr>
          <w:rFonts w:ascii="Arial" w:hAnsi="Arial" w:cs="Arial"/>
          <w:b/>
          <w:bCs/>
          <w:u w:val="single"/>
        </w:rPr>
      </w:pPr>
      <w:r w:rsidRPr="0059423A">
        <w:rPr>
          <w:rFonts w:ascii="Arial" w:hAnsi="Arial" w:cs="Arial"/>
          <w:b/>
          <w:bCs/>
          <w:u w:val="single"/>
        </w:rPr>
        <w:t>PESTEL Analysis</w:t>
      </w:r>
    </w:p>
    <w:p w14:paraId="732FDBF0" w14:textId="77777777" w:rsidR="0059423A" w:rsidRPr="0059423A" w:rsidRDefault="0059423A" w:rsidP="0059423A">
      <w:pPr>
        <w:rPr>
          <w:rFonts w:ascii="Arial" w:hAnsi="Arial" w:cs="Arial"/>
        </w:rPr>
      </w:pPr>
      <w:r w:rsidRPr="0059423A">
        <w:rPr>
          <w:rFonts w:ascii="Arial" w:hAnsi="Arial" w:cs="Arial"/>
        </w:rPr>
        <w:t>A comprehensive PESTEL analysis provides insight into the macro-environmental factors influencing the viability and sustainability of the proposed gym.</w:t>
      </w:r>
    </w:p>
    <w:p w14:paraId="0E156C9E" w14:textId="77777777" w:rsidR="0059423A" w:rsidRPr="0059423A" w:rsidRDefault="0059423A" w:rsidP="0059423A">
      <w:pPr>
        <w:rPr>
          <w:rFonts w:ascii="Arial" w:hAnsi="Arial" w:cs="Arial"/>
          <w:b/>
          <w:bCs/>
        </w:rPr>
      </w:pPr>
      <w:r w:rsidRPr="0059423A">
        <w:rPr>
          <w:rFonts w:ascii="Arial" w:hAnsi="Arial" w:cs="Arial"/>
          <w:b/>
          <w:bCs/>
        </w:rPr>
        <w:t>Political Factors</w:t>
      </w:r>
    </w:p>
    <w:p w14:paraId="66F4A890" w14:textId="77777777" w:rsidR="0059423A" w:rsidRPr="0059423A" w:rsidRDefault="0059423A" w:rsidP="0059423A">
      <w:pPr>
        <w:rPr>
          <w:rFonts w:ascii="Arial" w:hAnsi="Arial" w:cs="Arial"/>
        </w:rPr>
      </w:pPr>
      <w:r w:rsidRPr="0059423A">
        <w:rPr>
          <w:rFonts w:ascii="Arial" w:hAnsi="Arial" w:cs="Arial"/>
        </w:rPr>
        <w:t>The UK Government has prioritised preventative healthcare strategies to reduce long-term strain on the National Health Service. The national obesity strategy explicitly promotes increased physical activity and healthier lifestyles (Department of Health &amp; Social Care, 2020). This policy orientation indirectly supports the private fitness sector by encouraging behavioural change among the population. However, direct financial subsidies for private gyms are limited, meaning that the industry benefits from policy rhetoric rather than structural protection.</w:t>
      </w:r>
    </w:p>
    <w:p w14:paraId="52F37ADF" w14:textId="77777777" w:rsidR="0059423A" w:rsidRPr="0059423A" w:rsidRDefault="0059423A" w:rsidP="0059423A">
      <w:pPr>
        <w:rPr>
          <w:rFonts w:ascii="Arial" w:hAnsi="Arial" w:cs="Arial"/>
        </w:rPr>
      </w:pPr>
      <w:r w:rsidRPr="0059423A">
        <w:rPr>
          <w:rFonts w:ascii="Arial" w:hAnsi="Arial" w:cs="Arial"/>
        </w:rPr>
        <w:t>At a local level, Leicester City Council regulates planning permissions and commercial business rates, both of which influence fixed operating costs (Leicester City Council, 2023). City-centre commercial property carries relatively high rateable values, increasing initial financial exposure. Therefore, while political support for physical activity is favourable, regulatory and taxation structures represent ongoing cost considerations.</w:t>
      </w:r>
    </w:p>
    <w:p w14:paraId="61BD9FB1" w14:textId="77777777" w:rsidR="0059423A" w:rsidRPr="0059423A" w:rsidRDefault="0059423A" w:rsidP="0059423A">
      <w:pPr>
        <w:rPr>
          <w:rFonts w:ascii="Arial" w:hAnsi="Arial" w:cs="Arial"/>
          <w:b/>
          <w:bCs/>
        </w:rPr>
      </w:pPr>
      <w:r w:rsidRPr="0059423A">
        <w:rPr>
          <w:rFonts w:ascii="Arial" w:hAnsi="Arial" w:cs="Arial"/>
          <w:b/>
          <w:bCs/>
        </w:rPr>
        <w:t>Economic Factors</w:t>
      </w:r>
    </w:p>
    <w:p w14:paraId="42A42B9B" w14:textId="77777777" w:rsidR="0059423A" w:rsidRPr="0059423A" w:rsidRDefault="0059423A" w:rsidP="0059423A">
      <w:pPr>
        <w:rPr>
          <w:rFonts w:ascii="Arial" w:hAnsi="Arial" w:cs="Arial"/>
        </w:rPr>
      </w:pPr>
      <w:r w:rsidRPr="0059423A">
        <w:rPr>
          <w:rFonts w:ascii="Arial" w:hAnsi="Arial" w:cs="Arial"/>
        </w:rPr>
        <w:t>The UK economy has experienced elevated inflation and energy price volatility in recent years (Office for National Statistics, 2023). Gyms are energy-intensive businesses due to lighting, heating, ventilation, and equipment usage. Independent operators without national-scale procurement contracts are particularly exposed to fluctuations in electricity and gas pricing.</w:t>
      </w:r>
    </w:p>
    <w:p w14:paraId="2F29BF23" w14:textId="77777777" w:rsidR="0059423A" w:rsidRPr="0059423A" w:rsidRDefault="0059423A" w:rsidP="0059423A">
      <w:pPr>
        <w:rPr>
          <w:rFonts w:ascii="Arial" w:hAnsi="Arial" w:cs="Arial"/>
        </w:rPr>
      </w:pPr>
      <w:r w:rsidRPr="0059423A">
        <w:rPr>
          <w:rFonts w:ascii="Arial" w:hAnsi="Arial" w:cs="Arial"/>
        </w:rPr>
        <w:t>In addition, gym memberships are categorised as discretionary spending. Consumer demand is therefore sensitive to broader economic confidence and disposable income levels (Bank of England, 2023). However, boutique fitness operators targeting employed professionals may experience lower price elasticity than budget providers targeting students or lower-income demographics.</w:t>
      </w:r>
    </w:p>
    <w:p w14:paraId="6F9675C8" w14:textId="77777777" w:rsidR="0059423A" w:rsidRPr="0059423A" w:rsidRDefault="0059423A" w:rsidP="0059423A">
      <w:pPr>
        <w:rPr>
          <w:rFonts w:ascii="Arial" w:hAnsi="Arial" w:cs="Arial"/>
        </w:rPr>
      </w:pPr>
      <w:r w:rsidRPr="0059423A">
        <w:rPr>
          <w:rFonts w:ascii="Arial" w:hAnsi="Arial" w:cs="Arial"/>
        </w:rPr>
        <w:t>Critically, inflationary pressure may create a polarised market: some consumers trade down to budget gyms, while others prioritise high-value, results-driven services. Elevate Performance aims to capture the latter segment by emphasising measurable value rather than price competition.</w:t>
      </w:r>
    </w:p>
    <w:p w14:paraId="7A317236" w14:textId="77777777" w:rsidR="0059423A" w:rsidRPr="0059423A" w:rsidRDefault="0059423A" w:rsidP="0059423A">
      <w:pPr>
        <w:rPr>
          <w:rFonts w:ascii="Arial" w:hAnsi="Arial" w:cs="Arial"/>
          <w:b/>
          <w:bCs/>
        </w:rPr>
      </w:pPr>
      <w:r w:rsidRPr="0059423A">
        <w:rPr>
          <w:rFonts w:ascii="Arial" w:hAnsi="Arial" w:cs="Arial"/>
          <w:b/>
          <w:bCs/>
        </w:rPr>
        <w:t>Social Factors</w:t>
      </w:r>
    </w:p>
    <w:p w14:paraId="55F78BDC" w14:textId="77777777" w:rsidR="0059423A" w:rsidRPr="0059423A" w:rsidRDefault="0059423A" w:rsidP="0059423A">
      <w:pPr>
        <w:rPr>
          <w:rFonts w:ascii="Arial" w:hAnsi="Arial" w:cs="Arial"/>
        </w:rPr>
      </w:pPr>
      <w:r w:rsidRPr="0059423A">
        <w:rPr>
          <w:rFonts w:ascii="Arial" w:hAnsi="Arial" w:cs="Arial"/>
        </w:rPr>
        <w:t>Social trends strongly favour growth within the structured fitness sector. In England, 63% of adults are classified as overweight or obese (NHS Digital, 2022). Rising awareness of long-term health risks, combined with post-pandemic behavioural shifts, has increased consumer interest in resilience, mental wellbeing, and preventative care.</w:t>
      </w:r>
    </w:p>
    <w:p w14:paraId="14BD55B6" w14:textId="77777777" w:rsidR="0059423A" w:rsidRPr="0059423A" w:rsidRDefault="0059423A" w:rsidP="0059423A">
      <w:pPr>
        <w:rPr>
          <w:rFonts w:ascii="Arial" w:hAnsi="Arial" w:cs="Arial"/>
        </w:rPr>
      </w:pPr>
      <w:r w:rsidRPr="0059423A">
        <w:rPr>
          <w:rFonts w:ascii="Arial" w:hAnsi="Arial" w:cs="Arial"/>
        </w:rPr>
        <w:t>Furthermore, younger professionals increasingly prioritise experiences and personal development, including health optimisation. However, there is also rising demand for flexible digital fitness solutions, including home-based training platforms. Therefore, purely physical gyms without digital integration risk losing relevance.</w:t>
      </w:r>
    </w:p>
    <w:p w14:paraId="3E8DD1FA" w14:textId="77777777" w:rsidR="0059423A" w:rsidRPr="0059423A" w:rsidRDefault="0059423A" w:rsidP="0059423A">
      <w:pPr>
        <w:rPr>
          <w:rFonts w:ascii="Arial" w:hAnsi="Arial" w:cs="Arial"/>
          <w:b/>
          <w:bCs/>
        </w:rPr>
      </w:pPr>
      <w:r w:rsidRPr="0059423A">
        <w:rPr>
          <w:rFonts w:ascii="Arial" w:hAnsi="Arial" w:cs="Arial"/>
          <w:b/>
          <w:bCs/>
        </w:rPr>
        <w:t>Technological Factors</w:t>
      </w:r>
    </w:p>
    <w:p w14:paraId="61BD39C3" w14:textId="77777777" w:rsidR="0059423A" w:rsidRPr="0059423A" w:rsidRDefault="0059423A" w:rsidP="0059423A">
      <w:pPr>
        <w:rPr>
          <w:rFonts w:ascii="Arial" w:hAnsi="Arial" w:cs="Arial"/>
        </w:rPr>
      </w:pPr>
      <w:r w:rsidRPr="0059423A">
        <w:rPr>
          <w:rFonts w:ascii="Arial" w:hAnsi="Arial" w:cs="Arial"/>
        </w:rPr>
        <w:t>The expansion of wearable technology and digital health tracking significantly influences consumer expectations. The UK wearable technology market continues to grow, reflecting rising demand for performance monitoring (Statista, 2023). Consumers increasingly expect app integration, data tracking, and measurable feedback.</w:t>
      </w:r>
    </w:p>
    <w:p w14:paraId="335DD4CB" w14:textId="77777777" w:rsidR="0059423A" w:rsidRPr="0059423A" w:rsidRDefault="0059423A" w:rsidP="0059423A">
      <w:pPr>
        <w:rPr>
          <w:rFonts w:ascii="Arial" w:hAnsi="Arial" w:cs="Arial"/>
        </w:rPr>
      </w:pPr>
      <w:r w:rsidRPr="0059423A">
        <w:rPr>
          <w:rFonts w:ascii="Arial" w:hAnsi="Arial" w:cs="Arial"/>
        </w:rPr>
        <w:t>Failure to adopt digital integration would weaken competitiveness. However, the use of digital platforms necessitates compliance with UK GDPR data protection standards (Information Commissioner’s Office, 2023), increasing administrative responsibility and potential cybersecurity risks.</w:t>
      </w:r>
    </w:p>
    <w:p w14:paraId="31B93940" w14:textId="77777777" w:rsidR="0059423A" w:rsidRPr="0059423A" w:rsidRDefault="0059423A" w:rsidP="0059423A">
      <w:pPr>
        <w:rPr>
          <w:rFonts w:ascii="Arial" w:hAnsi="Arial" w:cs="Arial"/>
          <w:b/>
          <w:bCs/>
        </w:rPr>
      </w:pPr>
      <w:r w:rsidRPr="0059423A">
        <w:rPr>
          <w:rFonts w:ascii="Arial" w:hAnsi="Arial" w:cs="Arial"/>
          <w:b/>
          <w:bCs/>
        </w:rPr>
        <w:t>Environmental Factors</w:t>
      </w:r>
    </w:p>
    <w:p w14:paraId="29D62D5C" w14:textId="77777777" w:rsidR="0059423A" w:rsidRPr="0059423A" w:rsidRDefault="0059423A" w:rsidP="0059423A">
      <w:pPr>
        <w:rPr>
          <w:rFonts w:ascii="Arial" w:hAnsi="Arial" w:cs="Arial"/>
        </w:rPr>
      </w:pPr>
      <w:r w:rsidRPr="0059423A">
        <w:rPr>
          <w:rFonts w:ascii="Arial" w:hAnsi="Arial" w:cs="Arial"/>
        </w:rPr>
        <w:t>The UK’s Net Zero Strategy commits businesses toward carbon reduction targets (UK Government, 2019). Energy efficiency and sustainability are increasingly important to consumers. Although implementing energy-efficient equipment and low-carbon practices may increase initial capital expenditure, sustainability positioning can enhance brand perception and long-term cost efficiency.</w:t>
      </w:r>
    </w:p>
    <w:p w14:paraId="1896E57C" w14:textId="77777777" w:rsidR="0059423A" w:rsidRPr="0059423A" w:rsidRDefault="0059423A" w:rsidP="0059423A">
      <w:pPr>
        <w:rPr>
          <w:rFonts w:ascii="Arial" w:hAnsi="Arial" w:cs="Arial"/>
          <w:b/>
          <w:bCs/>
        </w:rPr>
      </w:pPr>
      <w:r w:rsidRPr="0059423A">
        <w:rPr>
          <w:rFonts w:ascii="Arial" w:hAnsi="Arial" w:cs="Arial"/>
          <w:b/>
          <w:bCs/>
        </w:rPr>
        <w:t>Legal Factors</w:t>
      </w:r>
    </w:p>
    <w:p w14:paraId="6FEE8F53" w14:textId="77777777" w:rsidR="0059423A" w:rsidRPr="0059423A" w:rsidRDefault="0059423A" w:rsidP="0059423A">
      <w:pPr>
        <w:rPr>
          <w:rFonts w:ascii="Arial" w:hAnsi="Arial" w:cs="Arial"/>
        </w:rPr>
      </w:pPr>
      <w:r w:rsidRPr="0059423A">
        <w:rPr>
          <w:rFonts w:ascii="Arial" w:hAnsi="Arial" w:cs="Arial"/>
        </w:rPr>
        <w:t>Gym operators must comply with the Health and Safety at Work etc. Act 1974 (Health and Safety Executive, 1974), requiring comprehensive risk assessments, equipment maintenance procedures, and staff training. Additional legal obligations include employer’s liability insurance, public liability insurance, safeguarding procedures, and compliance with employment legislation.</w:t>
      </w:r>
    </w:p>
    <w:p w14:paraId="2DFD55B8" w14:textId="77777777" w:rsidR="0059423A" w:rsidRPr="0059423A" w:rsidRDefault="0059423A" w:rsidP="0059423A">
      <w:pPr>
        <w:rPr>
          <w:rFonts w:ascii="Arial" w:hAnsi="Arial" w:cs="Arial"/>
        </w:rPr>
      </w:pPr>
      <w:r w:rsidRPr="0059423A">
        <w:rPr>
          <w:rFonts w:ascii="Arial" w:hAnsi="Arial" w:cs="Arial"/>
        </w:rPr>
        <w:t>Non-compliance exposes the business to litigation risk, financial penalties, and reputational damage. Regulatory costs are therefore unavoidable but manageable within industry norms.</w:t>
      </w:r>
    </w:p>
    <w:p w14:paraId="6ACE4357" w14:textId="77777777" w:rsidR="0059423A" w:rsidRPr="0059423A" w:rsidRDefault="0059423A" w:rsidP="0059423A">
      <w:pPr>
        <w:rPr>
          <w:rFonts w:ascii="Arial" w:hAnsi="Arial" w:cs="Arial"/>
        </w:rPr>
      </w:pPr>
      <w:r w:rsidRPr="0059423A">
        <w:rPr>
          <w:rFonts w:ascii="Arial" w:hAnsi="Arial" w:cs="Arial"/>
        </w:rPr>
        <w:t>Overall, the most significant PESTEL risks are economic volatility and competitive pricing pressure. The most favourable macro factors are social health awareness and technological opportunity.</w:t>
      </w:r>
    </w:p>
    <w:p w14:paraId="132D511D" w14:textId="77777777" w:rsidR="00C86C0C" w:rsidRPr="00C86C0C" w:rsidRDefault="00C86C0C" w:rsidP="00C86C0C">
      <w:pPr>
        <w:rPr>
          <w:rFonts w:ascii="Arial" w:hAnsi="Arial" w:cs="Arial"/>
          <w:b/>
          <w:bCs/>
          <w:u w:val="single"/>
        </w:rPr>
      </w:pPr>
      <w:r w:rsidRPr="00C86C0C">
        <w:rPr>
          <w:rFonts w:ascii="Arial" w:hAnsi="Arial" w:cs="Arial"/>
          <w:b/>
          <w:bCs/>
          <w:u w:val="single"/>
        </w:rPr>
        <w:t>SWOT Analysis</w:t>
      </w:r>
    </w:p>
    <w:p w14:paraId="5468C43B" w14:textId="77777777" w:rsidR="0059423A" w:rsidRPr="0059423A" w:rsidRDefault="0059423A" w:rsidP="0059423A">
      <w:pPr>
        <w:rPr>
          <w:rFonts w:ascii="Arial" w:hAnsi="Arial" w:cs="Arial"/>
          <w:b/>
          <w:bCs/>
        </w:rPr>
      </w:pPr>
      <w:r w:rsidRPr="0059423A">
        <w:rPr>
          <w:rFonts w:ascii="Arial" w:hAnsi="Arial" w:cs="Arial"/>
          <w:b/>
          <w:bCs/>
        </w:rPr>
        <w:t>Strengths</w:t>
      </w:r>
    </w:p>
    <w:p w14:paraId="523CE0A0" w14:textId="77777777" w:rsidR="0059423A" w:rsidRPr="0059423A" w:rsidRDefault="0059423A" w:rsidP="0059423A">
      <w:pPr>
        <w:rPr>
          <w:rFonts w:ascii="Arial" w:hAnsi="Arial" w:cs="Arial"/>
        </w:rPr>
      </w:pPr>
      <w:r w:rsidRPr="0059423A">
        <w:rPr>
          <w:rFonts w:ascii="Arial" w:hAnsi="Arial" w:cs="Arial"/>
        </w:rPr>
        <w:t>The principal strength of Elevate Performance Leicester Ltd lies in its structured transformation model, which increases customer retention and lifetime value. By embedding accountability, biometric tracking, and physiotherapy integration, the gym differentiates itself from low-touch competitors. Boutique positioning allows premium pricing without the high capital expenditure associated with leisure facilities such as pools and spas.</w:t>
      </w:r>
    </w:p>
    <w:p w14:paraId="04824820" w14:textId="77777777" w:rsidR="0059423A" w:rsidRPr="0059423A" w:rsidRDefault="0059423A" w:rsidP="0059423A">
      <w:pPr>
        <w:rPr>
          <w:rFonts w:ascii="Arial" w:hAnsi="Arial" w:cs="Arial"/>
          <w:b/>
          <w:bCs/>
        </w:rPr>
      </w:pPr>
      <w:r w:rsidRPr="0059423A">
        <w:rPr>
          <w:rFonts w:ascii="Arial" w:hAnsi="Arial" w:cs="Arial"/>
          <w:b/>
          <w:bCs/>
        </w:rPr>
        <w:t>Weaknesses</w:t>
      </w:r>
    </w:p>
    <w:p w14:paraId="1515999E" w14:textId="77777777" w:rsidR="0059423A" w:rsidRPr="0059423A" w:rsidRDefault="0059423A" w:rsidP="0059423A">
      <w:pPr>
        <w:rPr>
          <w:rFonts w:ascii="Arial" w:hAnsi="Arial" w:cs="Arial"/>
        </w:rPr>
      </w:pPr>
      <w:r w:rsidRPr="0059423A">
        <w:rPr>
          <w:rFonts w:ascii="Arial" w:hAnsi="Arial" w:cs="Arial"/>
        </w:rPr>
        <w:t>Higher pricing relative to budget chains may limit appeal to price-sensitive demographics. Additionally, the business model depends heavily on skilled coaching staff, increasing payroll obligations and vulnerability to staff turnover.</w:t>
      </w:r>
    </w:p>
    <w:p w14:paraId="78B2F965" w14:textId="77777777" w:rsidR="0059423A" w:rsidRPr="0059423A" w:rsidRDefault="0059423A" w:rsidP="0059423A">
      <w:pPr>
        <w:rPr>
          <w:rFonts w:ascii="Arial" w:hAnsi="Arial" w:cs="Arial"/>
          <w:b/>
          <w:bCs/>
        </w:rPr>
      </w:pPr>
      <w:r w:rsidRPr="0059423A">
        <w:rPr>
          <w:rFonts w:ascii="Arial" w:hAnsi="Arial" w:cs="Arial"/>
          <w:b/>
          <w:bCs/>
        </w:rPr>
        <w:t>Opportunities</w:t>
      </w:r>
    </w:p>
    <w:p w14:paraId="05167DF9" w14:textId="77777777" w:rsidR="0059423A" w:rsidRPr="0059423A" w:rsidRDefault="0059423A" w:rsidP="0059423A">
      <w:pPr>
        <w:rPr>
          <w:rFonts w:ascii="Arial" w:hAnsi="Arial" w:cs="Arial"/>
        </w:rPr>
      </w:pPr>
      <w:r w:rsidRPr="0059423A">
        <w:rPr>
          <w:rFonts w:ascii="Arial" w:hAnsi="Arial" w:cs="Arial"/>
        </w:rPr>
        <w:t>Corporate wellness partnerships within Leicester’s professional sector offer B2B revenue diversification. Digital expansion into hybrid coaching models can extend reach beyond physical capacity constraints. Rising health awareness supports long-term demand growth.</w:t>
      </w:r>
    </w:p>
    <w:p w14:paraId="4AEB6AAF" w14:textId="77777777" w:rsidR="0059423A" w:rsidRPr="0059423A" w:rsidRDefault="0059423A" w:rsidP="0059423A">
      <w:pPr>
        <w:rPr>
          <w:rFonts w:ascii="Arial" w:hAnsi="Arial" w:cs="Arial"/>
          <w:b/>
          <w:bCs/>
        </w:rPr>
      </w:pPr>
      <w:r w:rsidRPr="0059423A">
        <w:rPr>
          <w:rFonts w:ascii="Arial" w:hAnsi="Arial" w:cs="Arial"/>
          <w:b/>
          <w:bCs/>
        </w:rPr>
        <w:t>Threats</w:t>
      </w:r>
    </w:p>
    <w:p w14:paraId="4468A260" w14:textId="77777777" w:rsidR="0059423A" w:rsidRPr="0059423A" w:rsidRDefault="0059423A" w:rsidP="0059423A">
      <w:pPr>
        <w:rPr>
          <w:rFonts w:ascii="Arial" w:hAnsi="Arial" w:cs="Arial"/>
        </w:rPr>
      </w:pPr>
      <w:r w:rsidRPr="0059423A">
        <w:rPr>
          <w:rFonts w:ascii="Arial" w:hAnsi="Arial" w:cs="Arial"/>
        </w:rPr>
        <w:t>Aggressive price competition from national chains represents a structural threat. Economic downturn may reduce discretionary spending. Labour shortages in the fitness sector may increase wage pressures.</w:t>
      </w:r>
    </w:p>
    <w:p w14:paraId="7D2A1ECE" w14:textId="77777777" w:rsidR="0059423A" w:rsidRPr="0059423A" w:rsidRDefault="0059423A" w:rsidP="0059423A">
      <w:pPr>
        <w:rPr>
          <w:rFonts w:ascii="Arial" w:hAnsi="Arial" w:cs="Arial"/>
        </w:rPr>
      </w:pPr>
      <w:r w:rsidRPr="0059423A">
        <w:rPr>
          <w:rFonts w:ascii="Arial" w:hAnsi="Arial" w:cs="Arial"/>
        </w:rPr>
        <w:t>Critically, SWOT analysis indicates that long-term sustainability depends on maintaining differentiation and high retention rates rather than attempting to compete on scale or price.</w:t>
      </w:r>
    </w:p>
    <w:p w14:paraId="2C7B0E2A" w14:textId="0366CFF8" w:rsidR="00C86C0C" w:rsidRPr="00C86C0C" w:rsidRDefault="00C86C0C" w:rsidP="00C86C0C">
      <w:pPr>
        <w:rPr>
          <w:rFonts w:ascii="Arial" w:hAnsi="Arial" w:cs="Arial"/>
          <w:b/>
          <w:bCs/>
        </w:rPr>
      </w:pPr>
      <w:r w:rsidRPr="00C86C0C">
        <w:rPr>
          <w:rFonts w:ascii="Arial" w:hAnsi="Arial" w:cs="Arial"/>
          <w:b/>
          <w:bCs/>
        </w:rPr>
        <w:t>3</w:t>
      </w:r>
      <w:r w:rsidR="00C64093">
        <w:rPr>
          <w:rFonts w:ascii="Arial" w:hAnsi="Arial" w:cs="Arial"/>
          <w:b/>
          <w:bCs/>
        </w:rPr>
        <w:t>.</w:t>
      </w:r>
      <w:r w:rsidRPr="00C86C0C">
        <w:rPr>
          <w:rFonts w:ascii="Arial" w:hAnsi="Arial" w:cs="Arial"/>
          <w:b/>
          <w:bCs/>
        </w:rPr>
        <w:t xml:space="preserve"> 4Ps, Market Segmentation and Marketing Strategies</w:t>
      </w:r>
    </w:p>
    <w:p w14:paraId="672F694F" w14:textId="77777777" w:rsidR="00C64CB6" w:rsidRPr="00C64CB6" w:rsidRDefault="00C64CB6" w:rsidP="00C64CB6">
      <w:pPr>
        <w:rPr>
          <w:rFonts w:ascii="Arial" w:hAnsi="Arial" w:cs="Arial"/>
          <w:b/>
          <w:bCs/>
        </w:rPr>
      </w:pPr>
      <w:r w:rsidRPr="00C64CB6">
        <w:rPr>
          <w:rFonts w:ascii="Arial" w:hAnsi="Arial" w:cs="Arial"/>
          <w:b/>
          <w:bCs/>
        </w:rPr>
        <w:t>Market Segmentation and Target Customers</w:t>
      </w:r>
    </w:p>
    <w:p w14:paraId="20E7DD2F" w14:textId="77777777" w:rsidR="00C64CB6" w:rsidRPr="00C64CB6" w:rsidRDefault="00C64CB6" w:rsidP="00C64CB6">
      <w:pPr>
        <w:rPr>
          <w:rFonts w:ascii="Arial" w:hAnsi="Arial" w:cs="Arial"/>
        </w:rPr>
      </w:pPr>
      <w:r w:rsidRPr="00C64CB6">
        <w:rPr>
          <w:rFonts w:ascii="Arial" w:hAnsi="Arial" w:cs="Arial"/>
        </w:rPr>
        <w:t>Market segmentation is informed by demographic, psychographic, and behavioural variables. The primary demographic segment comprises working professionals aged 25–45 earning £25,000–£60,000 annually. This group possesses sufficient disposable income while remaining cost-conscious relative to premium luxury clubs.</w:t>
      </w:r>
    </w:p>
    <w:p w14:paraId="7A1D139C" w14:textId="21524F7A" w:rsidR="00C64CB6" w:rsidRPr="00C64CB6" w:rsidRDefault="00C64CB6" w:rsidP="00C64CB6">
      <w:pPr>
        <w:rPr>
          <w:rFonts w:ascii="Arial" w:hAnsi="Arial" w:cs="Arial"/>
        </w:rPr>
      </w:pPr>
      <w:r w:rsidRPr="00C64CB6">
        <w:rPr>
          <w:rFonts w:ascii="Arial" w:hAnsi="Arial" w:cs="Arial"/>
        </w:rPr>
        <w:t>Psychographi</w:t>
      </w:r>
      <w:r>
        <w:rPr>
          <w:rFonts w:ascii="Arial" w:hAnsi="Arial" w:cs="Arial"/>
        </w:rPr>
        <w:t>c view</w:t>
      </w:r>
      <w:r w:rsidRPr="00C64CB6">
        <w:rPr>
          <w:rFonts w:ascii="Arial" w:hAnsi="Arial" w:cs="Arial"/>
        </w:rPr>
        <w:t>, this segment values structure, measurable progress, and professional accountability rather than casual, unstructured gym attendance. Behaviourally, they demonstrate prior gym engagement but inconsistent outcomes, reflecting a gap between motivation and structured support.</w:t>
      </w:r>
    </w:p>
    <w:p w14:paraId="48864913" w14:textId="77777777" w:rsidR="00C64CB6" w:rsidRPr="00C64CB6" w:rsidRDefault="00C64CB6" w:rsidP="00C64CB6">
      <w:pPr>
        <w:rPr>
          <w:rFonts w:ascii="Arial" w:hAnsi="Arial" w:cs="Arial"/>
        </w:rPr>
      </w:pPr>
      <w:r w:rsidRPr="00C64CB6">
        <w:rPr>
          <w:rFonts w:ascii="Arial" w:hAnsi="Arial" w:cs="Arial"/>
        </w:rPr>
        <w:t>Segmentation strategy aligns with Kotler and Keller’s (2016) argument that effective targeting requires identifying unmet needs rather than competing broadly. Elevate Performance avoids mass-market competition and instead focuses on under-served professionals seeking measurable transformation.</w:t>
      </w:r>
    </w:p>
    <w:p w14:paraId="62AE2C0D" w14:textId="77777777" w:rsidR="00C64CB6" w:rsidRPr="00C64CB6" w:rsidRDefault="00C64CB6" w:rsidP="00C64CB6">
      <w:pPr>
        <w:rPr>
          <w:rFonts w:ascii="Arial" w:hAnsi="Arial" w:cs="Arial"/>
        </w:rPr>
      </w:pPr>
      <w:r w:rsidRPr="00C64CB6">
        <w:rPr>
          <w:rFonts w:ascii="Arial" w:hAnsi="Arial" w:cs="Arial"/>
        </w:rPr>
        <w:t>Secondary segments include early-career graduates and corporate teams seeking workplace wellness programmes, enabling partial B2B revenue diversification.</w:t>
      </w:r>
    </w:p>
    <w:p w14:paraId="4EDCD9DF" w14:textId="6DBFB516" w:rsidR="00C64CB6" w:rsidRPr="00C64CB6" w:rsidRDefault="00C64CB6" w:rsidP="00C64CB6">
      <w:pPr>
        <w:rPr>
          <w:rFonts w:ascii="Arial" w:hAnsi="Arial" w:cs="Arial"/>
        </w:rPr>
      </w:pPr>
    </w:p>
    <w:p w14:paraId="099F101D" w14:textId="77777777" w:rsidR="00C64CB6" w:rsidRPr="00C64CB6" w:rsidRDefault="00C64CB6" w:rsidP="00C64CB6">
      <w:pPr>
        <w:rPr>
          <w:rFonts w:ascii="Arial" w:hAnsi="Arial" w:cs="Arial"/>
          <w:b/>
          <w:bCs/>
        </w:rPr>
      </w:pPr>
      <w:r w:rsidRPr="00C64CB6">
        <w:rPr>
          <w:rFonts w:ascii="Arial" w:hAnsi="Arial" w:cs="Arial"/>
          <w:b/>
          <w:bCs/>
        </w:rPr>
        <w:t>Product</w:t>
      </w:r>
    </w:p>
    <w:p w14:paraId="3639E2AE" w14:textId="77777777" w:rsidR="00C64CB6" w:rsidRPr="00C64CB6" w:rsidRDefault="00C64CB6" w:rsidP="00C64CB6">
      <w:pPr>
        <w:rPr>
          <w:rFonts w:ascii="Arial" w:hAnsi="Arial" w:cs="Arial"/>
        </w:rPr>
      </w:pPr>
      <w:r w:rsidRPr="00C64CB6">
        <w:rPr>
          <w:rFonts w:ascii="Arial" w:hAnsi="Arial" w:cs="Arial"/>
        </w:rPr>
        <w:t>The product is not merely physical access to equipment but a bundled service combining coaching, biometric feedback, physiotherapy integration, and digital accountability. This reflects Levitt’s (1980) concept of the “augmented product,” where differentiation occurs beyond the core functional benefit.</w:t>
      </w:r>
    </w:p>
    <w:p w14:paraId="65BA0540" w14:textId="77777777" w:rsidR="00C64CB6" w:rsidRPr="00C64CB6" w:rsidRDefault="00C64CB6" w:rsidP="00C64CB6">
      <w:pPr>
        <w:rPr>
          <w:rFonts w:ascii="Arial" w:hAnsi="Arial" w:cs="Arial"/>
        </w:rPr>
      </w:pPr>
      <w:r w:rsidRPr="00C64CB6">
        <w:rPr>
          <w:rFonts w:ascii="Arial" w:hAnsi="Arial" w:cs="Arial"/>
        </w:rPr>
        <w:t>The intangible components — accountability, community, and measurable progress — create emotional and psychological value. This shifts the gym from commodity service to experiential service.</w:t>
      </w:r>
    </w:p>
    <w:p w14:paraId="2C685280" w14:textId="6E930EEA" w:rsidR="00C64CB6" w:rsidRPr="00C64CB6" w:rsidRDefault="00C64CB6" w:rsidP="00C64CB6">
      <w:pPr>
        <w:rPr>
          <w:rFonts w:ascii="Arial" w:hAnsi="Arial" w:cs="Arial"/>
        </w:rPr>
      </w:pPr>
    </w:p>
    <w:p w14:paraId="3931C1B5" w14:textId="77777777" w:rsidR="00C64CB6" w:rsidRPr="00C64CB6" w:rsidRDefault="00C64CB6" w:rsidP="00C64CB6">
      <w:pPr>
        <w:rPr>
          <w:rFonts w:ascii="Arial" w:hAnsi="Arial" w:cs="Arial"/>
          <w:b/>
          <w:bCs/>
        </w:rPr>
      </w:pPr>
      <w:r w:rsidRPr="00C64CB6">
        <w:rPr>
          <w:rFonts w:ascii="Arial" w:hAnsi="Arial" w:cs="Arial"/>
          <w:b/>
          <w:bCs/>
        </w:rPr>
        <w:t>Price</w:t>
      </w:r>
    </w:p>
    <w:p w14:paraId="44E101FD" w14:textId="77777777" w:rsidR="00C64CB6" w:rsidRPr="00C64CB6" w:rsidRDefault="00C64CB6" w:rsidP="00C64CB6">
      <w:pPr>
        <w:rPr>
          <w:rFonts w:ascii="Arial" w:hAnsi="Arial" w:cs="Arial"/>
        </w:rPr>
      </w:pPr>
      <w:r w:rsidRPr="00C64CB6">
        <w:rPr>
          <w:rFonts w:ascii="Arial" w:hAnsi="Arial" w:cs="Arial"/>
        </w:rPr>
        <w:t>Pricing follows a value-based pricing strategy rather than cost-plus. At approximately £65 per month, membership is positioned above budget chains but below luxury clubs. Monroe (2003) argues that price signals quality perception; therefore, pricing too low could undermine premium positioning.</w:t>
      </w:r>
    </w:p>
    <w:p w14:paraId="07161A76" w14:textId="77777777" w:rsidR="00C64CB6" w:rsidRPr="00C64CB6" w:rsidRDefault="00C64CB6" w:rsidP="00C64CB6">
      <w:pPr>
        <w:rPr>
          <w:rFonts w:ascii="Arial" w:hAnsi="Arial" w:cs="Arial"/>
        </w:rPr>
      </w:pPr>
      <w:r w:rsidRPr="00C64CB6">
        <w:rPr>
          <w:rFonts w:ascii="Arial" w:hAnsi="Arial" w:cs="Arial"/>
        </w:rPr>
        <w:t>The strategy deliberately avoids price competition with PureGym and The Gym Group, instead competing on value and results. Higher retention offsets lower membership volume.</w:t>
      </w:r>
    </w:p>
    <w:p w14:paraId="7601C248" w14:textId="1AB02604" w:rsidR="00C64CB6" w:rsidRPr="00C64CB6" w:rsidRDefault="00C64CB6" w:rsidP="00C64CB6">
      <w:pPr>
        <w:rPr>
          <w:rFonts w:ascii="Arial" w:hAnsi="Arial" w:cs="Arial"/>
        </w:rPr>
      </w:pPr>
    </w:p>
    <w:p w14:paraId="3C8744CF" w14:textId="77777777" w:rsidR="00C64CB6" w:rsidRPr="00C64CB6" w:rsidRDefault="00C64CB6" w:rsidP="00C64CB6">
      <w:pPr>
        <w:rPr>
          <w:rFonts w:ascii="Arial" w:hAnsi="Arial" w:cs="Arial"/>
          <w:b/>
          <w:bCs/>
        </w:rPr>
      </w:pPr>
      <w:r w:rsidRPr="00C64CB6">
        <w:rPr>
          <w:rFonts w:ascii="Arial" w:hAnsi="Arial" w:cs="Arial"/>
          <w:b/>
          <w:bCs/>
        </w:rPr>
        <w:t>Place</w:t>
      </w:r>
    </w:p>
    <w:p w14:paraId="2C678E65" w14:textId="77777777" w:rsidR="00C64CB6" w:rsidRPr="00C64CB6" w:rsidRDefault="00C64CB6" w:rsidP="00C64CB6">
      <w:pPr>
        <w:rPr>
          <w:rFonts w:ascii="Arial" w:hAnsi="Arial" w:cs="Arial"/>
        </w:rPr>
      </w:pPr>
      <w:r w:rsidRPr="00C64CB6">
        <w:rPr>
          <w:rFonts w:ascii="Arial" w:hAnsi="Arial" w:cs="Arial"/>
        </w:rPr>
        <w:t>The city-centre location ensures accessibility for professionals commuting or working locally. Accessibility reduces friction in service usage, supporting retention.</w:t>
      </w:r>
    </w:p>
    <w:p w14:paraId="1BCE8053" w14:textId="77777777" w:rsidR="00C64CB6" w:rsidRPr="00C64CB6" w:rsidRDefault="00C64CB6" w:rsidP="00C64CB6">
      <w:pPr>
        <w:rPr>
          <w:rFonts w:ascii="Arial" w:hAnsi="Arial" w:cs="Arial"/>
        </w:rPr>
      </w:pPr>
      <w:r w:rsidRPr="00C64CB6">
        <w:rPr>
          <w:rFonts w:ascii="Arial" w:hAnsi="Arial" w:cs="Arial"/>
        </w:rPr>
        <w:t>Digital integration through mobile application extends “place” beyond physical premises, aligning with omnichannel service delivery trends.</w:t>
      </w:r>
    </w:p>
    <w:p w14:paraId="5C1DBC81" w14:textId="72AF166E" w:rsidR="00C64CB6" w:rsidRPr="00C64CB6" w:rsidRDefault="00C64CB6" w:rsidP="00C64CB6">
      <w:pPr>
        <w:rPr>
          <w:rFonts w:ascii="Arial" w:hAnsi="Arial" w:cs="Arial"/>
        </w:rPr>
      </w:pPr>
    </w:p>
    <w:p w14:paraId="7BD57E38" w14:textId="77777777" w:rsidR="00C64CB6" w:rsidRPr="00C64CB6" w:rsidRDefault="00C64CB6" w:rsidP="00C64CB6">
      <w:pPr>
        <w:rPr>
          <w:rFonts w:ascii="Arial" w:hAnsi="Arial" w:cs="Arial"/>
          <w:b/>
          <w:bCs/>
        </w:rPr>
      </w:pPr>
      <w:r w:rsidRPr="00C64CB6">
        <w:rPr>
          <w:rFonts w:ascii="Arial" w:hAnsi="Arial" w:cs="Arial"/>
          <w:b/>
          <w:bCs/>
        </w:rPr>
        <w:t>Promotion</w:t>
      </w:r>
    </w:p>
    <w:p w14:paraId="485836FC" w14:textId="77777777" w:rsidR="00C64CB6" w:rsidRPr="00C64CB6" w:rsidRDefault="00C64CB6" w:rsidP="00C64CB6">
      <w:pPr>
        <w:rPr>
          <w:rFonts w:ascii="Arial" w:hAnsi="Arial" w:cs="Arial"/>
        </w:rPr>
      </w:pPr>
      <w:r w:rsidRPr="00C64CB6">
        <w:rPr>
          <w:rFonts w:ascii="Arial" w:hAnsi="Arial" w:cs="Arial"/>
        </w:rPr>
        <w:t>Promotion will prioritise digital channels due to cost efficiency and targeting precision. Social media advertising (Instagram, TikTok, Facebook) will target Leicester postcodes and interest-based fitness behaviours. Google Ads will capture high-intent search traffic such as “results-based gym Leicester.”</w:t>
      </w:r>
    </w:p>
    <w:p w14:paraId="7B423922" w14:textId="77777777" w:rsidR="00C64CB6" w:rsidRPr="00C64CB6" w:rsidRDefault="00C64CB6" w:rsidP="00C64CB6">
      <w:pPr>
        <w:rPr>
          <w:rFonts w:ascii="Arial" w:hAnsi="Arial" w:cs="Arial"/>
        </w:rPr>
      </w:pPr>
      <w:r w:rsidRPr="00C64CB6">
        <w:rPr>
          <w:rFonts w:ascii="Arial" w:hAnsi="Arial" w:cs="Arial"/>
        </w:rPr>
        <w:t>Content marketing will showcase transformation stories and educational material, reinforcing expertise positioning. Referral marketing leverages social proof, which significantly influences service adoption decisions (Kotler and Keller, 2016).</w:t>
      </w:r>
    </w:p>
    <w:p w14:paraId="3696DA84" w14:textId="0D439674" w:rsidR="00C64CB6" w:rsidRPr="00C64CB6" w:rsidRDefault="00C64CB6" w:rsidP="00C64CB6">
      <w:pPr>
        <w:rPr>
          <w:rFonts w:ascii="Arial" w:hAnsi="Arial" w:cs="Arial"/>
        </w:rPr>
      </w:pPr>
      <w:r w:rsidRPr="00C64CB6">
        <w:rPr>
          <w:rFonts w:ascii="Arial" w:hAnsi="Arial" w:cs="Arial"/>
        </w:rPr>
        <w:t xml:space="preserve">Retention marketing is equally critical. Regular progress reviews and community events foster belonging. Berry (1983) emphasises that relationship marketing is particularly important </w:t>
      </w:r>
      <w:r w:rsidRPr="00C64CB6">
        <w:rPr>
          <w:rFonts w:ascii="Arial" w:hAnsi="Arial" w:cs="Arial"/>
        </w:rPr>
        <w:t>in-service</w:t>
      </w:r>
      <w:r w:rsidRPr="00C64CB6">
        <w:rPr>
          <w:rFonts w:ascii="Arial" w:hAnsi="Arial" w:cs="Arial"/>
        </w:rPr>
        <w:t xml:space="preserve"> industries where ongoing interaction drives loyalty.</w:t>
      </w:r>
    </w:p>
    <w:p w14:paraId="5449DBE2" w14:textId="77777777" w:rsidR="00C64CB6" w:rsidRPr="00C64CB6" w:rsidRDefault="00C64CB6" w:rsidP="00C64CB6">
      <w:pPr>
        <w:rPr>
          <w:rFonts w:ascii="Arial" w:hAnsi="Arial" w:cs="Arial"/>
        </w:rPr>
      </w:pPr>
      <w:r w:rsidRPr="00C64CB6">
        <w:rPr>
          <w:rFonts w:ascii="Arial" w:hAnsi="Arial" w:cs="Arial"/>
        </w:rPr>
        <w:t>This integrated 4Ps strategy reinforces the USP and avoids commoditisation.</w:t>
      </w:r>
    </w:p>
    <w:p w14:paraId="32F485D0" w14:textId="7DB2BCFF" w:rsidR="00C64093" w:rsidRDefault="00C64093" w:rsidP="00C86C0C">
      <w:pPr>
        <w:rPr>
          <w:rFonts w:ascii="Arial" w:hAnsi="Arial" w:cs="Arial"/>
        </w:rPr>
      </w:pPr>
    </w:p>
    <w:p w14:paraId="0BB1BCE0" w14:textId="50C1B974" w:rsidR="00C86C0C" w:rsidRPr="00C86C0C" w:rsidRDefault="00C86C0C" w:rsidP="00C86C0C">
      <w:pPr>
        <w:rPr>
          <w:rFonts w:ascii="Arial" w:hAnsi="Arial" w:cs="Arial"/>
          <w:b/>
          <w:bCs/>
        </w:rPr>
      </w:pPr>
      <w:r w:rsidRPr="00C86C0C">
        <w:rPr>
          <w:rFonts w:ascii="Arial" w:hAnsi="Arial" w:cs="Arial"/>
          <w:b/>
          <w:bCs/>
        </w:rPr>
        <w:t>4: Legal, Management and Financial Planning</w:t>
      </w:r>
    </w:p>
    <w:p w14:paraId="3CA78DC7" w14:textId="77777777" w:rsidR="00C86C0C" w:rsidRPr="00C86C0C" w:rsidRDefault="00C86C0C" w:rsidP="00C86C0C">
      <w:pPr>
        <w:rPr>
          <w:rFonts w:ascii="Arial" w:hAnsi="Arial" w:cs="Arial"/>
          <w:b/>
          <w:bCs/>
        </w:rPr>
      </w:pPr>
      <w:r w:rsidRPr="00C86C0C">
        <w:rPr>
          <w:rFonts w:ascii="Arial" w:hAnsi="Arial" w:cs="Arial"/>
          <w:b/>
          <w:bCs/>
        </w:rPr>
        <w:t>Definitions of Key Legal Structures (UK Context)</w:t>
      </w:r>
    </w:p>
    <w:p w14:paraId="02F6F22C" w14:textId="77777777" w:rsidR="00C86C0C" w:rsidRPr="00C86C0C" w:rsidRDefault="00C86C0C" w:rsidP="00C86C0C">
      <w:pPr>
        <w:rPr>
          <w:rFonts w:ascii="Arial" w:hAnsi="Arial" w:cs="Arial"/>
        </w:rPr>
      </w:pPr>
      <w:r w:rsidRPr="00C86C0C">
        <w:rPr>
          <w:rFonts w:ascii="Arial" w:hAnsi="Arial" w:cs="Arial"/>
        </w:rPr>
        <w:t>A sole trader is an individual who owns and operates a business personally and is legally responsible for its debts (GOV.UK, 2023a).</w:t>
      </w:r>
    </w:p>
    <w:p w14:paraId="56B54485" w14:textId="77777777" w:rsidR="00C86C0C" w:rsidRPr="00C86C0C" w:rsidRDefault="00C86C0C" w:rsidP="00C86C0C">
      <w:pPr>
        <w:rPr>
          <w:rFonts w:ascii="Arial" w:hAnsi="Arial" w:cs="Arial"/>
        </w:rPr>
      </w:pPr>
      <w:r w:rsidRPr="00C86C0C">
        <w:rPr>
          <w:rFonts w:ascii="Arial" w:hAnsi="Arial" w:cs="Arial"/>
        </w:rPr>
        <w:t>A partnership is a business owned by two or more individuals who share responsibility and profits (GOV.UK, 2023b).</w:t>
      </w:r>
    </w:p>
    <w:p w14:paraId="0312878D" w14:textId="77777777" w:rsidR="00C86C0C" w:rsidRPr="00C86C0C" w:rsidRDefault="00C86C0C" w:rsidP="00C86C0C">
      <w:pPr>
        <w:rPr>
          <w:rFonts w:ascii="Arial" w:hAnsi="Arial" w:cs="Arial"/>
        </w:rPr>
      </w:pPr>
      <w:r w:rsidRPr="00C86C0C">
        <w:rPr>
          <w:rFonts w:ascii="Arial" w:hAnsi="Arial" w:cs="Arial"/>
        </w:rPr>
        <w:t>A limited company is a separate legal entity from its owners, providing limited liability protection (GOV.UK, 2023c).</w:t>
      </w:r>
    </w:p>
    <w:p w14:paraId="78E6DF8C" w14:textId="77777777" w:rsidR="00C86C0C" w:rsidRPr="00C86C0C" w:rsidRDefault="00C86C0C" w:rsidP="00C86C0C">
      <w:pPr>
        <w:rPr>
          <w:rFonts w:ascii="Arial" w:hAnsi="Arial" w:cs="Arial"/>
        </w:rPr>
      </w:pPr>
      <w:r w:rsidRPr="00C86C0C">
        <w:rPr>
          <w:rFonts w:ascii="Arial" w:hAnsi="Arial" w:cs="Arial"/>
        </w:rPr>
        <w:t>A franchise is a business model where an individual operates under the brand and system of an established company in exchange for fees (British Franchise Association, 2022).</w:t>
      </w:r>
    </w:p>
    <w:p w14:paraId="4C1AE7F6" w14:textId="77777777" w:rsidR="00C86C0C" w:rsidRPr="00C86C0C" w:rsidRDefault="00C86C0C" w:rsidP="00C86C0C">
      <w:pPr>
        <w:rPr>
          <w:rFonts w:ascii="Arial" w:hAnsi="Arial" w:cs="Arial"/>
        </w:rPr>
      </w:pPr>
      <w:r w:rsidRPr="00C86C0C">
        <w:rPr>
          <w:rFonts w:ascii="Arial" w:hAnsi="Arial" w:cs="Arial"/>
        </w:rPr>
        <w:t>An online enterprise is a business operating primarily through digital platforms (OECD, 2019).</w:t>
      </w:r>
    </w:p>
    <w:p w14:paraId="3F419AB7" w14:textId="77777777" w:rsidR="00C86C0C" w:rsidRPr="00C86C0C" w:rsidRDefault="00C86C0C" w:rsidP="00C86C0C">
      <w:pPr>
        <w:rPr>
          <w:rFonts w:ascii="Arial" w:hAnsi="Arial" w:cs="Arial"/>
        </w:rPr>
      </w:pPr>
      <w:r w:rsidRPr="00C86C0C">
        <w:rPr>
          <w:rFonts w:ascii="Arial" w:hAnsi="Arial" w:cs="Arial"/>
        </w:rPr>
        <w:t>A social enterprise is a business trading for social or environmental purposes, reinvesting profits to achieve social objectives (Social Enterprise UK, 2022).</w:t>
      </w:r>
    </w:p>
    <w:p w14:paraId="52D929DC" w14:textId="77777777" w:rsidR="00C86C0C" w:rsidRPr="00C86C0C" w:rsidRDefault="00C86C0C" w:rsidP="00C86C0C">
      <w:pPr>
        <w:rPr>
          <w:rFonts w:ascii="Arial" w:hAnsi="Arial" w:cs="Arial"/>
          <w:b/>
          <w:bCs/>
        </w:rPr>
      </w:pPr>
      <w:r w:rsidRPr="00C86C0C">
        <w:rPr>
          <w:rFonts w:ascii="Arial" w:hAnsi="Arial" w:cs="Arial"/>
          <w:b/>
          <w:bCs/>
        </w:rPr>
        <w:t>Legal Structure Choice</w:t>
      </w:r>
    </w:p>
    <w:p w14:paraId="7027AC6B" w14:textId="77777777" w:rsidR="00C86C0C" w:rsidRPr="00C86C0C" w:rsidRDefault="00C86C0C" w:rsidP="00C86C0C">
      <w:pPr>
        <w:rPr>
          <w:rFonts w:ascii="Arial" w:hAnsi="Arial" w:cs="Arial"/>
        </w:rPr>
      </w:pPr>
      <w:r w:rsidRPr="00C86C0C">
        <w:rPr>
          <w:rFonts w:ascii="Arial" w:hAnsi="Arial" w:cs="Arial"/>
        </w:rPr>
        <w:t>Elevate Performance Leicester Ltd will operate as a private limited company. This structure limits personal liability, enhances credibility with investors, and facilitates future expansion. Given the projected start-up cost of approximately £180,000—including £60,000 equipment, £40,000 leasehold improvements, £20,000 working capital, and £60,000 contingency and marketing—the limited company structure supports external investment.</w:t>
      </w:r>
    </w:p>
    <w:p w14:paraId="3D0E7A5C" w14:textId="77777777" w:rsidR="00C86C0C" w:rsidRPr="00C86C0C" w:rsidRDefault="00C86C0C" w:rsidP="00C86C0C">
      <w:pPr>
        <w:rPr>
          <w:rFonts w:ascii="Arial" w:hAnsi="Arial" w:cs="Arial"/>
          <w:b/>
          <w:bCs/>
        </w:rPr>
      </w:pPr>
      <w:r w:rsidRPr="00C86C0C">
        <w:rPr>
          <w:rFonts w:ascii="Arial" w:hAnsi="Arial" w:cs="Arial"/>
          <w:b/>
          <w:bCs/>
        </w:rPr>
        <w:t>Organisational Structure</w:t>
      </w:r>
    </w:p>
    <w:p w14:paraId="6F78EE11" w14:textId="77777777" w:rsidR="00C86C0C" w:rsidRPr="00C86C0C" w:rsidRDefault="00C86C0C" w:rsidP="00C86C0C">
      <w:pPr>
        <w:rPr>
          <w:rFonts w:ascii="Arial" w:hAnsi="Arial" w:cs="Arial"/>
        </w:rPr>
      </w:pPr>
      <w:r w:rsidRPr="00C86C0C">
        <w:rPr>
          <w:rFonts w:ascii="Arial" w:hAnsi="Arial" w:cs="Arial"/>
        </w:rPr>
        <w:t>The organisational chart will include a Managing Director (founder), Operations Manager, Head Coach, two Fitness Coaches, a Physiotherapy Consultant (part-time), and a Marketing and Membership Coordinator.</w:t>
      </w:r>
    </w:p>
    <w:p w14:paraId="1FF9708B" w14:textId="5C632FF9" w:rsidR="00D03CD7" w:rsidRPr="00D03CD7" w:rsidRDefault="00D03CD7" w:rsidP="00D03CD7">
      <w:pPr>
        <w:rPr>
          <w:rFonts w:ascii="Arial" w:hAnsi="Arial" w:cs="Arial"/>
          <w:b/>
          <w:bCs/>
        </w:rPr>
      </w:pPr>
      <w:r w:rsidRPr="00D03CD7">
        <w:rPr>
          <w:rFonts w:ascii="Arial" w:hAnsi="Arial" w:cs="Arial"/>
          <w:b/>
          <w:bCs/>
        </w:rPr>
        <w:t xml:space="preserve">Financial Planning, Start-Up Requirements and Investor Return Analysis </w:t>
      </w:r>
    </w:p>
    <w:p w14:paraId="3F5F38B9" w14:textId="77777777" w:rsidR="00D03CD7" w:rsidRPr="00D03CD7" w:rsidRDefault="00D03CD7" w:rsidP="00D03CD7">
      <w:pPr>
        <w:rPr>
          <w:rFonts w:ascii="Arial" w:hAnsi="Arial" w:cs="Arial"/>
        </w:rPr>
      </w:pPr>
      <w:r w:rsidRPr="00D03CD7">
        <w:rPr>
          <w:rFonts w:ascii="Arial" w:hAnsi="Arial" w:cs="Arial"/>
        </w:rPr>
        <w:t>A thorough financial plan is crucial to evaluate the viability of Elevate Performance Leicester Ltd. The fitness industry involves relatively high fixed costs, such as rent, staff salaries, and utilities, making accurate break-even forecasting and retention modelling essential for sustainability.</w:t>
      </w:r>
    </w:p>
    <w:p w14:paraId="430FDBD6" w14:textId="77777777" w:rsidR="00D03CD7" w:rsidRPr="00D03CD7" w:rsidRDefault="00D03CD7" w:rsidP="00D03CD7">
      <w:pPr>
        <w:rPr>
          <w:rFonts w:ascii="Arial" w:hAnsi="Arial" w:cs="Arial"/>
          <w:b/>
          <w:bCs/>
        </w:rPr>
      </w:pPr>
      <w:r w:rsidRPr="00D03CD7">
        <w:rPr>
          <w:rFonts w:ascii="Arial" w:hAnsi="Arial" w:cs="Arial"/>
          <w:b/>
          <w:bCs/>
        </w:rPr>
        <w:t>Start-Up Capital Requirements</w:t>
      </w:r>
    </w:p>
    <w:p w14:paraId="52717749" w14:textId="77777777" w:rsidR="00D03CD7" w:rsidRPr="00D03CD7" w:rsidRDefault="00D03CD7" w:rsidP="00D03CD7">
      <w:pPr>
        <w:rPr>
          <w:rFonts w:ascii="Arial" w:hAnsi="Arial" w:cs="Arial"/>
        </w:rPr>
      </w:pPr>
      <w:r w:rsidRPr="00D03CD7">
        <w:rPr>
          <w:rFonts w:ascii="Arial" w:hAnsi="Arial" w:cs="Arial"/>
        </w:rPr>
        <w:t>The estimated start-up cost for the 4,000 square foot city-centre facility is approximately £180,000, covering realistic property and equipment costs. This includes:</w:t>
      </w:r>
    </w:p>
    <w:p w14:paraId="65F9FD7D" w14:textId="77777777" w:rsidR="00D03CD7" w:rsidRPr="00D03CD7" w:rsidRDefault="00D03CD7" w:rsidP="00D03CD7">
      <w:pPr>
        <w:numPr>
          <w:ilvl w:val="0"/>
          <w:numId w:val="8"/>
        </w:numPr>
        <w:rPr>
          <w:rFonts w:ascii="Arial" w:hAnsi="Arial" w:cs="Arial"/>
        </w:rPr>
      </w:pPr>
      <w:r w:rsidRPr="00D03CD7">
        <w:rPr>
          <w:rFonts w:ascii="Arial" w:hAnsi="Arial" w:cs="Arial"/>
        </w:rPr>
        <w:t>Leasehold improvements (£40,000): Flooring installation (rubberised strength flooring and functional turf), changing room refurbishment, reception area build, lighting, signage, and interior branding.</w:t>
      </w:r>
    </w:p>
    <w:p w14:paraId="427E99AC" w14:textId="77777777" w:rsidR="00D03CD7" w:rsidRPr="00D03CD7" w:rsidRDefault="00D03CD7" w:rsidP="00D03CD7">
      <w:pPr>
        <w:numPr>
          <w:ilvl w:val="0"/>
          <w:numId w:val="8"/>
        </w:numPr>
        <w:rPr>
          <w:rFonts w:ascii="Arial" w:hAnsi="Arial" w:cs="Arial"/>
        </w:rPr>
      </w:pPr>
      <w:r w:rsidRPr="00D03CD7">
        <w:rPr>
          <w:rFonts w:ascii="Arial" w:hAnsi="Arial" w:cs="Arial"/>
        </w:rPr>
        <w:t>Equipment (£60,000): Strength racks, free weights, functional rigs, cardio machines, recovery tools, and biometric assessment equipment. High-quality equipment ensures durability and aligns with premium boutique positioning.</w:t>
      </w:r>
    </w:p>
    <w:p w14:paraId="0DDA3F98" w14:textId="77777777" w:rsidR="00D03CD7" w:rsidRPr="00D03CD7" w:rsidRDefault="00D03CD7" w:rsidP="00D03CD7">
      <w:pPr>
        <w:numPr>
          <w:ilvl w:val="0"/>
          <w:numId w:val="8"/>
        </w:numPr>
        <w:rPr>
          <w:rFonts w:ascii="Arial" w:hAnsi="Arial" w:cs="Arial"/>
        </w:rPr>
      </w:pPr>
      <w:r w:rsidRPr="00D03CD7">
        <w:rPr>
          <w:rFonts w:ascii="Arial" w:hAnsi="Arial" w:cs="Arial"/>
        </w:rPr>
        <w:t>Marketing (£15,000): Pre-launch digital campaigns, launch events, website development, and content creation to secure early membership uptake.</w:t>
      </w:r>
    </w:p>
    <w:p w14:paraId="08C6511C" w14:textId="77777777" w:rsidR="00D03CD7" w:rsidRPr="00D03CD7" w:rsidRDefault="00D03CD7" w:rsidP="00D03CD7">
      <w:pPr>
        <w:numPr>
          <w:ilvl w:val="0"/>
          <w:numId w:val="8"/>
        </w:numPr>
        <w:rPr>
          <w:rFonts w:ascii="Arial" w:hAnsi="Arial" w:cs="Arial"/>
        </w:rPr>
      </w:pPr>
      <w:r w:rsidRPr="00D03CD7">
        <w:rPr>
          <w:rFonts w:ascii="Arial" w:hAnsi="Arial" w:cs="Arial"/>
        </w:rPr>
        <w:t>Insurance, legal, and compliance (£10,000): Public liability, employer’s liability, professional indemnity, legal consultation, and health and safety compliance.</w:t>
      </w:r>
    </w:p>
    <w:p w14:paraId="3B225D10" w14:textId="77777777" w:rsidR="00D03CD7" w:rsidRPr="00D03CD7" w:rsidRDefault="00D03CD7" w:rsidP="00D03CD7">
      <w:pPr>
        <w:numPr>
          <w:ilvl w:val="0"/>
          <w:numId w:val="8"/>
        </w:numPr>
        <w:rPr>
          <w:rFonts w:ascii="Arial" w:hAnsi="Arial" w:cs="Arial"/>
        </w:rPr>
      </w:pPr>
      <w:r w:rsidRPr="00D03CD7">
        <w:rPr>
          <w:rFonts w:ascii="Arial" w:hAnsi="Arial" w:cs="Arial"/>
        </w:rPr>
        <w:t>Technology (£10,000): CRM systems, membership management software, and wearable integration platforms.</w:t>
      </w:r>
    </w:p>
    <w:p w14:paraId="30590A00" w14:textId="77777777" w:rsidR="00D03CD7" w:rsidRPr="00D03CD7" w:rsidRDefault="00D03CD7" w:rsidP="00D03CD7">
      <w:pPr>
        <w:numPr>
          <w:ilvl w:val="0"/>
          <w:numId w:val="8"/>
        </w:numPr>
        <w:rPr>
          <w:rFonts w:ascii="Arial" w:hAnsi="Arial" w:cs="Arial"/>
        </w:rPr>
      </w:pPr>
      <w:r w:rsidRPr="00D03CD7">
        <w:rPr>
          <w:rFonts w:ascii="Arial" w:hAnsi="Arial" w:cs="Arial"/>
        </w:rPr>
        <w:t>Working capital (£35,000): Covers operational shortfalls during the first six months before full membership is reached.</w:t>
      </w:r>
    </w:p>
    <w:p w14:paraId="62E17E03" w14:textId="77777777" w:rsidR="00D03CD7" w:rsidRPr="00D03CD7" w:rsidRDefault="00D03CD7" w:rsidP="00D03CD7">
      <w:pPr>
        <w:numPr>
          <w:ilvl w:val="0"/>
          <w:numId w:val="8"/>
        </w:numPr>
        <w:rPr>
          <w:rFonts w:ascii="Arial" w:hAnsi="Arial" w:cs="Arial"/>
        </w:rPr>
      </w:pPr>
      <w:r w:rsidRPr="00D03CD7">
        <w:rPr>
          <w:rFonts w:ascii="Arial" w:hAnsi="Arial" w:cs="Arial"/>
        </w:rPr>
        <w:t>Contingency (£10,000): Mitigates unexpected cost increases, including construction or energy price fluctuations.</w:t>
      </w:r>
    </w:p>
    <w:p w14:paraId="7FAC1506" w14:textId="77777777" w:rsidR="00D03CD7" w:rsidRPr="00D03CD7" w:rsidRDefault="00D03CD7" w:rsidP="00D03CD7">
      <w:pPr>
        <w:rPr>
          <w:rFonts w:ascii="Arial" w:hAnsi="Arial" w:cs="Arial"/>
        </w:rPr>
      </w:pPr>
      <w:r w:rsidRPr="00D03CD7">
        <w:rPr>
          <w:rFonts w:ascii="Arial" w:hAnsi="Arial" w:cs="Arial"/>
        </w:rPr>
        <w:t>Total start-up requirement: £180,000.</w:t>
      </w:r>
    </w:p>
    <w:p w14:paraId="07AF8284" w14:textId="6036BC08" w:rsidR="00D03CD7" w:rsidRPr="00D03CD7" w:rsidRDefault="00D03CD7" w:rsidP="00D03CD7">
      <w:pPr>
        <w:rPr>
          <w:rFonts w:ascii="Arial" w:hAnsi="Arial" w:cs="Arial"/>
          <w:b/>
          <w:bCs/>
        </w:rPr>
      </w:pPr>
    </w:p>
    <w:p w14:paraId="732EB4D4" w14:textId="77777777" w:rsidR="00D03CD7" w:rsidRPr="00D03CD7" w:rsidRDefault="00D03CD7" w:rsidP="00D03CD7">
      <w:pPr>
        <w:rPr>
          <w:rFonts w:ascii="Arial" w:hAnsi="Arial" w:cs="Arial"/>
          <w:b/>
          <w:bCs/>
        </w:rPr>
      </w:pPr>
      <w:r w:rsidRPr="00D03CD7">
        <w:rPr>
          <w:rFonts w:ascii="Arial" w:hAnsi="Arial" w:cs="Arial"/>
          <w:b/>
          <w:bCs/>
        </w:rPr>
        <w:t>Funding Structure</w:t>
      </w:r>
    </w:p>
    <w:p w14:paraId="61DC0FAA" w14:textId="77777777" w:rsidR="00D03CD7" w:rsidRPr="00D03CD7" w:rsidRDefault="00D03CD7" w:rsidP="00D03CD7">
      <w:pPr>
        <w:rPr>
          <w:rFonts w:ascii="Arial" w:hAnsi="Arial" w:cs="Arial"/>
        </w:rPr>
      </w:pPr>
      <w:r w:rsidRPr="00D03CD7">
        <w:rPr>
          <w:rFonts w:ascii="Arial" w:hAnsi="Arial" w:cs="Arial"/>
        </w:rPr>
        <w:t>Funding will be a mix of equity and debt to balance risk:</w:t>
      </w:r>
    </w:p>
    <w:p w14:paraId="5251E744" w14:textId="77777777" w:rsidR="00D03CD7" w:rsidRPr="00D03CD7" w:rsidRDefault="00D03CD7" w:rsidP="00D03CD7">
      <w:pPr>
        <w:numPr>
          <w:ilvl w:val="0"/>
          <w:numId w:val="9"/>
        </w:numPr>
        <w:rPr>
          <w:rFonts w:ascii="Arial" w:hAnsi="Arial" w:cs="Arial"/>
        </w:rPr>
      </w:pPr>
      <w:r w:rsidRPr="00D03CD7">
        <w:rPr>
          <w:rFonts w:ascii="Arial" w:hAnsi="Arial" w:cs="Arial"/>
        </w:rPr>
        <w:t>Founder equity: £60,000</w:t>
      </w:r>
    </w:p>
    <w:p w14:paraId="2B21F4DF" w14:textId="77777777" w:rsidR="00D03CD7" w:rsidRPr="00D03CD7" w:rsidRDefault="00D03CD7" w:rsidP="00D03CD7">
      <w:pPr>
        <w:numPr>
          <w:ilvl w:val="0"/>
          <w:numId w:val="9"/>
        </w:numPr>
        <w:rPr>
          <w:rFonts w:ascii="Arial" w:hAnsi="Arial" w:cs="Arial"/>
        </w:rPr>
      </w:pPr>
      <w:r w:rsidRPr="00D03CD7">
        <w:rPr>
          <w:rFonts w:ascii="Arial" w:hAnsi="Arial" w:cs="Arial"/>
        </w:rPr>
        <w:t>Bank loan: £70,000</w:t>
      </w:r>
    </w:p>
    <w:p w14:paraId="50BBC855" w14:textId="77777777" w:rsidR="00D03CD7" w:rsidRPr="00D03CD7" w:rsidRDefault="00D03CD7" w:rsidP="00D03CD7">
      <w:pPr>
        <w:numPr>
          <w:ilvl w:val="0"/>
          <w:numId w:val="9"/>
        </w:numPr>
        <w:rPr>
          <w:rFonts w:ascii="Arial" w:hAnsi="Arial" w:cs="Arial"/>
        </w:rPr>
      </w:pPr>
      <w:r w:rsidRPr="00D03CD7">
        <w:rPr>
          <w:rFonts w:ascii="Arial" w:hAnsi="Arial" w:cs="Arial"/>
        </w:rPr>
        <w:t>Private investor equity: £50,000</w:t>
      </w:r>
    </w:p>
    <w:p w14:paraId="4F013CFE" w14:textId="77777777" w:rsidR="00D03CD7" w:rsidRPr="00D03CD7" w:rsidRDefault="00D03CD7" w:rsidP="00D03CD7">
      <w:pPr>
        <w:rPr>
          <w:rFonts w:ascii="Arial" w:hAnsi="Arial" w:cs="Arial"/>
          <w:b/>
          <w:bCs/>
        </w:rPr>
      </w:pPr>
      <w:r w:rsidRPr="00D03CD7">
        <w:rPr>
          <w:rFonts w:ascii="Arial" w:hAnsi="Arial" w:cs="Arial"/>
        </w:rPr>
        <w:t>The limited company structure protects personal assets, strengthens credibility with lenders, and allows for future expansion.</w:t>
      </w:r>
    </w:p>
    <w:p w14:paraId="7D8DCD7D" w14:textId="079AE581" w:rsidR="00D03CD7" w:rsidRPr="00D03CD7" w:rsidRDefault="00D03CD7" w:rsidP="00D03CD7">
      <w:pPr>
        <w:rPr>
          <w:rFonts w:ascii="Arial" w:hAnsi="Arial" w:cs="Arial"/>
          <w:b/>
          <w:bCs/>
        </w:rPr>
      </w:pPr>
    </w:p>
    <w:p w14:paraId="44111FDB" w14:textId="77777777" w:rsidR="00D03CD7" w:rsidRPr="00D03CD7" w:rsidRDefault="00D03CD7" w:rsidP="00D03CD7">
      <w:pPr>
        <w:rPr>
          <w:rFonts w:ascii="Arial" w:hAnsi="Arial" w:cs="Arial"/>
          <w:b/>
          <w:bCs/>
        </w:rPr>
      </w:pPr>
      <w:r w:rsidRPr="00D03CD7">
        <w:rPr>
          <w:rFonts w:ascii="Arial" w:hAnsi="Arial" w:cs="Arial"/>
          <w:b/>
          <w:bCs/>
        </w:rPr>
        <w:t>Operating Costs</w:t>
      </w:r>
    </w:p>
    <w:p w14:paraId="600000AE" w14:textId="77777777" w:rsidR="00D03CD7" w:rsidRPr="00D03CD7" w:rsidRDefault="00D03CD7" w:rsidP="00D03CD7">
      <w:pPr>
        <w:rPr>
          <w:rFonts w:ascii="Arial" w:hAnsi="Arial" w:cs="Arial"/>
        </w:rPr>
      </w:pPr>
      <w:r w:rsidRPr="00D03CD7">
        <w:rPr>
          <w:rFonts w:ascii="Arial" w:hAnsi="Arial" w:cs="Arial"/>
        </w:rPr>
        <w:t>Monthly fixed costs are estimated at approximately £34,000, including:</w:t>
      </w:r>
    </w:p>
    <w:p w14:paraId="7B26F12B" w14:textId="77777777" w:rsidR="00D03CD7" w:rsidRPr="00D03CD7" w:rsidRDefault="00D03CD7" w:rsidP="00D03CD7">
      <w:pPr>
        <w:numPr>
          <w:ilvl w:val="0"/>
          <w:numId w:val="10"/>
        </w:numPr>
        <w:rPr>
          <w:rFonts w:ascii="Arial" w:hAnsi="Arial" w:cs="Arial"/>
        </w:rPr>
      </w:pPr>
      <w:r w:rsidRPr="00D03CD7">
        <w:rPr>
          <w:rFonts w:ascii="Arial" w:hAnsi="Arial" w:cs="Arial"/>
        </w:rPr>
        <w:t>Rent: £8,000</w:t>
      </w:r>
    </w:p>
    <w:p w14:paraId="1FFEF649" w14:textId="77777777" w:rsidR="00D03CD7" w:rsidRPr="00D03CD7" w:rsidRDefault="00D03CD7" w:rsidP="00D03CD7">
      <w:pPr>
        <w:numPr>
          <w:ilvl w:val="0"/>
          <w:numId w:val="10"/>
        </w:numPr>
        <w:rPr>
          <w:rFonts w:ascii="Arial" w:hAnsi="Arial" w:cs="Arial"/>
        </w:rPr>
      </w:pPr>
      <w:r w:rsidRPr="00D03CD7">
        <w:rPr>
          <w:rFonts w:ascii="Arial" w:hAnsi="Arial" w:cs="Arial"/>
        </w:rPr>
        <w:t>Staff salaries: £18,000</w:t>
      </w:r>
    </w:p>
    <w:p w14:paraId="133B0525" w14:textId="77777777" w:rsidR="00D03CD7" w:rsidRPr="00D03CD7" w:rsidRDefault="00D03CD7" w:rsidP="00D03CD7">
      <w:pPr>
        <w:numPr>
          <w:ilvl w:val="0"/>
          <w:numId w:val="10"/>
        </w:numPr>
        <w:rPr>
          <w:rFonts w:ascii="Arial" w:hAnsi="Arial" w:cs="Arial"/>
        </w:rPr>
      </w:pPr>
      <w:r w:rsidRPr="00D03CD7">
        <w:rPr>
          <w:rFonts w:ascii="Arial" w:hAnsi="Arial" w:cs="Arial"/>
        </w:rPr>
        <w:t>Utilities: £3,000</w:t>
      </w:r>
    </w:p>
    <w:p w14:paraId="5A411FE0" w14:textId="77777777" w:rsidR="00D03CD7" w:rsidRPr="00D03CD7" w:rsidRDefault="00D03CD7" w:rsidP="00D03CD7">
      <w:pPr>
        <w:numPr>
          <w:ilvl w:val="0"/>
          <w:numId w:val="10"/>
        </w:numPr>
        <w:rPr>
          <w:rFonts w:ascii="Arial" w:hAnsi="Arial" w:cs="Arial"/>
        </w:rPr>
      </w:pPr>
      <w:r w:rsidRPr="00D03CD7">
        <w:rPr>
          <w:rFonts w:ascii="Arial" w:hAnsi="Arial" w:cs="Arial"/>
        </w:rPr>
        <w:t>Insurance, licenses, and software: £1,500</w:t>
      </w:r>
    </w:p>
    <w:p w14:paraId="0F70C080" w14:textId="77777777" w:rsidR="00D03CD7" w:rsidRPr="00D03CD7" w:rsidRDefault="00D03CD7" w:rsidP="00D03CD7">
      <w:pPr>
        <w:numPr>
          <w:ilvl w:val="0"/>
          <w:numId w:val="10"/>
        </w:numPr>
        <w:rPr>
          <w:rFonts w:ascii="Arial" w:hAnsi="Arial" w:cs="Arial"/>
        </w:rPr>
      </w:pPr>
      <w:r w:rsidRPr="00D03CD7">
        <w:rPr>
          <w:rFonts w:ascii="Arial" w:hAnsi="Arial" w:cs="Arial"/>
        </w:rPr>
        <w:t>Marketing: £2,000</w:t>
      </w:r>
    </w:p>
    <w:p w14:paraId="7395A618" w14:textId="77777777" w:rsidR="00D03CD7" w:rsidRPr="00D03CD7" w:rsidRDefault="00D03CD7" w:rsidP="00D03CD7">
      <w:pPr>
        <w:numPr>
          <w:ilvl w:val="0"/>
          <w:numId w:val="10"/>
        </w:numPr>
        <w:rPr>
          <w:rFonts w:ascii="Arial" w:hAnsi="Arial" w:cs="Arial"/>
        </w:rPr>
      </w:pPr>
      <w:r w:rsidRPr="00D03CD7">
        <w:rPr>
          <w:rFonts w:ascii="Arial" w:hAnsi="Arial" w:cs="Arial"/>
        </w:rPr>
        <w:t>Maintenance and miscellaneous: £1,500</w:t>
      </w:r>
    </w:p>
    <w:p w14:paraId="4F11DE61" w14:textId="77777777" w:rsidR="00D03CD7" w:rsidRPr="00D03CD7" w:rsidRDefault="00D03CD7" w:rsidP="00D03CD7">
      <w:pPr>
        <w:rPr>
          <w:rFonts w:ascii="Arial" w:hAnsi="Arial" w:cs="Arial"/>
        </w:rPr>
      </w:pPr>
      <w:r w:rsidRPr="00D03CD7">
        <w:rPr>
          <w:rFonts w:ascii="Arial" w:hAnsi="Arial" w:cs="Arial"/>
        </w:rPr>
        <w:t>Annual fixed costs total around £408,000, highlighting the need for sufficient membership to surpass the break-even point.</w:t>
      </w:r>
    </w:p>
    <w:p w14:paraId="7B8D0C39" w14:textId="64344071" w:rsidR="00D03CD7" w:rsidRPr="00D03CD7" w:rsidRDefault="00D03CD7" w:rsidP="00D03CD7">
      <w:pPr>
        <w:rPr>
          <w:rFonts w:ascii="Arial" w:hAnsi="Arial" w:cs="Arial"/>
          <w:b/>
          <w:bCs/>
        </w:rPr>
      </w:pPr>
    </w:p>
    <w:p w14:paraId="6D1AD081" w14:textId="77777777" w:rsidR="00D03CD7" w:rsidRPr="00D03CD7" w:rsidRDefault="00D03CD7" w:rsidP="00D03CD7">
      <w:pPr>
        <w:rPr>
          <w:rFonts w:ascii="Arial" w:hAnsi="Arial" w:cs="Arial"/>
          <w:b/>
          <w:bCs/>
        </w:rPr>
      </w:pPr>
      <w:r w:rsidRPr="00D03CD7">
        <w:rPr>
          <w:rFonts w:ascii="Arial" w:hAnsi="Arial" w:cs="Arial"/>
          <w:b/>
          <w:bCs/>
        </w:rPr>
        <w:t>Revenue Model and Average Revenue per Member (ARPM)</w:t>
      </w:r>
    </w:p>
    <w:p w14:paraId="38BDD0FC" w14:textId="77777777" w:rsidR="00D03CD7" w:rsidRPr="00D03CD7" w:rsidRDefault="00D03CD7" w:rsidP="00D03CD7">
      <w:pPr>
        <w:rPr>
          <w:rFonts w:ascii="Arial" w:hAnsi="Arial" w:cs="Arial"/>
        </w:rPr>
      </w:pPr>
      <w:r w:rsidRPr="00D03CD7">
        <w:rPr>
          <w:rFonts w:ascii="Arial" w:hAnsi="Arial" w:cs="Arial"/>
        </w:rPr>
        <w:t>The main revenue stream is monthly membership, projected at £65 per month. Supplementary services—personal training, physiotherapy, corporate wellness packages, and nutrition coaching—are expected to raise the average revenue per member to approximately £80 per month.</w:t>
      </w:r>
    </w:p>
    <w:p w14:paraId="65073194" w14:textId="439918DA" w:rsidR="00D03CD7" w:rsidRPr="00D03CD7" w:rsidRDefault="00D03CD7" w:rsidP="00D03CD7">
      <w:pPr>
        <w:rPr>
          <w:rFonts w:ascii="Arial" w:hAnsi="Arial" w:cs="Arial"/>
          <w:b/>
          <w:bCs/>
        </w:rPr>
      </w:pPr>
    </w:p>
    <w:p w14:paraId="6005F965" w14:textId="77777777" w:rsidR="00D03CD7" w:rsidRPr="00D03CD7" w:rsidRDefault="00D03CD7" w:rsidP="00D03CD7">
      <w:pPr>
        <w:rPr>
          <w:rFonts w:ascii="Arial" w:hAnsi="Arial" w:cs="Arial"/>
          <w:b/>
          <w:bCs/>
        </w:rPr>
      </w:pPr>
      <w:r w:rsidRPr="00D03CD7">
        <w:rPr>
          <w:rFonts w:ascii="Arial" w:hAnsi="Arial" w:cs="Arial"/>
          <w:b/>
          <w:bCs/>
        </w:rPr>
        <w:t>Break-Even Analysis</w:t>
      </w:r>
    </w:p>
    <w:p w14:paraId="603D707B" w14:textId="77777777" w:rsidR="00D03CD7" w:rsidRPr="00D03CD7" w:rsidRDefault="00D03CD7" w:rsidP="00D03CD7">
      <w:pPr>
        <w:rPr>
          <w:rFonts w:ascii="Arial" w:hAnsi="Arial" w:cs="Arial"/>
        </w:rPr>
      </w:pPr>
      <w:r w:rsidRPr="00D03CD7">
        <w:rPr>
          <w:rFonts w:ascii="Arial" w:hAnsi="Arial" w:cs="Arial"/>
        </w:rPr>
        <w:t>Break-even membership is calculated by dividing fixed monthly costs by ARPM:</w:t>
      </w:r>
    </w:p>
    <w:p w14:paraId="301101E4" w14:textId="77777777" w:rsidR="00D03CD7" w:rsidRPr="00D03CD7" w:rsidRDefault="00D03CD7" w:rsidP="00D03CD7">
      <w:pPr>
        <w:numPr>
          <w:ilvl w:val="0"/>
          <w:numId w:val="11"/>
        </w:numPr>
        <w:rPr>
          <w:rFonts w:ascii="Arial" w:hAnsi="Arial" w:cs="Arial"/>
        </w:rPr>
      </w:pPr>
      <w:r w:rsidRPr="00D03CD7">
        <w:rPr>
          <w:rFonts w:ascii="Arial" w:hAnsi="Arial" w:cs="Arial"/>
        </w:rPr>
        <w:t>At £65 ARPM: 34,000 ÷ 65 ≈ 523 members</w:t>
      </w:r>
    </w:p>
    <w:p w14:paraId="17824E30" w14:textId="77777777" w:rsidR="00D03CD7" w:rsidRPr="00D03CD7" w:rsidRDefault="00D03CD7" w:rsidP="00D03CD7">
      <w:pPr>
        <w:numPr>
          <w:ilvl w:val="0"/>
          <w:numId w:val="11"/>
        </w:numPr>
        <w:rPr>
          <w:rFonts w:ascii="Arial" w:hAnsi="Arial" w:cs="Arial"/>
        </w:rPr>
      </w:pPr>
      <w:r w:rsidRPr="00D03CD7">
        <w:rPr>
          <w:rFonts w:ascii="Arial" w:hAnsi="Arial" w:cs="Arial"/>
        </w:rPr>
        <w:t>At £80 ARPM (including ancillary services): 34,000 ÷ 80 ≈ 425 members</w:t>
      </w:r>
    </w:p>
    <w:p w14:paraId="7CFE506A" w14:textId="77777777" w:rsidR="00D03CD7" w:rsidRPr="00D03CD7" w:rsidRDefault="00D03CD7" w:rsidP="00D03CD7">
      <w:pPr>
        <w:rPr>
          <w:rFonts w:ascii="Arial" w:hAnsi="Arial" w:cs="Arial"/>
        </w:rPr>
      </w:pPr>
      <w:r w:rsidRPr="00D03CD7">
        <w:rPr>
          <w:rFonts w:ascii="Arial" w:hAnsi="Arial" w:cs="Arial"/>
        </w:rPr>
        <w:t>With realistic growth assumptions, reaching 425 members is achievable within 18–24 months.</w:t>
      </w:r>
    </w:p>
    <w:p w14:paraId="435FEF90" w14:textId="635B28F4" w:rsidR="00D03CD7" w:rsidRPr="00D03CD7" w:rsidRDefault="00D03CD7" w:rsidP="00D03CD7">
      <w:pPr>
        <w:rPr>
          <w:rFonts w:ascii="Arial" w:hAnsi="Arial" w:cs="Arial"/>
          <w:b/>
          <w:bCs/>
        </w:rPr>
      </w:pPr>
    </w:p>
    <w:p w14:paraId="5276474B" w14:textId="77777777" w:rsidR="00D03CD7" w:rsidRPr="00D03CD7" w:rsidRDefault="00D03CD7" w:rsidP="00D03CD7">
      <w:pPr>
        <w:rPr>
          <w:rFonts w:ascii="Arial" w:hAnsi="Arial" w:cs="Arial"/>
          <w:b/>
          <w:bCs/>
        </w:rPr>
      </w:pPr>
      <w:r w:rsidRPr="00D03CD7">
        <w:rPr>
          <w:rFonts w:ascii="Arial" w:hAnsi="Arial" w:cs="Arial"/>
          <w:b/>
          <w:bCs/>
        </w:rPr>
        <w:t>Capacity Modelling and Revenue Projection</w:t>
      </w:r>
    </w:p>
    <w:p w14:paraId="1E99FC3D" w14:textId="77777777" w:rsidR="00D03CD7" w:rsidRPr="00D03CD7" w:rsidRDefault="00D03CD7" w:rsidP="00D03CD7">
      <w:pPr>
        <w:rPr>
          <w:rFonts w:ascii="Arial" w:hAnsi="Arial" w:cs="Arial"/>
        </w:rPr>
      </w:pPr>
      <w:r w:rsidRPr="00D03CD7">
        <w:rPr>
          <w:rFonts w:ascii="Arial" w:hAnsi="Arial" w:cs="Arial"/>
        </w:rPr>
        <w:t>The gym will operate:</w:t>
      </w:r>
    </w:p>
    <w:p w14:paraId="146E6A88" w14:textId="77777777" w:rsidR="00D03CD7" w:rsidRPr="00D03CD7" w:rsidRDefault="00D03CD7" w:rsidP="00D03CD7">
      <w:pPr>
        <w:numPr>
          <w:ilvl w:val="0"/>
          <w:numId w:val="12"/>
        </w:numPr>
        <w:rPr>
          <w:rFonts w:ascii="Arial" w:hAnsi="Arial" w:cs="Arial"/>
        </w:rPr>
      </w:pPr>
      <w:r w:rsidRPr="00D03CD7">
        <w:rPr>
          <w:rFonts w:ascii="Arial" w:hAnsi="Arial" w:cs="Arial"/>
        </w:rPr>
        <w:t>8 small-group sessions per day</w:t>
      </w:r>
    </w:p>
    <w:p w14:paraId="6AF9A9FD" w14:textId="77777777" w:rsidR="00D03CD7" w:rsidRPr="00D03CD7" w:rsidRDefault="00D03CD7" w:rsidP="00D03CD7">
      <w:pPr>
        <w:numPr>
          <w:ilvl w:val="0"/>
          <w:numId w:val="12"/>
        </w:numPr>
        <w:rPr>
          <w:rFonts w:ascii="Arial" w:hAnsi="Arial" w:cs="Arial"/>
        </w:rPr>
      </w:pPr>
      <w:r w:rsidRPr="00D03CD7">
        <w:rPr>
          <w:rFonts w:ascii="Arial" w:hAnsi="Arial" w:cs="Arial"/>
        </w:rPr>
        <w:t>Maximum 10 members per session</w:t>
      </w:r>
    </w:p>
    <w:p w14:paraId="06FB2CCD" w14:textId="77777777" w:rsidR="00D03CD7" w:rsidRPr="00D03CD7" w:rsidRDefault="00D03CD7" w:rsidP="00D03CD7">
      <w:pPr>
        <w:numPr>
          <w:ilvl w:val="0"/>
          <w:numId w:val="12"/>
        </w:numPr>
        <w:rPr>
          <w:rFonts w:ascii="Arial" w:hAnsi="Arial" w:cs="Arial"/>
        </w:rPr>
      </w:pPr>
      <w:r w:rsidRPr="00D03CD7">
        <w:rPr>
          <w:rFonts w:ascii="Arial" w:hAnsi="Arial" w:cs="Arial"/>
        </w:rPr>
        <w:t>6 days per week</w:t>
      </w:r>
    </w:p>
    <w:p w14:paraId="6CF25883" w14:textId="77777777" w:rsidR="00D03CD7" w:rsidRPr="00D03CD7" w:rsidRDefault="00D03CD7" w:rsidP="00D03CD7">
      <w:pPr>
        <w:rPr>
          <w:rFonts w:ascii="Arial" w:hAnsi="Arial" w:cs="Arial"/>
        </w:rPr>
      </w:pPr>
      <w:r w:rsidRPr="00D03CD7">
        <w:rPr>
          <w:rFonts w:ascii="Arial" w:hAnsi="Arial" w:cs="Arial"/>
        </w:rPr>
        <w:t>This allows for 480 session slots weekly. Assuming each member attends 3 sessions per week, the maximum sustainable membership is 600 members.</w:t>
      </w:r>
    </w:p>
    <w:p w14:paraId="283A8198" w14:textId="77777777" w:rsidR="00D03CD7" w:rsidRPr="00D03CD7" w:rsidRDefault="00D03CD7" w:rsidP="00D03CD7">
      <w:pPr>
        <w:rPr>
          <w:rFonts w:ascii="Arial" w:hAnsi="Arial" w:cs="Arial"/>
        </w:rPr>
      </w:pPr>
      <w:r w:rsidRPr="00D03CD7">
        <w:rPr>
          <w:rFonts w:ascii="Arial" w:hAnsi="Arial" w:cs="Arial"/>
        </w:rPr>
        <w:t>Projected annual revenue at full capacity:</w:t>
      </w:r>
    </w:p>
    <w:p w14:paraId="678A5C30" w14:textId="77777777" w:rsidR="00D03CD7" w:rsidRPr="00D03CD7" w:rsidRDefault="00D03CD7" w:rsidP="00D03CD7">
      <w:pPr>
        <w:numPr>
          <w:ilvl w:val="0"/>
          <w:numId w:val="13"/>
        </w:numPr>
        <w:rPr>
          <w:rFonts w:ascii="Arial" w:hAnsi="Arial" w:cs="Arial"/>
        </w:rPr>
      </w:pPr>
      <w:r w:rsidRPr="00D03CD7">
        <w:rPr>
          <w:rFonts w:ascii="Arial" w:hAnsi="Arial" w:cs="Arial"/>
        </w:rPr>
        <w:t>Membership: 600 × £80 × 12 = £576,000</w:t>
      </w:r>
    </w:p>
    <w:p w14:paraId="41FF9194" w14:textId="77777777" w:rsidR="00D03CD7" w:rsidRPr="00D03CD7" w:rsidRDefault="00D03CD7" w:rsidP="00D03CD7">
      <w:pPr>
        <w:numPr>
          <w:ilvl w:val="0"/>
          <w:numId w:val="13"/>
        </w:numPr>
        <w:rPr>
          <w:rFonts w:ascii="Arial" w:hAnsi="Arial" w:cs="Arial"/>
        </w:rPr>
      </w:pPr>
      <w:r w:rsidRPr="00D03CD7">
        <w:rPr>
          <w:rFonts w:ascii="Arial" w:hAnsi="Arial" w:cs="Arial"/>
        </w:rPr>
        <w:t>Ancillary services (15%): £86,400</w:t>
      </w:r>
    </w:p>
    <w:p w14:paraId="0480A313" w14:textId="77777777" w:rsidR="00D03CD7" w:rsidRPr="00D03CD7" w:rsidRDefault="00D03CD7" w:rsidP="00D03CD7">
      <w:pPr>
        <w:numPr>
          <w:ilvl w:val="0"/>
          <w:numId w:val="13"/>
        </w:numPr>
        <w:rPr>
          <w:rFonts w:ascii="Arial" w:hAnsi="Arial" w:cs="Arial"/>
        </w:rPr>
      </w:pPr>
      <w:r w:rsidRPr="00D03CD7">
        <w:rPr>
          <w:rFonts w:ascii="Arial" w:hAnsi="Arial" w:cs="Arial"/>
        </w:rPr>
        <w:t>Total projected revenue: £662,400</w:t>
      </w:r>
    </w:p>
    <w:p w14:paraId="55FCCE3E" w14:textId="77777777" w:rsidR="00D03CD7" w:rsidRPr="00D03CD7" w:rsidRDefault="00D03CD7" w:rsidP="00D03CD7">
      <w:pPr>
        <w:rPr>
          <w:rFonts w:ascii="Arial" w:hAnsi="Arial" w:cs="Arial"/>
        </w:rPr>
      </w:pPr>
      <w:r w:rsidRPr="00D03CD7">
        <w:rPr>
          <w:rFonts w:ascii="Arial" w:hAnsi="Arial" w:cs="Arial"/>
        </w:rPr>
        <w:t>Estimated annual operating costs: £540,000</w:t>
      </w:r>
      <w:r w:rsidRPr="00D03CD7">
        <w:rPr>
          <w:rFonts w:ascii="Arial" w:hAnsi="Arial" w:cs="Arial"/>
        </w:rPr>
        <w:br/>
        <w:t>Projected net profit: £122,400 (~18% margin), in line with boutique gym benchmarks.</w:t>
      </w:r>
    </w:p>
    <w:p w14:paraId="5E80FF28" w14:textId="3B3EF69A" w:rsidR="00D03CD7" w:rsidRPr="00D03CD7" w:rsidRDefault="00D03CD7" w:rsidP="00D03CD7">
      <w:pPr>
        <w:rPr>
          <w:rFonts w:ascii="Arial" w:hAnsi="Arial" w:cs="Arial"/>
        </w:rPr>
      </w:pPr>
    </w:p>
    <w:p w14:paraId="15C98B2F" w14:textId="77777777" w:rsidR="00D03CD7" w:rsidRPr="00D03CD7" w:rsidRDefault="00D03CD7" w:rsidP="00D03CD7">
      <w:pPr>
        <w:rPr>
          <w:rFonts w:ascii="Arial" w:hAnsi="Arial" w:cs="Arial"/>
          <w:b/>
          <w:bCs/>
        </w:rPr>
      </w:pPr>
      <w:r w:rsidRPr="00D03CD7">
        <w:rPr>
          <w:rFonts w:ascii="Arial" w:hAnsi="Arial" w:cs="Arial"/>
          <w:b/>
          <w:bCs/>
        </w:rPr>
        <w:t>Investor Return and Payback Period</w:t>
      </w:r>
    </w:p>
    <w:p w14:paraId="6FED41E5" w14:textId="77777777" w:rsidR="00D03CD7" w:rsidRPr="00D03CD7" w:rsidRDefault="00D03CD7" w:rsidP="00D03CD7">
      <w:pPr>
        <w:rPr>
          <w:rFonts w:ascii="Arial" w:hAnsi="Arial" w:cs="Arial"/>
        </w:rPr>
      </w:pPr>
      <w:r w:rsidRPr="00D03CD7">
        <w:rPr>
          <w:rFonts w:ascii="Arial" w:hAnsi="Arial" w:cs="Arial"/>
        </w:rPr>
        <w:t>For a private investor contributing £50,000 for 20% equity:</w:t>
      </w:r>
    </w:p>
    <w:p w14:paraId="7C05D464" w14:textId="77777777" w:rsidR="00D03CD7" w:rsidRPr="00D03CD7" w:rsidRDefault="00D03CD7" w:rsidP="00D03CD7">
      <w:pPr>
        <w:numPr>
          <w:ilvl w:val="0"/>
          <w:numId w:val="14"/>
        </w:numPr>
        <w:rPr>
          <w:rFonts w:ascii="Arial" w:hAnsi="Arial" w:cs="Arial"/>
        </w:rPr>
      </w:pPr>
      <w:r w:rsidRPr="00D03CD7">
        <w:rPr>
          <w:rFonts w:ascii="Arial" w:hAnsi="Arial" w:cs="Arial"/>
        </w:rPr>
        <w:t>Annual distributable profit: £80,000</w:t>
      </w:r>
    </w:p>
    <w:p w14:paraId="06B1F73E" w14:textId="77777777" w:rsidR="00D03CD7" w:rsidRPr="00D03CD7" w:rsidRDefault="00D03CD7" w:rsidP="00D03CD7">
      <w:pPr>
        <w:numPr>
          <w:ilvl w:val="0"/>
          <w:numId w:val="14"/>
        </w:numPr>
        <w:rPr>
          <w:rFonts w:ascii="Arial" w:hAnsi="Arial" w:cs="Arial"/>
        </w:rPr>
      </w:pPr>
      <w:r w:rsidRPr="00D03CD7">
        <w:rPr>
          <w:rFonts w:ascii="Arial" w:hAnsi="Arial" w:cs="Arial"/>
        </w:rPr>
        <w:t>Investor share: £16,000 per year</w:t>
      </w:r>
    </w:p>
    <w:p w14:paraId="7466C330" w14:textId="77777777" w:rsidR="00D03CD7" w:rsidRPr="00D03CD7" w:rsidRDefault="00D03CD7" w:rsidP="00D03CD7">
      <w:pPr>
        <w:numPr>
          <w:ilvl w:val="0"/>
          <w:numId w:val="14"/>
        </w:numPr>
        <w:rPr>
          <w:rFonts w:ascii="Arial" w:hAnsi="Arial" w:cs="Arial"/>
        </w:rPr>
      </w:pPr>
      <w:r w:rsidRPr="00D03CD7">
        <w:rPr>
          <w:rFonts w:ascii="Arial" w:hAnsi="Arial" w:cs="Arial"/>
        </w:rPr>
        <w:t>Expected capital recovery: 3–4 years</w:t>
      </w:r>
    </w:p>
    <w:p w14:paraId="255AF516" w14:textId="77777777" w:rsidR="00D03CD7" w:rsidRPr="00D03CD7" w:rsidRDefault="00D03CD7" w:rsidP="00D03CD7">
      <w:pPr>
        <w:rPr>
          <w:rFonts w:ascii="Arial" w:hAnsi="Arial" w:cs="Arial"/>
        </w:rPr>
      </w:pPr>
      <w:r w:rsidRPr="00D03CD7">
        <w:rPr>
          <w:rFonts w:ascii="Arial" w:hAnsi="Arial" w:cs="Arial"/>
        </w:rPr>
        <w:t>Post-payback, continued dividend payments provide positive annual returns. Expansion to a second site within 5–8 years could significantly increase equity value.</w:t>
      </w:r>
    </w:p>
    <w:p w14:paraId="2D790F28" w14:textId="7987433D" w:rsidR="00D03CD7" w:rsidRPr="00D03CD7" w:rsidRDefault="00D03CD7" w:rsidP="00D03CD7">
      <w:pPr>
        <w:rPr>
          <w:rFonts w:ascii="Arial" w:hAnsi="Arial" w:cs="Arial"/>
          <w:b/>
          <w:bCs/>
        </w:rPr>
      </w:pPr>
    </w:p>
    <w:p w14:paraId="184733EC" w14:textId="77777777" w:rsidR="00D03CD7" w:rsidRPr="00D03CD7" w:rsidRDefault="00D03CD7" w:rsidP="00D03CD7">
      <w:pPr>
        <w:rPr>
          <w:rFonts w:ascii="Arial" w:hAnsi="Arial" w:cs="Arial"/>
          <w:b/>
          <w:bCs/>
        </w:rPr>
      </w:pPr>
      <w:r w:rsidRPr="00D03CD7">
        <w:rPr>
          <w:rFonts w:ascii="Arial" w:hAnsi="Arial" w:cs="Arial"/>
          <w:b/>
          <w:bCs/>
        </w:rPr>
        <w:t>Sensitivity Analysis and Risks</w:t>
      </w:r>
    </w:p>
    <w:p w14:paraId="7E9F95A9" w14:textId="77777777" w:rsidR="00D03CD7" w:rsidRPr="00D03CD7" w:rsidRDefault="00D03CD7" w:rsidP="00D03CD7">
      <w:pPr>
        <w:rPr>
          <w:rFonts w:ascii="Arial" w:hAnsi="Arial" w:cs="Arial"/>
        </w:rPr>
      </w:pPr>
      <w:r w:rsidRPr="00D03CD7">
        <w:rPr>
          <w:rFonts w:ascii="Arial" w:hAnsi="Arial" w:cs="Arial"/>
        </w:rPr>
        <w:t>If membership reaches only 510 members (15% below target):</w:t>
      </w:r>
    </w:p>
    <w:p w14:paraId="4B3D65B0" w14:textId="77777777" w:rsidR="00D03CD7" w:rsidRPr="00D03CD7" w:rsidRDefault="00D03CD7" w:rsidP="00D03CD7">
      <w:pPr>
        <w:numPr>
          <w:ilvl w:val="0"/>
          <w:numId w:val="15"/>
        </w:numPr>
        <w:rPr>
          <w:rFonts w:ascii="Arial" w:hAnsi="Arial" w:cs="Arial"/>
        </w:rPr>
      </w:pPr>
      <w:r w:rsidRPr="00D03CD7">
        <w:rPr>
          <w:rFonts w:ascii="Arial" w:hAnsi="Arial" w:cs="Arial"/>
        </w:rPr>
        <w:t>Projected revenue: ~£560,000</w:t>
      </w:r>
    </w:p>
    <w:p w14:paraId="0D72DCFE" w14:textId="77777777" w:rsidR="00D03CD7" w:rsidRPr="00D03CD7" w:rsidRDefault="00D03CD7" w:rsidP="00D03CD7">
      <w:pPr>
        <w:numPr>
          <w:ilvl w:val="0"/>
          <w:numId w:val="15"/>
        </w:numPr>
        <w:rPr>
          <w:rFonts w:ascii="Arial" w:hAnsi="Arial" w:cs="Arial"/>
        </w:rPr>
      </w:pPr>
      <w:r w:rsidRPr="00D03CD7">
        <w:rPr>
          <w:rFonts w:ascii="Arial" w:hAnsi="Arial" w:cs="Arial"/>
        </w:rPr>
        <w:t>Operating costs: ~£540,000</w:t>
      </w:r>
    </w:p>
    <w:p w14:paraId="0A94BDC4" w14:textId="77777777" w:rsidR="00D03CD7" w:rsidRPr="00D03CD7" w:rsidRDefault="00D03CD7" w:rsidP="00D03CD7">
      <w:pPr>
        <w:numPr>
          <w:ilvl w:val="0"/>
          <w:numId w:val="15"/>
        </w:numPr>
        <w:rPr>
          <w:rFonts w:ascii="Arial" w:hAnsi="Arial" w:cs="Arial"/>
        </w:rPr>
      </w:pPr>
      <w:r w:rsidRPr="00D03CD7">
        <w:rPr>
          <w:rFonts w:ascii="Arial" w:hAnsi="Arial" w:cs="Arial"/>
        </w:rPr>
        <w:t>Net profit: £20,000–£40,000</w:t>
      </w:r>
    </w:p>
    <w:p w14:paraId="0740B23E" w14:textId="77777777" w:rsidR="00D03CD7" w:rsidRPr="00D03CD7" w:rsidRDefault="00D03CD7" w:rsidP="00D03CD7">
      <w:pPr>
        <w:rPr>
          <w:rFonts w:ascii="Arial" w:hAnsi="Arial" w:cs="Arial"/>
        </w:rPr>
      </w:pPr>
      <w:r w:rsidRPr="00D03CD7">
        <w:rPr>
          <w:rFonts w:ascii="Arial" w:hAnsi="Arial" w:cs="Arial"/>
        </w:rPr>
        <w:t>Key risk factors include membership acquisition, retention rates, energy costs, and payroll inflation. However, the Data-Driven Transformation Model mitigates retention risk by enhancing Customer Lifetime Value and reducing churn.</w:t>
      </w:r>
    </w:p>
    <w:p w14:paraId="5802A42D" w14:textId="552B7E6F" w:rsidR="00D03CD7" w:rsidRPr="00D03CD7" w:rsidRDefault="00D03CD7" w:rsidP="00D03CD7">
      <w:pPr>
        <w:rPr>
          <w:rFonts w:ascii="Arial" w:hAnsi="Arial" w:cs="Arial"/>
          <w:b/>
          <w:bCs/>
        </w:rPr>
      </w:pPr>
    </w:p>
    <w:p w14:paraId="78614044" w14:textId="77777777" w:rsidR="00D03CD7" w:rsidRPr="00D03CD7" w:rsidRDefault="00D03CD7" w:rsidP="00D03CD7">
      <w:pPr>
        <w:rPr>
          <w:rFonts w:ascii="Arial" w:hAnsi="Arial" w:cs="Arial"/>
          <w:b/>
          <w:bCs/>
        </w:rPr>
      </w:pPr>
      <w:r w:rsidRPr="00D03CD7">
        <w:rPr>
          <w:rFonts w:ascii="Arial" w:hAnsi="Arial" w:cs="Arial"/>
          <w:b/>
          <w:bCs/>
        </w:rPr>
        <w:t>Profit Timeline</w:t>
      </w:r>
    </w:p>
    <w:p w14:paraId="45EB5C73" w14:textId="77777777" w:rsidR="00D03CD7" w:rsidRPr="00D03CD7" w:rsidRDefault="00D03CD7" w:rsidP="00D03CD7">
      <w:pPr>
        <w:numPr>
          <w:ilvl w:val="0"/>
          <w:numId w:val="16"/>
        </w:numPr>
        <w:rPr>
          <w:rFonts w:ascii="Arial" w:hAnsi="Arial" w:cs="Arial"/>
        </w:rPr>
      </w:pPr>
      <w:r w:rsidRPr="00D03CD7">
        <w:rPr>
          <w:rFonts w:ascii="Arial" w:hAnsi="Arial" w:cs="Arial"/>
        </w:rPr>
        <w:t>Year 1: Near break-even due to launch costs</w:t>
      </w:r>
    </w:p>
    <w:p w14:paraId="71468968" w14:textId="77777777" w:rsidR="00D03CD7" w:rsidRPr="00D03CD7" w:rsidRDefault="00D03CD7" w:rsidP="00D03CD7">
      <w:pPr>
        <w:numPr>
          <w:ilvl w:val="0"/>
          <w:numId w:val="16"/>
        </w:numPr>
        <w:rPr>
          <w:rFonts w:ascii="Arial" w:hAnsi="Arial" w:cs="Arial"/>
        </w:rPr>
      </w:pPr>
      <w:r w:rsidRPr="00D03CD7">
        <w:rPr>
          <w:rFonts w:ascii="Arial" w:hAnsi="Arial" w:cs="Arial"/>
        </w:rPr>
        <w:t>Year 2: 450–500 members, profit ~£30,000–£50,000</w:t>
      </w:r>
    </w:p>
    <w:p w14:paraId="3A124E9F" w14:textId="77777777" w:rsidR="00D03CD7" w:rsidRPr="00D03CD7" w:rsidRDefault="00D03CD7" w:rsidP="00D03CD7">
      <w:pPr>
        <w:numPr>
          <w:ilvl w:val="0"/>
          <w:numId w:val="16"/>
        </w:numPr>
        <w:rPr>
          <w:rFonts w:ascii="Arial" w:hAnsi="Arial" w:cs="Arial"/>
        </w:rPr>
      </w:pPr>
      <w:r w:rsidRPr="00D03CD7">
        <w:rPr>
          <w:rFonts w:ascii="Arial" w:hAnsi="Arial" w:cs="Arial"/>
        </w:rPr>
        <w:t>Year 3: 550–600 members, profit exceeds £100,000</w:t>
      </w:r>
    </w:p>
    <w:p w14:paraId="6B5EFCB4" w14:textId="77777777" w:rsidR="00D03CD7" w:rsidRPr="00D03CD7" w:rsidRDefault="00D03CD7" w:rsidP="00D03CD7">
      <w:pPr>
        <w:numPr>
          <w:ilvl w:val="0"/>
          <w:numId w:val="16"/>
        </w:numPr>
        <w:rPr>
          <w:rFonts w:ascii="Arial" w:hAnsi="Arial" w:cs="Arial"/>
        </w:rPr>
      </w:pPr>
      <w:r w:rsidRPr="00D03CD7">
        <w:rPr>
          <w:rFonts w:ascii="Arial" w:hAnsi="Arial" w:cs="Arial"/>
        </w:rPr>
        <w:t>Full investor return: Expected within 4 years under conservative growth assumptions</w:t>
      </w:r>
    </w:p>
    <w:p w14:paraId="44F7A0DF" w14:textId="77777777" w:rsidR="00C64093" w:rsidRDefault="00C64093" w:rsidP="00C86C0C">
      <w:pPr>
        <w:rPr>
          <w:rFonts w:ascii="Arial" w:hAnsi="Arial" w:cs="Arial"/>
          <w:b/>
          <w:bCs/>
        </w:rPr>
      </w:pPr>
    </w:p>
    <w:p w14:paraId="7A842817" w14:textId="77777777" w:rsidR="00C52445" w:rsidRDefault="00C52445" w:rsidP="00C86C0C">
      <w:pPr>
        <w:rPr>
          <w:rFonts w:ascii="Arial" w:hAnsi="Arial" w:cs="Arial"/>
          <w:b/>
          <w:bCs/>
        </w:rPr>
      </w:pPr>
    </w:p>
    <w:p w14:paraId="7B0CD055" w14:textId="77777777" w:rsidR="00C52445" w:rsidRDefault="00C52445" w:rsidP="00C86C0C">
      <w:pPr>
        <w:rPr>
          <w:rFonts w:ascii="Arial" w:hAnsi="Arial" w:cs="Arial"/>
          <w:b/>
          <w:bCs/>
        </w:rPr>
      </w:pPr>
    </w:p>
    <w:p w14:paraId="09A67E7A" w14:textId="77777777" w:rsidR="00C52445" w:rsidRDefault="00C52445" w:rsidP="00C86C0C">
      <w:pPr>
        <w:rPr>
          <w:rFonts w:ascii="Arial" w:hAnsi="Arial" w:cs="Arial"/>
          <w:b/>
          <w:bCs/>
        </w:rPr>
      </w:pPr>
    </w:p>
    <w:p w14:paraId="195E419C" w14:textId="77777777" w:rsidR="00C52445" w:rsidRDefault="00C52445" w:rsidP="00C86C0C">
      <w:pPr>
        <w:rPr>
          <w:rFonts w:ascii="Arial" w:hAnsi="Arial" w:cs="Arial"/>
          <w:b/>
          <w:bCs/>
        </w:rPr>
      </w:pPr>
    </w:p>
    <w:p w14:paraId="5500CF7F" w14:textId="77777777" w:rsidR="00C52445" w:rsidRDefault="00C52445" w:rsidP="00C86C0C">
      <w:pPr>
        <w:rPr>
          <w:rFonts w:ascii="Arial" w:hAnsi="Arial" w:cs="Arial"/>
          <w:b/>
          <w:bCs/>
        </w:rPr>
      </w:pPr>
    </w:p>
    <w:p w14:paraId="7C0F450B" w14:textId="77777777" w:rsidR="00C52445" w:rsidRDefault="00C52445" w:rsidP="00C86C0C">
      <w:pPr>
        <w:rPr>
          <w:rFonts w:ascii="Arial" w:hAnsi="Arial" w:cs="Arial"/>
          <w:b/>
          <w:bCs/>
        </w:rPr>
      </w:pPr>
    </w:p>
    <w:p w14:paraId="11D784FB" w14:textId="77777777" w:rsidR="00C52445" w:rsidRDefault="00C52445" w:rsidP="00C86C0C">
      <w:pPr>
        <w:rPr>
          <w:rFonts w:ascii="Arial" w:hAnsi="Arial" w:cs="Arial"/>
          <w:b/>
          <w:bCs/>
        </w:rPr>
      </w:pPr>
    </w:p>
    <w:p w14:paraId="7B3DC16A" w14:textId="41E68E8D" w:rsidR="00C86C0C" w:rsidRPr="00C86C0C" w:rsidRDefault="00C86C0C" w:rsidP="00C86C0C">
      <w:pPr>
        <w:rPr>
          <w:rFonts w:ascii="Arial" w:hAnsi="Arial" w:cs="Arial"/>
          <w:b/>
          <w:bCs/>
        </w:rPr>
      </w:pPr>
      <w:r w:rsidRPr="00C86C0C">
        <w:rPr>
          <w:rFonts w:ascii="Arial" w:hAnsi="Arial" w:cs="Arial"/>
          <w:b/>
          <w:bCs/>
        </w:rPr>
        <w:t>Harvard References</w:t>
      </w:r>
    </w:p>
    <w:p w14:paraId="33E3B208" w14:textId="77777777" w:rsidR="00C64CB6" w:rsidRPr="00C64CB6" w:rsidRDefault="00C64CB6" w:rsidP="00C64CB6">
      <w:pPr>
        <w:rPr>
          <w:rFonts w:ascii="Arial" w:hAnsi="Arial" w:cs="Arial"/>
        </w:rPr>
      </w:pPr>
      <w:r w:rsidRPr="00C64CB6">
        <w:rPr>
          <w:rFonts w:ascii="Arial" w:hAnsi="Arial" w:cs="Arial"/>
        </w:rPr>
        <w:t xml:space="preserve">Bank of England (2023) </w:t>
      </w:r>
      <w:r w:rsidRPr="00C64CB6">
        <w:rPr>
          <w:rFonts w:ascii="Arial" w:hAnsi="Arial" w:cs="Arial"/>
          <w:i/>
          <w:iCs/>
        </w:rPr>
        <w:t>Monetary Policy Report</w:t>
      </w:r>
      <w:r w:rsidRPr="00C64CB6">
        <w:rPr>
          <w:rFonts w:ascii="Arial" w:hAnsi="Arial" w:cs="Arial"/>
        </w:rPr>
        <w:t>. London: Bank of England.</w:t>
      </w:r>
    </w:p>
    <w:p w14:paraId="4131AAD5" w14:textId="77777777" w:rsidR="00C64CB6" w:rsidRPr="00C64CB6" w:rsidRDefault="00C64CB6" w:rsidP="00C64CB6">
      <w:pPr>
        <w:rPr>
          <w:rFonts w:ascii="Arial" w:hAnsi="Arial" w:cs="Arial"/>
        </w:rPr>
      </w:pPr>
      <w:r w:rsidRPr="00C64CB6">
        <w:rPr>
          <w:rFonts w:ascii="Arial" w:hAnsi="Arial" w:cs="Arial"/>
        </w:rPr>
        <w:t xml:space="preserve">Berry, L.L. (1983) ‘Relationship marketing’, in Berry, L.L., Shostack, G.L. and Upah, G.D. (eds.) </w:t>
      </w:r>
      <w:r w:rsidRPr="00C64CB6">
        <w:rPr>
          <w:rFonts w:ascii="Arial" w:hAnsi="Arial" w:cs="Arial"/>
          <w:i/>
          <w:iCs/>
        </w:rPr>
        <w:t>Emerging Perspectives on Services Marketing</w:t>
      </w:r>
      <w:r w:rsidRPr="00C64CB6">
        <w:rPr>
          <w:rFonts w:ascii="Arial" w:hAnsi="Arial" w:cs="Arial"/>
        </w:rPr>
        <w:t>. Chicago: American Marketing Association.</w:t>
      </w:r>
    </w:p>
    <w:p w14:paraId="297383A0" w14:textId="77777777" w:rsidR="00C64CB6" w:rsidRPr="00C64CB6" w:rsidRDefault="00C64CB6" w:rsidP="00C64CB6">
      <w:pPr>
        <w:rPr>
          <w:rFonts w:ascii="Arial" w:hAnsi="Arial" w:cs="Arial"/>
        </w:rPr>
      </w:pPr>
      <w:r w:rsidRPr="00C64CB6">
        <w:rPr>
          <w:rFonts w:ascii="Arial" w:hAnsi="Arial" w:cs="Arial"/>
        </w:rPr>
        <w:t xml:space="preserve">British Franchise Association (2022) </w:t>
      </w:r>
      <w:r w:rsidRPr="00C64CB6">
        <w:rPr>
          <w:rFonts w:ascii="Arial" w:hAnsi="Arial" w:cs="Arial"/>
          <w:i/>
          <w:iCs/>
        </w:rPr>
        <w:t>What is franchising?</w:t>
      </w:r>
      <w:r w:rsidRPr="00C64CB6">
        <w:rPr>
          <w:rFonts w:ascii="Arial" w:hAnsi="Arial" w:cs="Arial"/>
        </w:rPr>
        <w:t xml:space="preserve"> London: BFA.</w:t>
      </w:r>
    </w:p>
    <w:p w14:paraId="4F8D4739" w14:textId="77777777" w:rsidR="00C64CB6" w:rsidRPr="00C64CB6" w:rsidRDefault="00C64CB6" w:rsidP="00C64CB6">
      <w:pPr>
        <w:rPr>
          <w:rFonts w:ascii="Arial" w:hAnsi="Arial" w:cs="Arial"/>
        </w:rPr>
      </w:pPr>
      <w:r w:rsidRPr="00C64CB6">
        <w:rPr>
          <w:rFonts w:ascii="Arial" w:hAnsi="Arial" w:cs="Arial"/>
        </w:rPr>
        <w:t xml:space="preserve">Department of Health &amp; Social Care (2020) </w:t>
      </w:r>
      <w:r w:rsidRPr="00C64CB6">
        <w:rPr>
          <w:rFonts w:ascii="Arial" w:hAnsi="Arial" w:cs="Arial"/>
          <w:i/>
          <w:iCs/>
        </w:rPr>
        <w:t>Tackling obesity strategy</w:t>
      </w:r>
      <w:r w:rsidRPr="00C64CB6">
        <w:rPr>
          <w:rFonts w:ascii="Arial" w:hAnsi="Arial" w:cs="Arial"/>
        </w:rPr>
        <w:t>. London: HM Government.</w:t>
      </w:r>
    </w:p>
    <w:p w14:paraId="79F23516" w14:textId="77777777" w:rsidR="00C64CB6" w:rsidRPr="00C64CB6" w:rsidRDefault="00C64CB6" w:rsidP="00C64CB6">
      <w:pPr>
        <w:rPr>
          <w:rFonts w:ascii="Arial" w:hAnsi="Arial" w:cs="Arial"/>
        </w:rPr>
      </w:pPr>
      <w:r w:rsidRPr="00C64CB6">
        <w:rPr>
          <w:rFonts w:ascii="Arial" w:hAnsi="Arial" w:cs="Arial"/>
        </w:rPr>
        <w:t xml:space="preserve">GOV.UK (2023a) </w:t>
      </w:r>
      <w:r w:rsidRPr="00C64CB6">
        <w:rPr>
          <w:rFonts w:ascii="Arial" w:hAnsi="Arial" w:cs="Arial"/>
          <w:i/>
          <w:iCs/>
        </w:rPr>
        <w:t>Set up as a sole trader</w:t>
      </w:r>
      <w:r w:rsidRPr="00C64CB6">
        <w:rPr>
          <w:rFonts w:ascii="Arial" w:hAnsi="Arial" w:cs="Arial"/>
        </w:rPr>
        <w:t>. London: HM Government.</w:t>
      </w:r>
    </w:p>
    <w:p w14:paraId="5BEB95F6" w14:textId="77777777" w:rsidR="00C64CB6" w:rsidRPr="00C64CB6" w:rsidRDefault="00C64CB6" w:rsidP="00C64CB6">
      <w:pPr>
        <w:rPr>
          <w:rFonts w:ascii="Arial" w:hAnsi="Arial" w:cs="Arial"/>
        </w:rPr>
      </w:pPr>
      <w:r w:rsidRPr="00C64CB6">
        <w:rPr>
          <w:rFonts w:ascii="Arial" w:hAnsi="Arial" w:cs="Arial"/>
        </w:rPr>
        <w:t xml:space="preserve">GOV.UK (2023b) </w:t>
      </w:r>
      <w:r w:rsidRPr="00C64CB6">
        <w:rPr>
          <w:rFonts w:ascii="Arial" w:hAnsi="Arial" w:cs="Arial"/>
          <w:i/>
          <w:iCs/>
        </w:rPr>
        <w:t>Partnerships: responsibilities</w:t>
      </w:r>
      <w:r w:rsidRPr="00C64CB6">
        <w:rPr>
          <w:rFonts w:ascii="Arial" w:hAnsi="Arial" w:cs="Arial"/>
        </w:rPr>
        <w:t>. London: HM Government.</w:t>
      </w:r>
    </w:p>
    <w:p w14:paraId="77E4D9B4" w14:textId="77777777" w:rsidR="00C64CB6" w:rsidRPr="00C64CB6" w:rsidRDefault="00C64CB6" w:rsidP="00C64CB6">
      <w:pPr>
        <w:rPr>
          <w:rFonts w:ascii="Arial" w:hAnsi="Arial" w:cs="Arial"/>
        </w:rPr>
      </w:pPr>
      <w:r w:rsidRPr="00C64CB6">
        <w:rPr>
          <w:rFonts w:ascii="Arial" w:hAnsi="Arial" w:cs="Arial"/>
        </w:rPr>
        <w:t xml:space="preserve">GOV.UK (2023c) </w:t>
      </w:r>
      <w:r w:rsidRPr="00C64CB6">
        <w:rPr>
          <w:rFonts w:ascii="Arial" w:hAnsi="Arial" w:cs="Arial"/>
          <w:i/>
          <w:iCs/>
        </w:rPr>
        <w:t>Set up a private limited company</w:t>
      </w:r>
      <w:r w:rsidRPr="00C64CB6">
        <w:rPr>
          <w:rFonts w:ascii="Arial" w:hAnsi="Arial" w:cs="Arial"/>
        </w:rPr>
        <w:t>. London: HM Government.</w:t>
      </w:r>
    </w:p>
    <w:p w14:paraId="2180B857" w14:textId="77777777" w:rsidR="00C64CB6" w:rsidRPr="00C64CB6" w:rsidRDefault="00C64CB6" w:rsidP="00C64CB6">
      <w:pPr>
        <w:rPr>
          <w:rFonts w:ascii="Arial" w:hAnsi="Arial" w:cs="Arial"/>
        </w:rPr>
      </w:pPr>
      <w:r w:rsidRPr="00C64CB6">
        <w:rPr>
          <w:rFonts w:ascii="Arial" w:hAnsi="Arial" w:cs="Arial"/>
        </w:rPr>
        <w:t xml:space="preserve">Grönroos, C. (1994) ‘From marketing mix to relationship marketing: Towards a paradigm shift in marketing’, </w:t>
      </w:r>
      <w:r w:rsidRPr="00C64CB6">
        <w:rPr>
          <w:rFonts w:ascii="Arial" w:hAnsi="Arial" w:cs="Arial"/>
          <w:i/>
          <w:iCs/>
        </w:rPr>
        <w:t>Management Decision</w:t>
      </w:r>
      <w:r w:rsidRPr="00C64CB6">
        <w:rPr>
          <w:rFonts w:ascii="Arial" w:hAnsi="Arial" w:cs="Arial"/>
        </w:rPr>
        <w:t>, 32(2), pp. 4–20.</w:t>
      </w:r>
    </w:p>
    <w:p w14:paraId="622CB573" w14:textId="77777777" w:rsidR="00C64CB6" w:rsidRPr="00C64CB6" w:rsidRDefault="00C64CB6" w:rsidP="00C64CB6">
      <w:pPr>
        <w:rPr>
          <w:rFonts w:ascii="Arial" w:hAnsi="Arial" w:cs="Arial"/>
        </w:rPr>
      </w:pPr>
      <w:r w:rsidRPr="00C64CB6">
        <w:rPr>
          <w:rFonts w:ascii="Arial" w:hAnsi="Arial" w:cs="Arial"/>
        </w:rPr>
        <w:t xml:space="preserve">Health and Safety Executive (1974) </w:t>
      </w:r>
      <w:r w:rsidRPr="00C64CB6">
        <w:rPr>
          <w:rFonts w:ascii="Arial" w:hAnsi="Arial" w:cs="Arial"/>
          <w:i/>
          <w:iCs/>
        </w:rPr>
        <w:t>Health and Safety at Work etc. Act 1974</w:t>
      </w:r>
      <w:r w:rsidRPr="00C64CB6">
        <w:rPr>
          <w:rFonts w:ascii="Arial" w:hAnsi="Arial" w:cs="Arial"/>
        </w:rPr>
        <w:t>. London: HSE.</w:t>
      </w:r>
    </w:p>
    <w:p w14:paraId="6839E06E" w14:textId="77777777" w:rsidR="00C64CB6" w:rsidRPr="00C64CB6" w:rsidRDefault="00C64CB6" w:rsidP="00C64CB6">
      <w:pPr>
        <w:rPr>
          <w:rFonts w:ascii="Arial" w:hAnsi="Arial" w:cs="Arial"/>
        </w:rPr>
      </w:pPr>
      <w:r w:rsidRPr="00C64CB6">
        <w:rPr>
          <w:rFonts w:ascii="Arial" w:hAnsi="Arial" w:cs="Arial"/>
        </w:rPr>
        <w:t xml:space="preserve">Information Commissioner’s Office (2023) </w:t>
      </w:r>
      <w:r w:rsidRPr="00C64CB6">
        <w:rPr>
          <w:rFonts w:ascii="Arial" w:hAnsi="Arial" w:cs="Arial"/>
          <w:i/>
          <w:iCs/>
        </w:rPr>
        <w:t>Guide to UK GDPR</w:t>
      </w:r>
      <w:r w:rsidRPr="00C64CB6">
        <w:rPr>
          <w:rFonts w:ascii="Arial" w:hAnsi="Arial" w:cs="Arial"/>
        </w:rPr>
        <w:t>. Wilmslow: ICO.</w:t>
      </w:r>
    </w:p>
    <w:p w14:paraId="0F63CC22" w14:textId="77777777" w:rsidR="00C64CB6" w:rsidRPr="00C64CB6" w:rsidRDefault="00C64CB6" w:rsidP="00C64CB6">
      <w:pPr>
        <w:rPr>
          <w:rFonts w:ascii="Arial" w:hAnsi="Arial" w:cs="Arial"/>
        </w:rPr>
      </w:pPr>
      <w:r w:rsidRPr="00C64CB6">
        <w:rPr>
          <w:rFonts w:ascii="Arial" w:hAnsi="Arial" w:cs="Arial"/>
        </w:rPr>
        <w:t xml:space="preserve">Kotler, P. and Keller, K.L. (2016) </w:t>
      </w:r>
      <w:r w:rsidRPr="00C64CB6">
        <w:rPr>
          <w:rFonts w:ascii="Arial" w:hAnsi="Arial" w:cs="Arial"/>
          <w:i/>
          <w:iCs/>
        </w:rPr>
        <w:t>Marketing Management</w:t>
      </w:r>
      <w:r w:rsidRPr="00C64CB6">
        <w:rPr>
          <w:rFonts w:ascii="Arial" w:hAnsi="Arial" w:cs="Arial"/>
        </w:rPr>
        <w:t>. 15th edn. Harlow: Pearson.</w:t>
      </w:r>
    </w:p>
    <w:p w14:paraId="029AE49C" w14:textId="77777777" w:rsidR="00C64CB6" w:rsidRPr="00C64CB6" w:rsidRDefault="00C64CB6" w:rsidP="00C64CB6">
      <w:pPr>
        <w:rPr>
          <w:rFonts w:ascii="Arial" w:hAnsi="Arial" w:cs="Arial"/>
        </w:rPr>
      </w:pPr>
      <w:r w:rsidRPr="00C64CB6">
        <w:rPr>
          <w:rFonts w:ascii="Arial" w:hAnsi="Arial" w:cs="Arial"/>
        </w:rPr>
        <w:t xml:space="preserve">Leicester City Council (2023) </w:t>
      </w:r>
      <w:r w:rsidRPr="00C64CB6">
        <w:rPr>
          <w:rFonts w:ascii="Arial" w:hAnsi="Arial" w:cs="Arial"/>
          <w:i/>
          <w:iCs/>
        </w:rPr>
        <w:t>Business rates guidance</w:t>
      </w:r>
      <w:r w:rsidRPr="00C64CB6">
        <w:rPr>
          <w:rFonts w:ascii="Arial" w:hAnsi="Arial" w:cs="Arial"/>
        </w:rPr>
        <w:t>. Leicester: LCC.</w:t>
      </w:r>
    </w:p>
    <w:p w14:paraId="0B40E741" w14:textId="77777777" w:rsidR="00C64CB6" w:rsidRPr="00C64CB6" w:rsidRDefault="00C64CB6" w:rsidP="00C64CB6">
      <w:pPr>
        <w:rPr>
          <w:rFonts w:ascii="Arial" w:hAnsi="Arial" w:cs="Arial"/>
        </w:rPr>
      </w:pPr>
      <w:r w:rsidRPr="00C64CB6">
        <w:rPr>
          <w:rFonts w:ascii="Arial" w:hAnsi="Arial" w:cs="Arial"/>
        </w:rPr>
        <w:t xml:space="preserve">Leisure DB (2023) </w:t>
      </w:r>
      <w:r w:rsidRPr="00C64CB6">
        <w:rPr>
          <w:rFonts w:ascii="Arial" w:hAnsi="Arial" w:cs="Arial"/>
          <w:i/>
          <w:iCs/>
        </w:rPr>
        <w:t>State of the UK Fitness Industry Report 2023</w:t>
      </w:r>
      <w:r w:rsidRPr="00C64CB6">
        <w:rPr>
          <w:rFonts w:ascii="Arial" w:hAnsi="Arial" w:cs="Arial"/>
        </w:rPr>
        <w:t>. London: Leisure DB.</w:t>
      </w:r>
    </w:p>
    <w:p w14:paraId="53F44D08" w14:textId="77777777" w:rsidR="00C64CB6" w:rsidRPr="00C64CB6" w:rsidRDefault="00C64CB6" w:rsidP="00C64CB6">
      <w:pPr>
        <w:rPr>
          <w:rFonts w:ascii="Arial" w:hAnsi="Arial" w:cs="Arial"/>
        </w:rPr>
      </w:pPr>
      <w:r w:rsidRPr="00C64CB6">
        <w:rPr>
          <w:rFonts w:ascii="Arial" w:hAnsi="Arial" w:cs="Arial"/>
        </w:rPr>
        <w:t xml:space="preserve">Levitt, T. (1980) ‘Marketing success through differentiation—of anything’, </w:t>
      </w:r>
      <w:r w:rsidRPr="00C64CB6">
        <w:rPr>
          <w:rFonts w:ascii="Arial" w:hAnsi="Arial" w:cs="Arial"/>
          <w:i/>
          <w:iCs/>
        </w:rPr>
        <w:t>Harvard Business Review</w:t>
      </w:r>
      <w:r w:rsidRPr="00C64CB6">
        <w:rPr>
          <w:rFonts w:ascii="Arial" w:hAnsi="Arial" w:cs="Arial"/>
        </w:rPr>
        <w:t>, 58(1), pp. 83–91.</w:t>
      </w:r>
    </w:p>
    <w:p w14:paraId="5E3C0104" w14:textId="77777777" w:rsidR="00C64CB6" w:rsidRPr="00C64CB6" w:rsidRDefault="00C64CB6" w:rsidP="00C64CB6">
      <w:pPr>
        <w:rPr>
          <w:rFonts w:ascii="Arial" w:hAnsi="Arial" w:cs="Arial"/>
        </w:rPr>
      </w:pPr>
      <w:r w:rsidRPr="00C64CB6">
        <w:rPr>
          <w:rFonts w:ascii="Arial" w:hAnsi="Arial" w:cs="Arial"/>
        </w:rPr>
        <w:t xml:space="preserve">Monroe, K.B. (2003) </w:t>
      </w:r>
      <w:r w:rsidRPr="00C64CB6">
        <w:rPr>
          <w:rFonts w:ascii="Arial" w:hAnsi="Arial" w:cs="Arial"/>
          <w:i/>
          <w:iCs/>
        </w:rPr>
        <w:t>Pricing: Making Profitable Decisions</w:t>
      </w:r>
      <w:r w:rsidRPr="00C64CB6">
        <w:rPr>
          <w:rFonts w:ascii="Arial" w:hAnsi="Arial" w:cs="Arial"/>
        </w:rPr>
        <w:t>. 3rd edn. New York: McGraw-Hill.</w:t>
      </w:r>
    </w:p>
    <w:p w14:paraId="3EFFCE32" w14:textId="77777777" w:rsidR="00C64CB6" w:rsidRPr="00C64CB6" w:rsidRDefault="00C64CB6" w:rsidP="00C64CB6">
      <w:pPr>
        <w:rPr>
          <w:rFonts w:ascii="Arial" w:hAnsi="Arial" w:cs="Arial"/>
        </w:rPr>
      </w:pPr>
      <w:r w:rsidRPr="00C64CB6">
        <w:rPr>
          <w:rFonts w:ascii="Arial" w:hAnsi="Arial" w:cs="Arial"/>
        </w:rPr>
        <w:t xml:space="preserve">NHS Digital (2022) </w:t>
      </w:r>
      <w:r w:rsidRPr="00C64CB6">
        <w:rPr>
          <w:rFonts w:ascii="Arial" w:hAnsi="Arial" w:cs="Arial"/>
          <w:i/>
          <w:iCs/>
        </w:rPr>
        <w:t>Health Survey for England</w:t>
      </w:r>
      <w:r w:rsidRPr="00C64CB6">
        <w:rPr>
          <w:rFonts w:ascii="Arial" w:hAnsi="Arial" w:cs="Arial"/>
        </w:rPr>
        <w:t>. London: NHS.</w:t>
      </w:r>
    </w:p>
    <w:p w14:paraId="76962289" w14:textId="77777777" w:rsidR="00C64CB6" w:rsidRPr="00C64CB6" w:rsidRDefault="00C64CB6" w:rsidP="00C64CB6">
      <w:pPr>
        <w:rPr>
          <w:rFonts w:ascii="Arial" w:hAnsi="Arial" w:cs="Arial"/>
        </w:rPr>
      </w:pPr>
      <w:r w:rsidRPr="00C64CB6">
        <w:rPr>
          <w:rFonts w:ascii="Arial" w:hAnsi="Arial" w:cs="Arial"/>
        </w:rPr>
        <w:t xml:space="preserve">OECD (2019) </w:t>
      </w:r>
      <w:r w:rsidRPr="00C64CB6">
        <w:rPr>
          <w:rFonts w:ascii="Arial" w:hAnsi="Arial" w:cs="Arial"/>
          <w:i/>
          <w:iCs/>
        </w:rPr>
        <w:t>Digital Economy Outlook</w:t>
      </w:r>
      <w:r w:rsidRPr="00C64CB6">
        <w:rPr>
          <w:rFonts w:ascii="Arial" w:hAnsi="Arial" w:cs="Arial"/>
        </w:rPr>
        <w:t>. Paris: OECD.</w:t>
      </w:r>
    </w:p>
    <w:p w14:paraId="78B7E1D2" w14:textId="77777777" w:rsidR="00C64CB6" w:rsidRPr="00C64CB6" w:rsidRDefault="00C64CB6" w:rsidP="00C64CB6">
      <w:pPr>
        <w:rPr>
          <w:rFonts w:ascii="Arial" w:hAnsi="Arial" w:cs="Arial"/>
        </w:rPr>
      </w:pPr>
      <w:r w:rsidRPr="00C64CB6">
        <w:rPr>
          <w:rFonts w:ascii="Arial" w:hAnsi="Arial" w:cs="Arial"/>
        </w:rPr>
        <w:t xml:space="preserve">Office for National Statistics (2023) </w:t>
      </w:r>
      <w:r w:rsidRPr="00C64CB6">
        <w:rPr>
          <w:rFonts w:ascii="Arial" w:hAnsi="Arial" w:cs="Arial"/>
          <w:i/>
          <w:iCs/>
        </w:rPr>
        <w:t>Consumer price inflation</w:t>
      </w:r>
      <w:r w:rsidRPr="00C64CB6">
        <w:rPr>
          <w:rFonts w:ascii="Arial" w:hAnsi="Arial" w:cs="Arial"/>
        </w:rPr>
        <w:t>. London: ONS.</w:t>
      </w:r>
    </w:p>
    <w:p w14:paraId="415F1F76" w14:textId="77777777" w:rsidR="00C64CB6" w:rsidRPr="00C64CB6" w:rsidRDefault="00C64CB6" w:rsidP="00C64CB6">
      <w:pPr>
        <w:rPr>
          <w:rFonts w:ascii="Arial" w:hAnsi="Arial" w:cs="Arial"/>
        </w:rPr>
      </w:pPr>
      <w:r w:rsidRPr="00C64CB6">
        <w:rPr>
          <w:rFonts w:ascii="Arial" w:hAnsi="Arial" w:cs="Arial"/>
        </w:rPr>
        <w:t xml:space="preserve">Parasuraman, A., Zeithaml, V.A. and Berry, L.L. (1988) ‘SERVQUAL: A multiple-item scale for measuring consumer perceptions of service quality’, </w:t>
      </w:r>
      <w:r w:rsidRPr="00C64CB6">
        <w:rPr>
          <w:rFonts w:ascii="Arial" w:hAnsi="Arial" w:cs="Arial"/>
          <w:i/>
          <w:iCs/>
        </w:rPr>
        <w:t>Journal of Retailing</w:t>
      </w:r>
      <w:r w:rsidRPr="00C64CB6">
        <w:rPr>
          <w:rFonts w:ascii="Arial" w:hAnsi="Arial" w:cs="Arial"/>
        </w:rPr>
        <w:t>, 64(1), pp. 12–40.</w:t>
      </w:r>
    </w:p>
    <w:p w14:paraId="7946DA8A" w14:textId="77777777" w:rsidR="00C64CB6" w:rsidRPr="00C64CB6" w:rsidRDefault="00C64CB6" w:rsidP="00C64CB6">
      <w:pPr>
        <w:rPr>
          <w:rFonts w:ascii="Arial" w:hAnsi="Arial" w:cs="Arial"/>
        </w:rPr>
      </w:pPr>
      <w:r w:rsidRPr="00C64CB6">
        <w:rPr>
          <w:rFonts w:ascii="Arial" w:hAnsi="Arial" w:cs="Arial"/>
        </w:rPr>
        <w:t xml:space="preserve">Reichheld, F.F. and Sasser, W.E. (1990) ‘Zero defections: Quality comes to services’, </w:t>
      </w:r>
      <w:r w:rsidRPr="00C64CB6">
        <w:rPr>
          <w:rFonts w:ascii="Arial" w:hAnsi="Arial" w:cs="Arial"/>
          <w:i/>
          <w:iCs/>
        </w:rPr>
        <w:t>Harvard Business Review</w:t>
      </w:r>
      <w:r w:rsidRPr="00C64CB6">
        <w:rPr>
          <w:rFonts w:ascii="Arial" w:hAnsi="Arial" w:cs="Arial"/>
        </w:rPr>
        <w:t>, 68(5), pp. 105–111.</w:t>
      </w:r>
    </w:p>
    <w:p w14:paraId="2E3AD6D2" w14:textId="77777777" w:rsidR="00C64CB6" w:rsidRPr="00C64CB6" w:rsidRDefault="00C64CB6" w:rsidP="00C64CB6">
      <w:pPr>
        <w:rPr>
          <w:rFonts w:ascii="Arial" w:hAnsi="Arial" w:cs="Arial"/>
        </w:rPr>
      </w:pPr>
      <w:r w:rsidRPr="00C64CB6">
        <w:rPr>
          <w:rFonts w:ascii="Arial" w:hAnsi="Arial" w:cs="Arial"/>
        </w:rPr>
        <w:t xml:space="preserve">Social Enterprise UK (2022) </w:t>
      </w:r>
      <w:r w:rsidRPr="00C64CB6">
        <w:rPr>
          <w:rFonts w:ascii="Arial" w:hAnsi="Arial" w:cs="Arial"/>
          <w:i/>
          <w:iCs/>
        </w:rPr>
        <w:t>What is a social enterprise?</w:t>
      </w:r>
      <w:r w:rsidRPr="00C64CB6">
        <w:rPr>
          <w:rFonts w:ascii="Arial" w:hAnsi="Arial" w:cs="Arial"/>
        </w:rPr>
        <w:t xml:space="preserve"> London: SEUK.</w:t>
      </w:r>
    </w:p>
    <w:p w14:paraId="22500557" w14:textId="77777777" w:rsidR="00C64CB6" w:rsidRPr="00C64CB6" w:rsidRDefault="00C64CB6" w:rsidP="00C64CB6">
      <w:pPr>
        <w:rPr>
          <w:rFonts w:ascii="Arial" w:hAnsi="Arial" w:cs="Arial"/>
        </w:rPr>
      </w:pPr>
      <w:r w:rsidRPr="00C64CB6">
        <w:rPr>
          <w:rFonts w:ascii="Arial" w:hAnsi="Arial" w:cs="Arial"/>
        </w:rPr>
        <w:t xml:space="preserve">Statista (2023) </w:t>
      </w:r>
      <w:r w:rsidRPr="00C64CB6">
        <w:rPr>
          <w:rFonts w:ascii="Arial" w:hAnsi="Arial" w:cs="Arial"/>
          <w:i/>
          <w:iCs/>
        </w:rPr>
        <w:t>Wearable technology market UK</w:t>
      </w:r>
      <w:r w:rsidRPr="00C64CB6">
        <w:rPr>
          <w:rFonts w:ascii="Arial" w:hAnsi="Arial" w:cs="Arial"/>
        </w:rPr>
        <w:t>. Hamburg: Statista.</w:t>
      </w:r>
    </w:p>
    <w:p w14:paraId="72E9A648" w14:textId="77777777" w:rsidR="00C64CB6" w:rsidRPr="00C64CB6" w:rsidRDefault="00C64CB6" w:rsidP="00C64CB6">
      <w:pPr>
        <w:rPr>
          <w:rFonts w:ascii="Arial" w:hAnsi="Arial" w:cs="Arial"/>
        </w:rPr>
      </w:pPr>
      <w:r w:rsidRPr="00C64CB6">
        <w:rPr>
          <w:rFonts w:ascii="Arial" w:hAnsi="Arial" w:cs="Arial"/>
        </w:rPr>
        <w:t xml:space="preserve">UK Government (2019) </w:t>
      </w:r>
      <w:r w:rsidRPr="00C64CB6">
        <w:rPr>
          <w:rFonts w:ascii="Arial" w:hAnsi="Arial" w:cs="Arial"/>
          <w:i/>
          <w:iCs/>
        </w:rPr>
        <w:t>Net Zero Strategy: Build Back Greener</w:t>
      </w:r>
      <w:r w:rsidRPr="00C64CB6">
        <w:rPr>
          <w:rFonts w:ascii="Arial" w:hAnsi="Arial" w:cs="Arial"/>
        </w:rPr>
        <w:t>. London: HM Government.</w:t>
      </w:r>
    </w:p>
    <w:p w14:paraId="089D0388" w14:textId="77777777" w:rsidR="00C64CB6" w:rsidRPr="00C64CB6" w:rsidRDefault="00C64CB6" w:rsidP="00C64CB6">
      <w:pPr>
        <w:rPr>
          <w:rFonts w:ascii="Arial" w:hAnsi="Arial" w:cs="Arial"/>
        </w:rPr>
      </w:pPr>
      <w:r w:rsidRPr="00C64CB6">
        <w:rPr>
          <w:rFonts w:ascii="Arial" w:hAnsi="Arial" w:cs="Arial"/>
        </w:rPr>
        <w:t xml:space="preserve">Vargo, S.L. and Lusch, R.F. (2004) ‘Evolving to a new dominant logic for marketing’, </w:t>
      </w:r>
      <w:r w:rsidRPr="00C64CB6">
        <w:rPr>
          <w:rFonts w:ascii="Arial" w:hAnsi="Arial" w:cs="Arial"/>
          <w:i/>
          <w:iCs/>
        </w:rPr>
        <w:t>Journal of Marketing</w:t>
      </w:r>
      <w:r w:rsidRPr="00C64CB6">
        <w:rPr>
          <w:rFonts w:ascii="Arial" w:hAnsi="Arial" w:cs="Arial"/>
        </w:rPr>
        <w:t>, 68(1), pp. 1–17.</w:t>
      </w:r>
    </w:p>
    <w:p w14:paraId="474A2120" w14:textId="77777777" w:rsidR="007820D4" w:rsidRPr="00C64CB6" w:rsidRDefault="007820D4" w:rsidP="00C64093">
      <w:pPr>
        <w:rPr>
          <w:rFonts w:ascii="Arial" w:hAnsi="Arial" w:cs="Arial"/>
        </w:rPr>
      </w:pPr>
    </w:p>
    <w:sectPr w:rsidR="007820D4" w:rsidRPr="00C64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08DF"/>
    <w:multiLevelType w:val="hybridMultilevel"/>
    <w:tmpl w:val="2182D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31813"/>
    <w:multiLevelType w:val="multilevel"/>
    <w:tmpl w:val="72DA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03130"/>
    <w:multiLevelType w:val="multilevel"/>
    <w:tmpl w:val="81FE8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31F0B"/>
    <w:multiLevelType w:val="multilevel"/>
    <w:tmpl w:val="67140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C5D41"/>
    <w:multiLevelType w:val="hybridMultilevel"/>
    <w:tmpl w:val="C7B025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C5026C"/>
    <w:multiLevelType w:val="multilevel"/>
    <w:tmpl w:val="3EC6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A35A01"/>
    <w:multiLevelType w:val="hybridMultilevel"/>
    <w:tmpl w:val="3FFAE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663302"/>
    <w:multiLevelType w:val="hybridMultilevel"/>
    <w:tmpl w:val="609E2A56"/>
    <w:lvl w:ilvl="0" w:tplc="509E25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9A1F33"/>
    <w:multiLevelType w:val="multilevel"/>
    <w:tmpl w:val="62B4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1C06A9"/>
    <w:multiLevelType w:val="multilevel"/>
    <w:tmpl w:val="5F4EA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8E3929"/>
    <w:multiLevelType w:val="multilevel"/>
    <w:tmpl w:val="311A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50456E"/>
    <w:multiLevelType w:val="hybridMultilevel"/>
    <w:tmpl w:val="58F64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542F9B"/>
    <w:multiLevelType w:val="multilevel"/>
    <w:tmpl w:val="31644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E40061"/>
    <w:multiLevelType w:val="multilevel"/>
    <w:tmpl w:val="60D8C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235841"/>
    <w:multiLevelType w:val="multilevel"/>
    <w:tmpl w:val="08DE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242C51"/>
    <w:multiLevelType w:val="hybridMultilevel"/>
    <w:tmpl w:val="FA508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348962">
    <w:abstractNumId w:val="10"/>
  </w:num>
  <w:num w:numId="2" w16cid:durableId="351495771">
    <w:abstractNumId w:val="0"/>
  </w:num>
  <w:num w:numId="3" w16cid:durableId="1466001861">
    <w:abstractNumId w:val="15"/>
  </w:num>
  <w:num w:numId="4" w16cid:durableId="434642512">
    <w:abstractNumId w:val="11"/>
  </w:num>
  <w:num w:numId="5" w16cid:durableId="2146501735">
    <w:abstractNumId w:val="4"/>
  </w:num>
  <w:num w:numId="6" w16cid:durableId="1159494154">
    <w:abstractNumId w:val="6"/>
  </w:num>
  <w:num w:numId="7" w16cid:durableId="2087065802">
    <w:abstractNumId w:val="7"/>
  </w:num>
  <w:num w:numId="8" w16cid:durableId="1826318794">
    <w:abstractNumId w:val="13"/>
  </w:num>
  <w:num w:numId="9" w16cid:durableId="676271297">
    <w:abstractNumId w:val="9"/>
  </w:num>
  <w:num w:numId="10" w16cid:durableId="307127002">
    <w:abstractNumId w:val="14"/>
  </w:num>
  <w:num w:numId="11" w16cid:durableId="185022031">
    <w:abstractNumId w:val="1"/>
  </w:num>
  <w:num w:numId="12" w16cid:durableId="1181359264">
    <w:abstractNumId w:val="8"/>
  </w:num>
  <w:num w:numId="13" w16cid:durableId="1664704028">
    <w:abstractNumId w:val="12"/>
  </w:num>
  <w:num w:numId="14" w16cid:durableId="1121068324">
    <w:abstractNumId w:val="3"/>
  </w:num>
  <w:num w:numId="15" w16cid:durableId="1403257972">
    <w:abstractNumId w:val="5"/>
  </w:num>
  <w:num w:numId="16" w16cid:durableId="1438060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C0C"/>
    <w:rsid w:val="0059423A"/>
    <w:rsid w:val="00706C5A"/>
    <w:rsid w:val="007820D4"/>
    <w:rsid w:val="0088214C"/>
    <w:rsid w:val="00C52445"/>
    <w:rsid w:val="00C64093"/>
    <w:rsid w:val="00C64CB6"/>
    <w:rsid w:val="00C86C0C"/>
    <w:rsid w:val="00D03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ED82E"/>
  <w15:chartTrackingRefBased/>
  <w15:docId w15:val="{610651E0-3E33-48F4-8874-8F1D5625C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6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6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6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6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C0C"/>
    <w:rPr>
      <w:rFonts w:eastAsiaTheme="majorEastAsia" w:cstheme="majorBidi"/>
      <w:color w:val="272727" w:themeColor="text1" w:themeTint="D8"/>
    </w:rPr>
  </w:style>
  <w:style w:type="paragraph" w:styleId="Title">
    <w:name w:val="Title"/>
    <w:basedOn w:val="Normal"/>
    <w:next w:val="Normal"/>
    <w:link w:val="TitleChar"/>
    <w:uiPriority w:val="10"/>
    <w:qFormat/>
    <w:rsid w:val="00C86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C0C"/>
    <w:pPr>
      <w:spacing w:before="160"/>
      <w:jc w:val="center"/>
    </w:pPr>
    <w:rPr>
      <w:i/>
      <w:iCs/>
      <w:color w:val="404040" w:themeColor="text1" w:themeTint="BF"/>
    </w:rPr>
  </w:style>
  <w:style w:type="character" w:customStyle="1" w:styleId="QuoteChar">
    <w:name w:val="Quote Char"/>
    <w:basedOn w:val="DefaultParagraphFont"/>
    <w:link w:val="Quote"/>
    <w:uiPriority w:val="29"/>
    <w:rsid w:val="00C86C0C"/>
    <w:rPr>
      <w:i/>
      <w:iCs/>
      <w:color w:val="404040" w:themeColor="text1" w:themeTint="BF"/>
    </w:rPr>
  </w:style>
  <w:style w:type="paragraph" w:styleId="ListParagraph">
    <w:name w:val="List Paragraph"/>
    <w:basedOn w:val="Normal"/>
    <w:uiPriority w:val="34"/>
    <w:qFormat/>
    <w:rsid w:val="00C86C0C"/>
    <w:pPr>
      <w:ind w:left="720"/>
      <w:contextualSpacing/>
    </w:pPr>
  </w:style>
  <w:style w:type="character" w:styleId="IntenseEmphasis">
    <w:name w:val="Intense Emphasis"/>
    <w:basedOn w:val="DefaultParagraphFont"/>
    <w:uiPriority w:val="21"/>
    <w:qFormat/>
    <w:rsid w:val="00C86C0C"/>
    <w:rPr>
      <w:i/>
      <w:iCs/>
      <w:color w:val="0F4761" w:themeColor="accent1" w:themeShade="BF"/>
    </w:rPr>
  </w:style>
  <w:style w:type="paragraph" w:styleId="IntenseQuote">
    <w:name w:val="Intense Quote"/>
    <w:basedOn w:val="Normal"/>
    <w:next w:val="Normal"/>
    <w:link w:val="IntenseQuoteChar"/>
    <w:uiPriority w:val="30"/>
    <w:qFormat/>
    <w:rsid w:val="00C86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C0C"/>
    <w:rPr>
      <w:i/>
      <w:iCs/>
      <w:color w:val="0F4761" w:themeColor="accent1" w:themeShade="BF"/>
    </w:rPr>
  </w:style>
  <w:style w:type="character" w:styleId="IntenseReference">
    <w:name w:val="Intense Reference"/>
    <w:basedOn w:val="DefaultParagraphFont"/>
    <w:uiPriority w:val="32"/>
    <w:qFormat/>
    <w:rsid w:val="00C86C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11</Pages>
  <Words>4071</Words>
  <Characters>23207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Rebeca Dascalu (2311833)</dc:creator>
  <cp:keywords/>
  <dc:description/>
  <cp:lastModifiedBy>Andreea Rebeca Dascalu (2311833)</cp:lastModifiedBy>
  <cp:revision>1</cp:revision>
  <dcterms:created xsi:type="dcterms:W3CDTF">2026-03-04T16:04:00Z</dcterms:created>
  <dcterms:modified xsi:type="dcterms:W3CDTF">2026-03-04T16:56:00Z</dcterms:modified>
</cp:coreProperties>
</file>