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3A471A" w14:textId="77777777" w:rsidR="000C1B93" w:rsidRDefault="000C1B93" w:rsidP="000C1B93">
      <w:pPr>
        <w:rPr>
          <w:lang w:eastAsia="en-GB"/>
        </w:rPr>
      </w:pPr>
      <w:bookmarkStart w:id="0" w:name="_Toc224416793"/>
      <w:r>
        <w:rPr>
          <w:noProof/>
        </w:rPr>
        <w:drawing>
          <wp:inline distT="0" distB="0" distL="0" distR="0" wp14:anchorId="7F3278E8" wp14:editId="4E556061">
            <wp:extent cx="1809750" cy="723900"/>
            <wp:effectExtent l="0" t="0" r="0" b="0"/>
            <wp:docPr id="319" name="Picture 319" descr="A black background with white text&#10;&#10;Description automatically generated"/>
            <wp:cNvGraphicFramePr/>
            <a:graphic xmlns:a="http://schemas.openxmlformats.org/drawingml/2006/main">
              <a:graphicData uri="http://schemas.openxmlformats.org/drawingml/2006/picture">
                <pic:pic xmlns:pic="http://schemas.openxmlformats.org/drawingml/2006/picture">
                  <pic:nvPicPr>
                    <pic:cNvPr id="319" name="Picture 319" descr="A black background with white text&#10;&#10;Description automatically generated"/>
                    <pic:cNvPicPr/>
                  </pic:nvPicPr>
                  <pic:blipFill>
                    <a:blip r:embed="rId7"/>
                    <a:stretch>
                      <a:fillRect/>
                    </a:stretch>
                  </pic:blipFill>
                  <pic:spPr>
                    <a:xfrm>
                      <a:off x="0" y="0"/>
                      <a:ext cx="1809750" cy="723900"/>
                    </a:xfrm>
                    <a:prstGeom prst="rect">
                      <a:avLst/>
                    </a:prstGeom>
                  </pic:spPr>
                </pic:pic>
              </a:graphicData>
            </a:graphic>
          </wp:inline>
        </w:drawing>
      </w:r>
      <w:r>
        <w:rPr>
          <w:b/>
          <w:bCs/>
          <w:noProof/>
          <w:kern w:val="36"/>
          <w:sz w:val="40"/>
          <w:szCs w:val="40"/>
        </w:rPr>
        <mc:AlternateContent>
          <mc:Choice Requires="wps">
            <w:drawing>
              <wp:anchor distT="0" distB="0" distL="114300" distR="114300" simplePos="0" relativeHeight="251659264" behindDoc="0" locked="0" layoutInCell="1" allowOverlap="1" wp14:anchorId="3C5F4C12" wp14:editId="2EF6186B">
                <wp:simplePos x="0" y="0"/>
                <wp:positionH relativeFrom="column">
                  <wp:posOffset>-680720</wp:posOffset>
                </wp:positionH>
                <wp:positionV relativeFrom="paragraph">
                  <wp:posOffset>-896677</wp:posOffset>
                </wp:positionV>
                <wp:extent cx="408562" cy="10661515"/>
                <wp:effectExtent l="0" t="0" r="10795" b="6985"/>
                <wp:wrapNone/>
                <wp:docPr id="19" name="Rectangle 19"/>
                <wp:cNvGraphicFramePr/>
                <a:graphic xmlns:a="http://schemas.openxmlformats.org/drawingml/2006/main">
                  <a:graphicData uri="http://schemas.microsoft.com/office/word/2010/wordprocessingShape">
                    <wps:wsp>
                      <wps:cNvSpPr/>
                      <wps:spPr>
                        <a:xfrm>
                          <a:off x="0" y="0"/>
                          <a:ext cx="408562" cy="1066151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A42A3B" id="Rectangle 19" o:spid="_x0000_s1026" style="position:absolute;margin-left:-53.6pt;margin-top:-70.6pt;width:32.15pt;height:83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" fillcolor="#4472c4 [3204]" strokecolor="#1f3763 [1604]" strokeweight="1pt"/>
            </w:pict>
          </mc:Fallback>
        </mc:AlternateContent>
      </w:r>
      <w:bookmarkEnd w:id="0"/>
    </w:p>
    <w:p w14:paraId="07C691A2" w14:textId="77777777" w:rsidR="000C1B93" w:rsidRDefault="000C1B93" w:rsidP="000C1B93">
      <w:pPr>
        <w:rPr>
          <w:lang w:eastAsia="en-GB"/>
        </w:rPr>
      </w:pPr>
    </w:p>
    <w:p w14:paraId="67CD9784" w14:textId="77777777" w:rsidR="000C1B93" w:rsidRDefault="000C1B93" w:rsidP="000C1B93">
      <w:pPr>
        <w:spacing w:before="100" w:beforeAutospacing="1" w:after="100" w:afterAutospacing="1" w:line="480" w:lineRule="auto"/>
        <w:outlineLvl w:val="0"/>
        <w:rPr>
          <w:b/>
          <w:bCs/>
          <w:kern w:val="36"/>
          <w:sz w:val="40"/>
          <w:szCs w:val="40"/>
        </w:rPr>
      </w:pPr>
    </w:p>
    <w:p w14:paraId="2A410575" w14:textId="4E6AF70C" w:rsidR="000C1B93" w:rsidRDefault="000C1B93" w:rsidP="000C1B93">
      <w:pPr>
        <w:spacing w:before="100" w:beforeAutospacing="1" w:after="100" w:afterAutospacing="1" w:line="480" w:lineRule="auto"/>
        <w:jc w:val="center"/>
        <w:outlineLvl w:val="0"/>
        <w:rPr>
          <w:b/>
          <w:bCs/>
          <w:kern w:val="36"/>
          <w:sz w:val="40"/>
          <w:szCs w:val="40"/>
        </w:rPr>
      </w:pPr>
      <w:r>
        <w:rPr>
          <w:b/>
          <w:bCs/>
          <w:kern w:val="36"/>
          <w:sz w:val="40"/>
          <w:szCs w:val="40"/>
        </w:rPr>
        <w:t>LCLM6001 STRATEGIC MANAGEMENT FOR BUSINESS</w:t>
      </w:r>
    </w:p>
    <w:p w14:paraId="789460F8" w14:textId="7055D23E" w:rsidR="000C1B93" w:rsidRPr="00C0254D" w:rsidRDefault="000C1B93" w:rsidP="000C1B93">
      <w:pPr>
        <w:spacing w:before="100" w:beforeAutospacing="1" w:after="100" w:afterAutospacing="1" w:line="480" w:lineRule="auto"/>
        <w:jc w:val="center"/>
        <w:outlineLvl w:val="0"/>
        <w:rPr>
          <w:b/>
          <w:bCs/>
          <w:i/>
          <w:iCs/>
          <w:kern w:val="36"/>
          <w:sz w:val="32"/>
          <w:szCs w:val="32"/>
        </w:rPr>
      </w:pPr>
      <w:r>
        <w:rPr>
          <w:b/>
          <w:bCs/>
          <w:kern w:val="36"/>
          <w:sz w:val="40"/>
          <w:szCs w:val="40"/>
        </w:rPr>
        <w:t>COMPONENT ONE – INDIVIDUAL REPORT</w:t>
      </w:r>
    </w:p>
    <w:p w14:paraId="1B7B336C" w14:textId="77777777" w:rsidR="000C1B93" w:rsidRDefault="000C1B93" w:rsidP="000C1B93">
      <w:pPr>
        <w:spacing w:before="100" w:beforeAutospacing="1" w:after="100" w:afterAutospacing="1"/>
        <w:outlineLvl w:val="0"/>
        <w:rPr>
          <w:b/>
          <w:bCs/>
          <w:kern w:val="36"/>
          <w:sz w:val="48"/>
          <w:szCs w:val="48"/>
        </w:rPr>
      </w:pPr>
    </w:p>
    <w:p w14:paraId="60706882" w14:textId="77777777" w:rsidR="000C1B93" w:rsidRDefault="000C1B93" w:rsidP="000C1B93"/>
    <w:p w14:paraId="53663EDB" w14:textId="77777777" w:rsidR="000C1B93" w:rsidRDefault="000C1B93" w:rsidP="000C1B93">
      <w:pPr>
        <w:pStyle w:val="NormalWeb"/>
        <w:spacing w:line="600" w:lineRule="auto"/>
        <w:jc w:val="center"/>
        <w:rPr>
          <w:b/>
          <w:bCs/>
          <w:sz w:val="32"/>
          <w:szCs w:val="32"/>
        </w:rPr>
      </w:pPr>
      <w:r w:rsidRPr="009667F8">
        <w:rPr>
          <w:b/>
          <w:bCs/>
          <w:sz w:val="32"/>
          <w:szCs w:val="32"/>
        </w:rPr>
        <w:t xml:space="preserve">Name: </w:t>
      </w:r>
      <w:r w:rsidRPr="009667F8">
        <w:rPr>
          <w:sz w:val="32"/>
          <w:szCs w:val="32"/>
        </w:rPr>
        <w:t>Daniel</w:t>
      </w:r>
      <w:r w:rsidRPr="009667F8">
        <w:rPr>
          <w:b/>
          <w:bCs/>
          <w:sz w:val="32"/>
          <w:szCs w:val="32"/>
        </w:rPr>
        <w:t>-</w:t>
      </w:r>
      <w:r w:rsidRPr="009667F8">
        <w:rPr>
          <w:sz w:val="32"/>
          <w:szCs w:val="32"/>
        </w:rPr>
        <w:t>Eugen</w:t>
      </w:r>
      <w:r w:rsidRPr="009667F8">
        <w:rPr>
          <w:b/>
          <w:bCs/>
          <w:sz w:val="32"/>
          <w:szCs w:val="32"/>
        </w:rPr>
        <w:t xml:space="preserve"> </w:t>
      </w:r>
      <w:r w:rsidRPr="009667F8">
        <w:rPr>
          <w:sz w:val="32"/>
          <w:szCs w:val="32"/>
        </w:rPr>
        <w:t>Tranca</w:t>
      </w:r>
    </w:p>
    <w:p w14:paraId="14864C86" w14:textId="77777777" w:rsidR="000C1B93" w:rsidRPr="00EA0E56" w:rsidRDefault="000C1B93" w:rsidP="000C1B93">
      <w:pPr>
        <w:pStyle w:val="NormalWeb"/>
        <w:spacing w:line="600" w:lineRule="auto"/>
        <w:jc w:val="center"/>
        <w:rPr>
          <w:sz w:val="32"/>
          <w:szCs w:val="32"/>
        </w:rPr>
      </w:pPr>
      <w:r w:rsidRPr="009667F8">
        <w:rPr>
          <w:b/>
          <w:bCs/>
          <w:sz w:val="32"/>
          <w:szCs w:val="32"/>
        </w:rPr>
        <w:t xml:space="preserve">Student Number: </w:t>
      </w:r>
      <w:r w:rsidRPr="009667F8">
        <w:rPr>
          <w:sz w:val="32"/>
          <w:szCs w:val="32"/>
        </w:rPr>
        <w:t>2329475</w:t>
      </w:r>
    </w:p>
    <w:p w14:paraId="09444B15" w14:textId="62B8E9F9" w:rsidR="000C1B93" w:rsidRDefault="000C1B93" w:rsidP="000C1B93">
      <w:pPr>
        <w:spacing w:line="360" w:lineRule="auto"/>
        <w:jc w:val="both"/>
      </w:pPr>
    </w:p>
    <w:p w14:paraId="6AF4DB6F" w14:textId="4E931354" w:rsidR="000C1B93" w:rsidRDefault="000C1B93" w:rsidP="000C1B93">
      <w:pPr>
        <w:spacing w:line="360" w:lineRule="auto"/>
        <w:jc w:val="both"/>
      </w:pPr>
    </w:p>
    <w:p w14:paraId="7B596DD4" w14:textId="276F854B" w:rsidR="000C1B93" w:rsidRDefault="000C1B93" w:rsidP="000C1B93">
      <w:pPr>
        <w:spacing w:line="360" w:lineRule="auto"/>
        <w:jc w:val="both"/>
      </w:pPr>
    </w:p>
    <w:p w14:paraId="7C594FF4" w14:textId="095D4F50" w:rsidR="000C1B93" w:rsidRDefault="000C1B93" w:rsidP="000C1B93">
      <w:pPr>
        <w:spacing w:line="360" w:lineRule="auto"/>
        <w:jc w:val="both"/>
      </w:pPr>
    </w:p>
    <w:p w14:paraId="5BB8535A" w14:textId="496292BD" w:rsidR="000C1B93" w:rsidRDefault="000C1B93" w:rsidP="000C1B93">
      <w:pPr>
        <w:spacing w:line="360" w:lineRule="auto"/>
        <w:jc w:val="both"/>
      </w:pPr>
    </w:p>
    <w:p w14:paraId="65A43DD7" w14:textId="68E5517F" w:rsidR="000C1B93" w:rsidRDefault="000C1B93" w:rsidP="000C1B93">
      <w:pPr>
        <w:spacing w:line="360" w:lineRule="auto"/>
        <w:jc w:val="both"/>
      </w:pPr>
    </w:p>
    <w:p w14:paraId="407460A9" w14:textId="4BACFFF9" w:rsidR="000C1B93" w:rsidRDefault="000C1B93" w:rsidP="000C1B93">
      <w:pPr>
        <w:spacing w:line="360" w:lineRule="auto"/>
        <w:jc w:val="both"/>
      </w:pPr>
    </w:p>
    <w:p w14:paraId="46E4BF5C" w14:textId="77777777" w:rsidR="000C1B93" w:rsidRDefault="000C1B93" w:rsidP="000C1B93">
      <w:pPr>
        <w:spacing w:line="360" w:lineRule="auto"/>
        <w:jc w:val="both"/>
      </w:pPr>
    </w:p>
    <w:p w14:paraId="2A9AD5AF" w14:textId="1104583E" w:rsidR="000C1B93" w:rsidRDefault="000C1B93" w:rsidP="000C1B93">
      <w:pPr>
        <w:spacing w:line="360" w:lineRule="auto"/>
        <w:jc w:val="both"/>
      </w:pPr>
    </w:p>
    <w:sdt>
      <w:sdtPr>
        <w:id w:val="-147451888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1A3F19DF" w14:textId="3B089A27" w:rsidR="000C1B93" w:rsidRDefault="000C1B93">
          <w:pPr>
            <w:pStyle w:val="TOCHeading"/>
          </w:pPr>
          <w:r>
            <w:t>Table of Contents</w:t>
          </w:r>
        </w:p>
        <w:p w14:paraId="18FB6133" w14:textId="093BE0F7" w:rsidR="000C1B93" w:rsidRDefault="000C1B93">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34704254" w:history="1">
            <w:r w:rsidRPr="00DF786D">
              <w:rPr>
                <w:rStyle w:val="Hyperlink"/>
                <w:noProof/>
              </w:rPr>
              <w:t>Introduction</w:t>
            </w:r>
            <w:r>
              <w:rPr>
                <w:noProof/>
                <w:webHidden/>
              </w:rPr>
              <w:tab/>
            </w:r>
            <w:r>
              <w:rPr>
                <w:noProof/>
                <w:webHidden/>
              </w:rPr>
              <w:fldChar w:fldCharType="begin"/>
            </w:r>
            <w:r>
              <w:rPr>
                <w:noProof/>
                <w:webHidden/>
              </w:rPr>
              <w:instrText xml:space="preserve"> PAGEREF _Toc234704254 \h </w:instrText>
            </w:r>
            <w:r>
              <w:rPr>
                <w:noProof/>
                <w:webHidden/>
              </w:rPr>
            </w:r>
            <w:r>
              <w:rPr>
                <w:noProof/>
                <w:webHidden/>
              </w:rPr>
              <w:fldChar w:fldCharType="separate"/>
            </w:r>
            <w:r>
              <w:rPr>
                <w:noProof/>
                <w:webHidden/>
              </w:rPr>
              <w:t>1</w:t>
            </w:r>
            <w:r>
              <w:rPr>
                <w:noProof/>
                <w:webHidden/>
              </w:rPr>
              <w:fldChar w:fldCharType="end"/>
            </w:r>
          </w:hyperlink>
        </w:p>
        <w:p w14:paraId="7ECCA87B" w14:textId="70D09D35" w:rsidR="000C1B93" w:rsidRDefault="000C1B93">
          <w:pPr>
            <w:pStyle w:val="TOC1"/>
            <w:tabs>
              <w:tab w:val="right" w:leader="dot" w:pos="9016"/>
            </w:tabs>
            <w:rPr>
              <w:noProof/>
            </w:rPr>
          </w:pPr>
          <w:hyperlink w:anchor="_Toc234704255" w:history="1">
            <w:r w:rsidRPr="00DF786D">
              <w:rPr>
                <w:rStyle w:val="Hyperlink"/>
                <w:rFonts w:eastAsia="Times New Roman"/>
                <w:noProof/>
                <w:lang w:eastAsia="en-GB"/>
              </w:rPr>
              <w:t>Evaluation of the Current Market Situation</w:t>
            </w:r>
            <w:r>
              <w:rPr>
                <w:noProof/>
                <w:webHidden/>
              </w:rPr>
              <w:tab/>
            </w:r>
            <w:r>
              <w:rPr>
                <w:noProof/>
                <w:webHidden/>
              </w:rPr>
              <w:fldChar w:fldCharType="begin"/>
            </w:r>
            <w:r>
              <w:rPr>
                <w:noProof/>
                <w:webHidden/>
              </w:rPr>
              <w:instrText xml:space="preserve"> PAGEREF _Toc234704255 \h </w:instrText>
            </w:r>
            <w:r>
              <w:rPr>
                <w:noProof/>
                <w:webHidden/>
              </w:rPr>
            </w:r>
            <w:r>
              <w:rPr>
                <w:noProof/>
                <w:webHidden/>
              </w:rPr>
              <w:fldChar w:fldCharType="separate"/>
            </w:r>
            <w:r>
              <w:rPr>
                <w:noProof/>
                <w:webHidden/>
              </w:rPr>
              <w:t>2</w:t>
            </w:r>
            <w:r>
              <w:rPr>
                <w:noProof/>
                <w:webHidden/>
              </w:rPr>
              <w:fldChar w:fldCharType="end"/>
            </w:r>
          </w:hyperlink>
        </w:p>
        <w:p w14:paraId="0C68776A" w14:textId="012D5B4B" w:rsidR="000C1B93" w:rsidRDefault="000C1B93">
          <w:pPr>
            <w:pStyle w:val="TOC2"/>
            <w:tabs>
              <w:tab w:val="right" w:leader="dot" w:pos="9016"/>
            </w:tabs>
            <w:rPr>
              <w:noProof/>
            </w:rPr>
          </w:pPr>
          <w:hyperlink w:anchor="_Toc234704256" w:history="1">
            <w:r w:rsidRPr="00DF786D">
              <w:rPr>
                <w:rStyle w:val="Hyperlink"/>
                <w:noProof/>
              </w:rPr>
              <w:t>PESTEL analysis</w:t>
            </w:r>
            <w:r>
              <w:rPr>
                <w:noProof/>
                <w:webHidden/>
              </w:rPr>
              <w:tab/>
            </w:r>
            <w:r>
              <w:rPr>
                <w:noProof/>
                <w:webHidden/>
              </w:rPr>
              <w:fldChar w:fldCharType="begin"/>
            </w:r>
            <w:r>
              <w:rPr>
                <w:noProof/>
                <w:webHidden/>
              </w:rPr>
              <w:instrText xml:space="preserve"> PAGEREF _Toc234704256 \h </w:instrText>
            </w:r>
            <w:r>
              <w:rPr>
                <w:noProof/>
                <w:webHidden/>
              </w:rPr>
            </w:r>
            <w:r>
              <w:rPr>
                <w:noProof/>
                <w:webHidden/>
              </w:rPr>
              <w:fldChar w:fldCharType="separate"/>
            </w:r>
            <w:r>
              <w:rPr>
                <w:noProof/>
                <w:webHidden/>
              </w:rPr>
              <w:t>2</w:t>
            </w:r>
            <w:r>
              <w:rPr>
                <w:noProof/>
                <w:webHidden/>
              </w:rPr>
              <w:fldChar w:fldCharType="end"/>
            </w:r>
          </w:hyperlink>
        </w:p>
        <w:p w14:paraId="1EB9D362" w14:textId="6EC42A7A" w:rsidR="000C1B93" w:rsidRDefault="000C1B93">
          <w:pPr>
            <w:pStyle w:val="TOC2"/>
            <w:tabs>
              <w:tab w:val="right" w:leader="dot" w:pos="9016"/>
            </w:tabs>
            <w:rPr>
              <w:noProof/>
            </w:rPr>
          </w:pPr>
          <w:hyperlink w:anchor="_Toc234704257" w:history="1">
            <w:r w:rsidRPr="00DF786D">
              <w:rPr>
                <w:rStyle w:val="Hyperlink"/>
                <w:noProof/>
              </w:rPr>
              <w:t>SWOT evaluation</w:t>
            </w:r>
            <w:r>
              <w:rPr>
                <w:noProof/>
                <w:webHidden/>
              </w:rPr>
              <w:tab/>
            </w:r>
            <w:r>
              <w:rPr>
                <w:noProof/>
                <w:webHidden/>
              </w:rPr>
              <w:fldChar w:fldCharType="begin"/>
            </w:r>
            <w:r>
              <w:rPr>
                <w:noProof/>
                <w:webHidden/>
              </w:rPr>
              <w:instrText xml:space="preserve"> PAGEREF _Toc234704257 \h </w:instrText>
            </w:r>
            <w:r>
              <w:rPr>
                <w:noProof/>
                <w:webHidden/>
              </w:rPr>
            </w:r>
            <w:r>
              <w:rPr>
                <w:noProof/>
                <w:webHidden/>
              </w:rPr>
              <w:fldChar w:fldCharType="separate"/>
            </w:r>
            <w:r>
              <w:rPr>
                <w:noProof/>
                <w:webHidden/>
              </w:rPr>
              <w:t>5</w:t>
            </w:r>
            <w:r>
              <w:rPr>
                <w:noProof/>
                <w:webHidden/>
              </w:rPr>
              <w:fldChar w:fldCharType="end"/>
            </w:r>
          </w:hyperlink>
        </w:p>
        <w:p w14:paraId="59EF2114" w14:textId="21CB4F3D" w:rsidR="000C1B93" w:rsidRDefault="000C1B93">
          <w:pPr>
            <w:pStyle w:val="TOC1"/>
            <w:tabs>
              <w:tab w:val="right" w:leader="dot" w:pos="9016"/>
            </w:tabs>
            <w:rPr>
              <w:noProof/>
            </w:rPr>
          </w:pPr>
          <w:hyperlink w:anchor="_Toc234704258" w:history="1">
            <w:r w:rsidRPr="00DF786D">
              <w:rPr>
                <w:rStyle w:val="Hyperlink"/>
                <w:noProof/>
              </w:rPr>
              <w:t>Strategic Growth Options and Proposed Strategy</w:t>
            </w:r>
            <w:r>
              <w:rPr>
                <w:noProof/>
                <w:webHidden/>
              </w:rPr>
              <w:tab/>
            </w:r>
            <w:r>
              <w:rPr>
                <w:noProof/>
                <w:webHidden/>
              </w:rPr>
              <w:fldChar w:fldCharType="begin"/>
            </w:r>
            <w:r>
              <w:rPr>
                <w:noProof/>
                <w:webHidden/>
              </w:rPr>
              <w:instrText xml:space="preserve"> PAGEREF _Toc234704258 \h </w:instrText>
            </w:r>
            <w:r>
              <w:rPr>
                <w:noProof/>
                <w:webHidden/>
              </w:rPr>
            </w:r>
            <w:r>
              <w:rPr>
                <w:noProof/>
                <w:webHidden/>
              </w:rPr>
              <w:fldChar w:fldCharType="separate"/>
            </w:r>
            <w:r>
              <w:rPr>
                <w:noProof/>
                <w:webHidden/>
              </w:rPr>
              <w:t>6</w:t>
            </w:r>
            <w:r>
              <w:rPr>
                <w:noProof/>
                <w:webHidden/>
              </w:rPr>
              <w:fldChar w:fldCharType="end"/>
            </w:r>
          </w:hyperlink>
        </w:p>
        <w:p w14:paraId="45D4EB3C" w14:textId="2E97B706" w:rsidR="000C1B93" w:rsidRDefault="000C1B93">
          <w:pPr>
            <w:pStyle w:val="TOC1"/>
            <w:tabs>
              <w:tab w:val="right" w:leader="dot" w:pos="9016"/>
            </w:tabs>
            <w:rPr>
              <w:noProof/>
            </w:rPr>
          </w:pPr>
          <w:hyperlink w:anchor="_Toc234704259" w:history="1">
            <w:r w:rsidRPr="00DF786D">
              <w:rPr>
                <w:rStyle w:val="Hyperlink"/>
                <w:rFonts w:eastAsia="Times New Roman"/>
                <w:noProof/>
                <w:lang w:eastAsia="en-GB"/>
              </w:rPr>
              <w:t>Strategy Evaluation</w:t>
            </w:r>
            <w:r>
              <w:rPr>
                <w:noProof/>
                <w:webHidden/>
              </w:rPr>
              <w:tab/>
            </w:r>
            <w:r>
              <w:rPr>
                <w:noProof/>
                <w:webHidden/>
              </w:rPr>
              <w:fldChar w:fldCharType="begin"/>
            </w:r>
            <w:r>
              <w:rPr>
                <w:noProof/>
                <w:webHidden/>
              </w:rPr>
              <w:instrText xml:space="preserve"> PAGEREF _Toc234704259 \h </w:instrText>
            </w:r>
            <w:r>
              <w:rPr>
                <w:noProof/>
                <w:webHidden/>
              </w:rPr>
            </w:r>
            <w:r>
              <w:rPr>
                <w:noProof/>
                <w:webHidden/>
              </w:rPr>
              <w:fldChar w:fldCharType="separate"/>
            </w:r>
            <w:r>
              <w:rPr>
                <w:noProof/>
                <w:webHidden/>
              </w:rPr>
              <w:t>8</w:t>
            </w:r>
            <w:r>
              <w:rPr>
                <w:noProof/>
                <w:webHidden/>
              </w:rPr>
              <w:fldChar w:fldCharType="end"/>
            </w:r>
          </w:hyperlink>
        </w:p>
        <w:p w14:paraId="14513703" w14:textId="1FA6DA06" w:rsidR="000C1B93" w:rsidRDefault="000C1B93">
          <w:pPr>
            <w:pStyle w:val="TOC3"/>
            <w:tabs>
              <w:tab w:val="right" w:leader="dot" w:pos="9016"/>
            </w:tabs>
            <w:rPr>
              <w:noProof/>
            </w:rPr>
          </w:pPr>
          <w:hyperlink w:anchor="_Toc234704260" w:history="1">
            <w:r w:rsidRPr="00DF786D">
              <w:rPr>
                <w:rStyle w:val="Hyperlink"/>
                <w:rFonts w:ascii="Times New Roman" w:eastAsia="Times New Roman" w:hAnsi="Times New Roman" w:cs="Times New Roman"/>
                <w:b/>
                <w:bCs/>
                <w:noProof/>
                <w:lang w:eastAsia="en-GB"/>
              </w:rPr>
              <w:t>Suitability</w:t>
            </w:r>
            <w:r>
              <w:rPr>
                <w:noProof/>
                <w:webHidden/>
              </w:rPr>
              <w:tab/>
            </w:r>
            <w:r>
              <w:rPr>
                <w:noProof/>
                <w:webHidden/>
              </w:rPr>
              <w:fldChar w:fldCharType="begin"/>
            </w:r>
            <w:r>
              <w:rPr>
                <w:noProof/>
                <w:webHidden/>
              </w:rPr>
              <w:instrText xml:space="preserve"> PAGEREF _Toc234704260 \h </w:instrText>
            </w:r>
            <w:r>
              <w:rPr>
                <w:noProof/>
                <w:webHidden/>
              </w:rPr>
            </w:r>
            <w:r>
              <w:rPr>
                <w:noProof/>
                <w:webHidden/>
              </w:rPr>
              <w:fldChar w:fldCharType="separate"/>
            </w:r>
            <w:r>
              <w:rPr>
                <w:noProof/>
                <w:webHidden/>
              </w:rPr>
              <w:t>8</w:t>
            </w:r>
            <w:r>
              <w:rPr>
                <w:noProof/>
                <w:webHidden/>
              </w:rPr>
              <w:fldChar w:fldCharType="end"/>
            </w:r>
          </w:hyperlink>
        </w:p>
        <w:p w14:paraId="0AB83C3E" w14:textId="1B662B1A" w:rsidR="000C1B93" w:rsidRDefault="000C1B93">
          <w:pPr>
            <w:pStyle w:val="TOC1"/>
            <w:tabs>
              <w:tab w:val="right" w:leader="dot" w:pos="9016"/>
            </w:tabs>
            <w:rPr>
              <w:noProof/>
            </w:rPr>
          </w:pPr>
          <w:hyperlink w:anchor="_Toc234704261" w:history="1">
            <w:r w:rsidRPr="00DF786D">
              <w:rPr>
                <w:rStyle w:val="Hyperlink"/>
                <w:rFonts w:eastAsia="Times New Roman"/>
                <w:noProof/>
                <w:lang w:eastAsia="en-GB"/>
              </w:rPr>
              <w:t>Stakeholder Analysis</w:t>
            </w:r>
            <w:r>
              <w:rPr>
                <w:noProof/>
                <w:webHidden/>
              </w:rPr>
              <w:tab/>
            </w:r>
            <w:r>
              <w:rPr>
                <w:noProof/>
                <w:webHidden/>
              </w:rPr>
              <w:fldChar w:fldCharType="begin"/>
            </w:r>
            <w:r>
              <w:rPr>
                <w:noProof/>
                <w:webHidden/>
              </w:rPr>
              <w:instrText xml:space="preserve"> PAGEREF _Toc234704261 \h </w:instrText>
            </w:r>
            <w:r>
              <w:rPr>
                <w:noProof/>
                <w:webHidden/>
              </w:rPr>
            </w:r>
            <w:r>
              <w:rPr>
                <w:noProof/>
                <w:webHidden/>
              </w:rPr>
              <w:fldChar w:fldCharType="separate"/>
            </w:r>
            <w:r>
              <w:rPr>
                <w:noProof/>
                <w:webHidden/>
              </w:rPr>
              <w:t>9</w:t>
            </w:r>
            <w:r>
              <w:rPr>
                <w:noProof/>
                <w:webHidden/>
              </w:rPr>
              <w:fldChar w:fldCharType="end"/>
            </w:r>
          </w:hyperlink>
        </w:p>
        <w:p w14:paraId="58EBDB4E" w14:textId="56ADB79A" w:rsidR="000C1B93" w:rsidRDefault="000C1B93">
          <w:pPr>
            <w:pStyle w:val="TOC1"/>
            <w:tabs>
              <w:tab w:val="right" w:leader="dot" w:pos="9016"/>
            </w:tabs>
            <w:rPr>
              <w:noProof/>
            </w:rPr>
          </w:pPr>
          <w:hyperlink w:anchor="_Toc234704262" w:history="1">
            <w:r w:rsidRPr="00DF786D">
              <w:rPr>
                <w:rStyle w:val="Hyperlink"/>
                <w:rFonts w:eastAsia="Times New Roman"/>
                <w:noProof/>
                <w:lang w:eastAsia="en-GB"/>
              </w:rPr>
              <w:t>Implementation and Monitoring</w:t>
            </w:r>
            <w:r>
              <w:rPr>
                <w:noProof/>
                <w:webHidden/>
              </w:rPr>
              <w:tab/>
            </w:r>
            <w:r>
              <w:rPr>
                <w:noProof/>
                <w:webHidden/>
              </w:rPr>
              <w:fldChar w:fldCharType="begin"/>
            </w:r>
            <w:r>
              <w:rPr>
                <w:noProof/>
                <w:webHidden/>
              </w:rPr>
              <w:instrText xml:space="preserve"> PAGEREF _Toc234704262 \h </w:instrText>
            </w:r>
            <w:r>
              <w:rPr>
                <w:noProof/>
                <w:webHidden/>
              </w:rPr>
            </w:r>
            <w:r>
              <w:rPr>
                <w:noProof/>
                <w:webHidden/>
              </w:rPr>
              <w:fldChar w:fldCharType="separate"/>
            </w:r>
            <w:r>
              <w:rPr>
                <w:noProof/>
                <w:webHidden/>
              </w:rPr>
              <w:t>10</w:t>
            </w:r>
            <w:r>
              <w:rPr>
                <w:noProof/>
                <w:webHidden/>
              </w:rPr>
              <w:fldChar w:fldCharType="end"/>
            </w:r>
          </w:hyperlink>
        </w:p>
        <w:p w14:paraId="6B4935CC" w14:textId="006240E5" w:rsidR="000C1B93" w:rsidRDefault="000C1B93">
          <w:pPr>
            <w:pStyle w:val="TOC1"/>
            <w:tabs>
              <w:tab w:val="right" w:leader="dot" w:pos="9016"/>
            </w:tabs>
            <w:rPr>
              <w:noProof/>
            </w:rPr>
          </w:pPr>
          <w:hyperlink w:anchor="_Toc234704263" w:history="1">
            <w:r w:rsidRPr="00DF786D">
              <w:rPr>
                <w:rStyle w:val="Hyperlink"/>
                <w:noProof/>
              </w:rPr>
              <w:t>Conclusion</w:t>
            </w:r>
            <w:r>
              <w:rPr>
                <w:noProof/>
                <w:webHidden/>
              </w:rPr>
              <w:tab/>
            </w:r>
            <w:r>
              <w:rPr>
                <w:noProof/>
                <w:webHidden/>
              </w:rPr>
              <w:fldChar w:fldCharType="begin"/>
            </w:r>
            <w:r>
              <w:rPr>
                <w:noProof/>
                <w:webHidden/>
              </w:rPr>
              <w:instrText xml:space="preserve"> PAGEREF _Toc234704263 \h </w:instrText>
            </w:r>
            <w:r>
              <w:rPr>
                <w:noProof/>
                <w:webHidden/>
              </w:rPr>
            </w:r>
            <w:r>
              <w:rPr>
                <w:noProof/>
                <w:webHidden/>
              </w:rPr>
              <w:fldChar w:fldCharType="separate"/>
            </w:r>
            <w:r>
              <w:rPr>
                <w:noProof/>
                <w:webHidden/>
              </w:rPr>
              <w:t>14</w:t>
            </w:r>
            <w:r>
              <w:rPr>
                <w:noProof/>
                <w:webHidden/>
              </w:rPr>
              <w:fldChar w:fldCharType="end"/>
            </w:r>
          </w:hyperlink>
        </w:p>
        <w:p w14:paraId="72A1B39D" w14:textId="19F0EF0F" w:rsidR="000C1B93" w:rsidRDefault="000C1B93">
          <w:pPr>
            <w:pStyle w:val="TOC2"/>
            <w:tabs>
              <w:tab w:val="right" w:leader="dot" w:pos="9016"/>
            </w:tabs>
            <w:rPr>
              <w:noProof/>
            </w:rPr>
          </w:pPr>
          <w:hyperlink w:anchor="_Toc234704264" w:history="1">
            <w:r w:rsidRPr="00DF786D">
              <w:rPr>
                <w:rStyle w:val="Hyperlink"/>
                <w:noProof/>
              </w:rPr>
              <w:t>References</w:t>
            </w:r>
            <w:r>
              <w:rPr>
                <w:noProof/>
                <w:webHidden/>
              </w:rPr>
              <w:tab/>
            </w:r>
            <w:r>
              <w:rPr>
                <w:noProof/>
                <w:webHidden/>
              </w:rPr>
              <w:fldChar w:fldCharType="begin"/>
            </w:r>
            <w:r>
              <w:rPr>
                <w:noProof/>
                <w:webHidden/>
              </w:rPr>
              <w:instrText xml:space="preserve"> PAGEREF _Toc234704264 \h </w:instrText>
            </w:r>
            <w:r>
              <w:rPr>
                <w:noProof/>
                <w:webHidden/>
              </w:rPr>
            </w:r>
            <w:r>
              <w:rPr>
                <w:noProof/>
                <w:webHidden/>
              </w:rPr>
              <w:fldChar w:fldCharType="separate"/>
            </w:r>
            <w:r>
              <w:rPr>
                <w:noProof/>
                <w:webHidden/>
              </w:rPr>
              <w:t>15</w:t>
            </w:r>
            <w:r>
              <w:rPr>
                <w:noProof/>
                <w:webHidden/>
              </w:rPr>
              <w:fldChar w:fldCharType="end"/>
            </w:r>
          </w:hyperlink>
        </w:p>
        <w:p w14:paraId="01D0385D" w14:textId="4B0FDFC6" w:rsidR="000C1B93" w:rsidRDefault="000C1B93">
          <w:r>
            <w:rPr>
              <w:b/>
              <w:bCs/>
              <w:noProof/>
            </w:rPr>
            <w:fldChar w:fldCharType="end"/>
          </w:r>
        </w:p>
      </w:sdtContent>
    </w:sdt>
    <w:p w14:paraId="6EBA08CE" w14:textId="1BB97E7E" w:rsidR="000C1B93" w:rsidRDefault="000C1B93" w:rsidP="000C1B93">
      <w:pPr>
        <w:spacing w:line="360" w:lineRule="auto"/>
        <w:jc w:val="both"/>
      </w:pPr>
    </w:p>
    <w:p w14:paraId="36366823" w14:textId="6045E1AD" w:rsidR="000C1B93" w:rsidRDefault="000C1B93" w:rsidP="000C1B93">
      <w:pPr>
        <w:spacing w:line="360" w:lineRule="auto"/>
        <w:jc w:val="both"/>
      </w:pPr>
    </w:p>
    <w:p w14:paraId="73EF9751" w14:textId="77777777" w:rsidR="000C1B93" w:rsidRDefault="000C1B93" w:rsidP="000C1B93">
      <w:pPr>
        <w:spacing w:line="360" w:lineRule="auto"/>
        <w:jc w:val="both"/>
      </w:pPr>
    </w:p>
    <w:p w14:paraId="52E169AC" w14:textId="2C9FC4F3" w:rsidR="000C1B93" w:rsidRDefault="000C1B93" w:rsidP="000C1B93">
      <w:pPr>
        <w:spacing w:line="360" w:lineRule="auto"/>
        <w:jc w:val="both"/>
      </w:pPr>
    </w:p>
    <w:p w14:paraId="08537379" w14:textId="508E0656" w:rsidR="000C1B93" w:rsidRDefault="000C1B93" w:rsidP="000C1B93">
      <w:pPr>
        <w:spacing w:line="360" w:lineRule="auto"/>
        <w:jc w:val="both"/>
      </w:pPr>
    </w:p>
    <w:p w14:paraId="7395E9E1" w14:textId="593A585E" w:rsidR="000C1B93" w:rsidRDefault="000C1B93" w:rsidP="000C1B93">
      <w:pPr>
        <w:spacing w:line="360" w:lineRule="auto"/>
        <w:jc w:val="both"/>
      </w:pPr>
    </w:p>
    <w:p w14:paraId="2E5D0343" w14:textId="4152F782" w:rsidR="000C1B93" w:rsidRDefault="000C1B93" w:rsidP="000C1B93">
      <w:pPr>
        <w:spacing w:line="360" w:lineRule="auto"/>
        <w:jc w:val="both"/>
      </w:pPr>
    </w:p>
    <w:p w14:paraId="26EE0BB9" w14:textId="1544755A" w:rsidR="000C1B93" w:rsidRDefault="000C1B93" w:rsidP="000C1B93">
      <w:pPr>
        <w:spacing w:line="360" w:lineRule="auto"/>
        <w:jc w:val="both"/>
      </w:pPr>
    </w:p>
    <w:p w14:paraId="7E56B98F" w14:textId="6019A82C" w:rsidR="000C1B93" w:rsidRDefault="000C1B93" w:rsidP="000C1B93">
      <w:pPr>
        <w:spacing w:line="360" w:lineRule="auto"/>
        <w:jc w:val="both"/>
      </w:pPr>
    </w:p>
    <w:p w14:paraId="53557853" w14:textId="10F5E7EA" w:rsidR="000C1B93" w:rsidRDefault="000C1B93" w:rsidP="000C1B93">
      <w:pPr>
        <w:spacing w:line="360" w:lineRule="auto"/>
        <w:jc w:val="both"/>
      </w:pPr>
    </w:p>
    <w:p w14:paraId="44CEB4BB" w14:textId="48F830AA" w:rsidR="000C1B93" w:rsidRDefault="000C1B93" w:rsidP="000C1B93">
      <w:pPr>
        <w:spacing w:line="360" w:lineRule="auto"/>
        <w:jc w:val="both"/>
      </w:pPr>
    </w:p>
    <w:p w14:paraId="746FD594" w14:textId="01617738" w:rsidR="000C1B93" w:rsidRDefault="000C1B93" w:rsidP="000C1B93">
      <w:pPr>
        <w:spacing w:line="360" w:lineRule="auto"/>
        <w:jc w:val="both"/>
      </w:pPr>
    </w:p>
    <w:p w14:paraId="13275AEA" w14:textId="67D785FE" w:rsidR="000C1B93" w:rsidRDefault="000C1B93" w:rsidP="000C1B93">
      <w:pPr>
        <w:spacing w:line="360" w:lineRule="auto"/>
        <w:jc w:val="both"/>
      </w:pPr>
    </w:p>
    <w:p w14:paraId="523C5573" w14:textId="6FA6FBC9" w:rsidR="000C1B93" w:rsidRDefault="000C1B93" w:rsidP="000C1B93">
      <w:pPr>
        <w:spacing w:line="360" w:lineRule="auto"/>
        <w:jc w:val="both"/>
      </w:pPr>
    </w:p>
    <w:p w14:paraId="74163425" w14:textId="12DB5F76" w:rsidR="000C1B93" w:rsidRDefault="000C1B93" w:rsidP="000C1B93">
      <w:pPr>
        <w:spacing w:line="360" w:lineRule="auto"/>
        <w:jc w:val="both"/>
      </w:pPr>
    </w:p>
    <w:p w14:paraId="04E9FAA0" w14:textId="77777777" w:rsidR="000C1B93" w:rsidRDefault="000C1B93" w:rsidP="000C1B93">
      <w:pPr>
        <w:spacing w:line="360" w:lineRule="auto"/>
        <w:jc w:val="both"/>
      </w:pPr>
    </w:p>
    <w:p w14:paraId="7E605D34" w14:textId="51E4979D" w:rsidR="000C1B93" w:rsidRDefault="000C1B93" w:rsidP="000C1B93">
      <w:pPr>
        <w:spacing w:line="360" w:lineRule="auto"/>
        <w:jc w:val="both"/>
      </w:pPr>
    </w:p>
    <w:p w14:paraId="49994876" w14:textId="187DBC53" w:rsidR="000C1B93" w:rsidRDefault="000C1B93" w:rsidP="000C1B93">
      <w:pPr>
        <w:spacing w:line="360" w:lineRule="auto"/>
        <w:jc w:val="both"/>
      </w:pPr>
    </w:p>
    <w:p w14:paraId="07BD92BE" w14:textId="7D40D096" w:rsidR="000C1B93" w:rsidRPr="000C1B93" w:rsidRDefault="000C1B93" w:rsidP="000C1B93">
      <w:pPr>
        <w:pStyle w:val="Heading1"/>
        <w:rPr>
          <w:rFonts w:eastAsia="Times New Roman"/>
          <w:lang w:eastAsia="en-GB"/>
        </w:rPr>
      </w:pPr>
      <w:r w:rsidRPr="000C1B93">
        <w:rPr>
          <w:rFonts w:eastAsia="Times New Roman"/>
          <w:lang w:eastAsia="en-GB"/>
        </w:rPr>
        <w:lastRenderedPageBreak/>
        <w:t xml:space="preserve"> </w:t>
      </w:r>
      <w:bookmarkStart w:id="1" w:name="_Toc234704254"/>
      <w:r w:rsidRPr="000C1B93">
        <w:rPr>
          <w:b/>
          <w:bCs/>
          <w:u w:val="single"/>
        </w:rPr>
        <w:t>Introduction</w:t>
      </w:r>
      <w:bookmarkEnd w:id="1"/>
      <w:r w:rsidRPr="000C1B93">
        <w:rPr>
          <w:rFonts w:eastAsia="Times New Roman"/>
          <w:lang w:eastAsia="en-GB"/>
        </w:rPr>
        <w:t xml:space="preserve"> </w:t>
      </w:r>
    </w:p>
    <w:p w14:paraId="0EB33980"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Vodafone Group is one of Europe and Africa’s largest telecommunications organisations, providing mobile and fixed connectivity, broadband, Internet of Things (IoT), cloud, cybersecurity and digital services to consumers, businesses and public-sector customers. Its mission is </w:t>
      </w:r>
      <w:r w:rsidRPr="000C1B93">
        <w:rPr>
          <w:rFonts w:ascii="Times New Roman" w:eastAsia="Times New Roman" w:hAnsi="Times New Roman" w:cs="Times New Roman"/>
          <w:b/>
          <w:bCs/>
          <w:lang w:eastAsia="en-GB"/>
        </w:rPr>
        <w:t>“</w:t>
      </w:r>
      <w:r w:rsidRPr="000C1B93">
        <w:rPr>
          <w:rFonts w:ascii="Times New Roman" w:eastAsia="Times New Roman" w:hAnsi="Times New Roman" w:cs="Times New Roman"/>
          <w:lang w:eastAsia="en-GB"/>
        </w:rPr>
        <w:t>to connect everyone</w:t>
      </w:r>
      <w:r w:rsidRPr="000C1B93">
        <w:rPr>
          <w:rFonts w:ascii="Times New Roman" w:eastAsia="Times New Roman" w:hAnsi="Times New Roman" w:cs="Times New Roman"/>
          <w:b/>
          <w:bCs/>
          <w:lang w:eastAsia="en-GB"/>
        </w:rPr>
        <w:t>,”</w:t>
      </w:r>
      <w:r w:rsidRPr="000C1B93">
        <w:rPr>
          <w:rFonts w:ascii="Times New Roman" w:eastAsia="Times New Roman" w:hAnsi="Times New Roman" w:cs="Times New Roman"/>
          <w:lang w:eastAsia="en-GB"/>
        </w:rPr>
        <w:t xml:space="preserve"> while its wider vision is to create an inclusive, sustainable and trusted digital society in which individuals and organisations can thrive. Vodafone reports approximately 279 million mobile customers, 18 million fixed-broadband users, five million business customers and 244 million connected IoT devices across its wider footprint (Vodafone, 2026a).</w:t>
      </w:r>
    </w:p>
    <w:p w14:paraId="0CB19901"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In the UK, the merger of Vodafone UK and Three UK was completed on 31 May 2025, creating VodafoneThree. The combined organisation was initially owned 51% by Vodafone and 49% by CK Hutchison and became the UK’s largest mobile operator. Vodafone’s latest reporting identifies approximately 28 million UK mobile customers and around €9 billion in annual revenue, making the UK responsible for approximately 23% of Group service revenue (Vodafone, 2025a; Vodafone, 2026b).</w:t>
      </w:r>
    </w:p>
    <w:p w14:paraId="14476301"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Vodafone’s organisational values are expressed through the </w:t>
      </w:r>
      <w:r w:rsidRPr="000C1B93">
        <w:rPr>
          <w:rFonts w:ascii="Times New Roman" w:eastAsia="Times New Roman" w:hAnsi="Times New Roman" w:cs="Times New Roman"/>
          <w:b/>
          <w:bCs/>
          <w:lang w:eastAsia="en-GB"/>
        </w:rPr>
        <w:t>“</w:t>
      </w:r>
      <w:r w:rsidRPr="000C1B93">
        <w:rPr>
          <w:rFonts w:ascii="Times New Roman" w:eastAsia="Times New Roman" w:hAnsi="Times New Roman" w:cs="Times New Roman"/>
          <w:lang w:eastAsia="en-GB"/>
        </w:rPr>
        <w:t>Spirit of Vodafone</w:t>
      </w:r>
      <w:r w:rsidRPr="000C1B93">
        <w:rPr>
          <w:rFonts w:ascii="Times New Roman" w:eastAsia="Times New Roman" w:hAnsi="Times New Roman" w:cs="Times New Roman"/>
          <w:b/>
          <w:bCs/>
          <w:lang w:eastAsia="en-GB"/>
        </w:rPr>
        <w:t>”</w:t>
      </w:r>
      <w:r w:rsidRPr="000C1B93">
        <w:rPr>
          <w:rFonts w:ascii="Times New Roman" w:eastAsia="Times New Roman" w:hAnsi="Times New Roman" w:cs="Times New Roman"/>
          <w:lang w:eastAsia="en-GB"/>
        </w:rPr>
        <w:t>: earn customer loyalty, create the future, experiment and learn fast, and get it done together. These behaviours are supported by commitments to lawfulness, integrity, respect, responsibility and inclusion. They complement the company’s strategic priorities of Customers, Simplicity and Growth (Vodafone, 2026c). Therefore, VodafoneThree’s transformation is not solely a network-integration programme; it is intended to improve customer experience, reduce organisational duplication, accelerate innovation and create sustainable long-term value.</w:t>
      </w:r>
    </w:p>
    <w:p w14:paraId="11ADD437" w14:textId="4C78E993" w:rsidR="000C1B93" w:rsidRPr="000C1B93" w:rsidRDefault="000C1B93" w:rsidP="000C1B93">
      <w:pPr>
        <w:pStyle w:val="Heading1"/>
        <w:rPr>
          <w:rFonts w:eastAsia="Times New Roman"/>
          <w:b/>
          <w:bCs/>
          <w:u w:val="single"/>
          <w:lang w:eastAsia="en-GB"/>
        </w:rPr>
      </w:pPr>
      <w:bookmarkStart w:id="2" w:name="_Toc234704255"/>
      <w:r w:rsidRPr="000C1B93">
        <w:rPr>
          <w:rFonts w:eastAsia="Times New Roman"/>
          <w:b/>
          <w:bCs/>
          <w:u w:val="single"/>
          <w:lang w:eastAsia="en-GB"/>
        </w:rPr>
        <w:t>Evaluation of the Current Market Situation</w:t>
      </w:r>
      <w:bookmarkEnd w:id="2"/>
    </w:p>
    <w:p w14:paraId="7045DDC2" w14:textId="77777777" w:rsidR="000C1B93" w:rsidRPr="000C1B93" w:rsidRDefault="000C1B93" w:rsidP="000C1B93">
      <w:pPr>
        <w:pStyle w:val="Heading2"/>
      </w:pPr>
      <w:bookmarkStart w:id="3" w:name="_Toc234704256"/>
      <w:r w:rsidRPr="000C1B93">
        <w:t>PESTEL analysis</w:t>
      </w:r>
      <w:bookmarkEnd w:id="3"/>
    </w:p>
    <w:p w14:paraId="435960ED"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Political and regulatory factors</w:t>
      </w:r>
    </w:p>
    <w:p w14:paraId="56E82AE7"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The Vodafone–Three merger has given the company the scale required to challenge BT/EE and Virgin Media O2, but it has also created unusually strong regulatory obligations. The Competition and Markets Authority approved the transaction only after legally binding commitments to implement an estimated £11 billion network programme, cap selected </w:t>
      </w:r>
      <w:r w:rsidRPr="000C1B93">
        <w:rPr>
          <w:rFonts w:ascii="Times New Roman" w:eastAsia="Times New Roman" w:hAnsi="Times New Roman" w:cs="Times New Roman"/>
          <w:lang w:eastAsia="en-GB"/>
        </w:rPr>
        <w:lastRenderedPageBreak/>
        <w:t xml:space="preserve">consumer tariffs for three years and provide </w:t>
      </w:r>
      <w:proofErr w:type="spellStart"/>
      <w:r w:rsidRPr="000C1B93">
        <w:rPr>
          <w:rFonts w:ascii="Times New Roman" w:eastAsia="Times New Roman" w:hAnsi="Times New Roman" w:cs="Times New Roman"/>
          <w:lang w:eastAsia="en-GB"/>
        </w:rPr>
        <w:t>preset</w:t>
      </w:r>
      <w:proofErr w:type="spellEnd"/>
      <w:r w:rsidRPr="000C1B93">
        <w:rPr>
          <w:rFonts w:ascii="Times New Roman" w:eastAsia="Times New Roman" w:hAnsi="Times New Roman" w:cs="Times New Roman"/>
          <w:lang w:eastAsia="en-GB"/>
        </w:rPr>
        <w:t xml:space="preserve"> wholesale terms to mobile virtual network operators. The CMA and Ofcom will monitor delivery of these commitments. This limits VodafoneThree’s short-term pricing freedom but reduces uncertainty surrounding investment and aligns the company with government priorities concerning national productivity, rural coverage and digital inclusion (CMA, 2024; CMA, 2025).</w:t>
      </w:r>
    </w:p>
    <w:p w14:paraId="23C2D2B6"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regulatory settlement also creates an opportunity. Unlike an entirely voluntary investment announcement, VodafoneThree’s network programme is supported by legally binding commitments, which may increase confidence among customers, suppliers, local authorities and enterprise partners. However, failure to meet coverage, investment or consumer-protection commitments could result in regulatory intervention and reputational damage.</w:t>
      </w:r>
    </w:p>
    <w:p w14:paraId="041A4E16"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Economic factors</w:t>
      </w:r>
    </w:p>
    <w:p w14:paraId="00325DC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VodafoneThree enters the market with substantial scale: approximately 28 million mobile customers, around €9 billion in revenue and an estimated 20% share of UK telecommunications service revenue. The merger is expected to generate approximately £700 million in annual cost and capital-expenditure synergies by its fifth year, while first-year capital expenditure was planned at £1.3 billion. These efficiencies can improve purchasing power, remove duplicated infrastructure and release funding for customer and network investment (Vodafone, 2025a; Vodafone, 2026b).</w:t>
      </w:r>
    </w:p>
    <w:p w14:paraId="2744BFE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However, the business must finance integration during a relatively uncertain economic period. UK GDP grew by only 1.3% during 2025, although it increased by 0.6% in the first quarter of 2026. The UK inflation rate remains above the Bank of England’s 2% target, while Bank Rate stands at 3.75%. These conditions increase financing, wage and energy pressures while encouraging price-sensitive consumers to consider cheaper SIM-only packages and mobile virtual network operators (ONS, 2026; Bank of England, 2026).</w:t>
      </w:r>
    </w:p>
    <w:p w14:paraId="138329F6" w14:textId="59E54AF1"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Cost efficiency is consequently </w:t>
      </w:r>
      <w:r w:rsidRPr="000C1B93">
        <w:rPr>
          <w:rFonts w:ascii="Times New Roman" w:eastAsia="Times New Roman" w:hAnsi="Times New Roman" w:cs="Times New Roman"/>
          <w:lang w:eastAsia="en-GB"/>
        </w:rPr>
        <w:t>important but</w:t>
      </w:r>
      <w:r w:rsidRPr="000C1B93">
        <w:rPr>
          <w:rFonts w:ascii="Times New Roman" w:eastAsia="Times New Roman" w:hAnsi="Times New Roman" w:cs="Times New Roman"/>
          <w:lang w:eastAsia="en-GB"/>
        </w:rPr>
        <w:t xml:space="preserve"> competing primarily through discounts would weaken margins and make it harder to finance the network programme. VodafoneThree must use its synergies to improve quality, productivity and customer experience rather than enter a prolonged price war.</w:t>
      </w:r>
    </w:p>
    <w:p w14:paraId="29ED7BD7"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Social factors</w:t>
      </w:r>
    </w:p>
    <w:p w14:paraId="16B4A6CC"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lastRenderedPageBreak/>
        <w:t>Demand for connectivity remains structurally strong. UK mobile data consumption increased by 18% in 2025 to more than 1.2 billion gigabytes per month, while 5G data consumption increased by 53%. Customers increasingly expect reliable connectivity for remote working, streaming, travel, digital payments, education and connected devices (Ofcom, 2025a).</w:t>
      </w:r>
    </w:p>
    <w:p w14:paraId="2B6FA2B9"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VodafoneThree can create both social and commercial value by reducing rural coverage gaps and improving connectivity in homes, workplaces and transport networks. Better coverage may also support digital inclusion among rural communities, older customers and lower-income households. This aligns closely with Vodafone’s mission to connect everyone.</w:t>
      </w:r>
    </w:p>
    <w:p w14:paraId="74C2590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Nevertheless, service quality remains a reputational risk. Ofcom reported that Vodafone was one of the most complained-about fixed-broadband providers during the fourth quarter of 2025. Although its mobile performance was stronger, this evidence demonstrates that expanded scale will not automatically generate customer loyalty unless Vodafone improves billing accuracy, complaint handling, installation processes and service reliability (Ofcom, 2026a).</w:t>
      </w:r>
    </w:p>
    <w:p w14:paraId="5EDEB98F"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Technological factors</w:t>
      </w:r>
    </w:p>
    <w:p w14:paraId="21819691"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Technology represents the largest opportunity within VodafoneThree’s transformation. By January 2026, individual UK operators’ overall outdoor 5G coverage ranged from 76% to 94%, while 5G Standalone coverage ranged from 49% to 85% among the three operators that had deployed it. VodafoneThree has committed to achieving 99% 5G Standalone population coverage by 2030 and approximately 99.96% by 2034 (Ofcom, 2026b; VodafoneThree, 2025).</w:t>
      </w:r>
    </w:p>
    <w:p w14:paraId="0379F692"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Early integration has already produced measurable benefits. More than seven million Three customers received average 4G speed improvements of 20%, with some experiencing increases of up to 40% after additional Vodafone spectrum was activated across almost 15,000 network sites (Vodafone UK, 2025).</w:t>
      </w:r>
    </w:p>
    <w:p w14:paraId="78F4F3DC"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combined spectrum and infrastructure can support private 5G networks, IoT, edge computing, autonomous transport, smart cities, telemedicine and AI-enabled customer service. Vodafone also possesses significant existing capabilities through its 244 million IoT connections and five million business customers. However, technological risks include difficult system migrations, network outages, cyberattacks, legacy IT systems and the possibility that competitors deploy improved services more rapidly.</w:t>
      </w:r>
    </w:p>
    <w:p w14:paraId="683C414C"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lastRenderedPageBreak/>
        <w:t>Environmental factors</w:t>
      </w:r>
    </w:p>
    <w:p w14:paraId="6AA1DC8B"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Telecommunications networks consume considerable electricity and require substantial quantities of network equipment. VodafoneThree’s £11 billion rollout may therefore increase short-term energy and material consumption, even though newer technologies can improve energy efficiency per unit of data.</w:t>
      </w:r>
    </w:p>
    <w:p w14:paraId="5E96BBD4"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Vodafone states that 100% of its purchased electricity was matched with renewable sources in FY26, while its market-based Scope 1 and Scope 2 emissions declined to approximately 0.26 million tonnes of carbon-dioxide equivalent. The Group is targeting net-zero emissions from its European operations by 2028 and across its full value chain by 2040 (Vodafone, 2026d).</w:t>
      </w:r>
    </w:p>
    <w:p w14:paraId="57B08D1B"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VodafoneThree should consequently measure energy consumption per gigabyte of data, reuse network equipment where possible and introduce environmental requirements within supplier contracts. Its services may also support customers’ environmental objectives through smart energy management, connected logistics and reduced business travel.</w:t>
      </w:r>
    </w:p>
    <w:p w14:paraId="2B221D86"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Legal factors</w:t>
      </w:r>
    </w:p>
    <w:p w14:paraId="56D379E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VodafoneThree must comply with Ofcom’s consumer rules, competition remedies, UK data-protection requirements and the Telecommunications Security Act 2021. Since 17 January 2025, new telecommunications contracts cannot include inflation-linked or percentage-based price increases. Any in-contract increase must instead be communicated clearly in pounds and pence before the customer enters the agreement (Ofcom, 2024).</w:t>
      </w:r>
    </w:p>
    <w:p w14:paraId="09F8F6D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telecommunications security framework also requires providers to identify, reduce and respond to risks affecting public networks and services. This creates significant expenditure relating to network monitoring, supplier assurance, cybersecurity and incident response. Nevertheless, strong privacy, transparency and network resilience can become important sources of customer trust and differentiation (UK Government, 2022).</w:t>
      </w:r>
    </w:p>
    <w:p w14:paraId="2F22D1CD" w14:textId="77777777" w:rsidR="000C1B93" w:rsidRPr="000C1B93" w:rsidRDefault="000C1B93" w:rsidP="000C1B93">
      <w:pPr>
        <w:pStyle w:val="Heading2"/>
      </w:pPr>
      <w:bookmarkStart w:id="4" w:name="_Toc234704257"/>
      <w:r w:rsidRPr="000C1B93">
        <w:t>SWOT evaluation</w:t>
      </w:r>
      <w:bookmarkEnd w:id="4"/>
    </w:p>
    <w:p w14:paraId="65D77FAF"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VodafoneThree’s principal </w:t>
      </w:r>
      <w:r w:rsidRPr="000C1B93">
        <w:rPr>
          <w:rFonts w:ascii="Times New Roman" w:eastAsia="Times New Roman" w:hAnsi="Times New Roman" w:cs="Times New Roman"/>
          <w:b/>
          <w:bCs/>
          <w:lang w:eastAsia="en-GB"/>
        </w:rPr>
        <w:t>strengths</w:t>
      </w:r>
      <w:r w:rsidRPr="000C1B93">
        <w:rPr>
          <w:rFonts w:ascii="Times New Roman" w:eastAsia="Times New Roman" w:hAnsi="Times New Roman" w:cs="Times New Roman"/>
          <w:lang w:eastAsia="en-GB"/>
        </w:rPr>
        <w:t xml:space="preserve"> are its national scale, combined spectrum, established brands, 28 million-customer base, large enterprise operation and fully funded network commitment. Its integration creates greater purchasing power, broader coverage and the </w:t>
      </w:r>
      <w:r w:rsidRPr="000C1B93">
        <w:rPr>
          <w:rFonts w:ascii="Times New Roman" w:eastAsia="Times New Roman" w:hAnsi="Times New Roman" w:cs="Times New Roman"/>
          <w:lang w:eastAsia="en-GB"/>
        </w:rPr>
        <w:lastRenderedPageBreak/>
        <w:t>potential for £700 million in annual synergies. The wider Vodafone Group also serves five million business customers and manages 244 million IoT connections, providing capabilities that smaller UK rivals and MVNOs cannot easily reproduce.</w:t>
      </w:r>
    </w:p>
    <w:p w14:paraId="174A5117"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Its main </w:t>
      </w:r>
      <w:r w:rsidRPr="000C1B93">
        <w:rPr>
          <w:rFonts w:ascii="Times New Roman" w:eastAsia="Times New Roman" w:hAnsi="Times New Roman" w:cs="Times New Roman"/>
          <w:b/>
          <w:bCs/>
          <w:lang w:eastAsia="en-GB"/>
        </w:rPr>
        <w:t>weaknesses</w:t>
      </w:r>
      <w:r w:rsidRPr="000C1B93">
        <w:rPr>
          <w:rFonts w:ascii="Times New Roman" w:eastAsia="Times New Roman" w:hAnsi="Times New Roman" w:cs="Times New Roman"/>
          <w:lang w:eastAsia="en-GB"/>
        </w:rPr>
        <w:t xml:space="preserve"> are the cost and disruption of integrating two networks, duplicated technology systems, different organisational cultures and high capital requirements. Group net debt reached approximately €25.4 billion in FY26, while continued broadband complaints indicate that elements of the customer experience still require improvement (Vodafone, 2026c; Ofcom, 2026a).</w:t>
      </w:r>
    </w:p>
    <w:p w14:paraId="1915A424"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The most attractive </w:t>
      </w:r>
      <w:r w:rsidRPr="000C1B93">
        <w:rPr>
          <w:rFonts w:ascii="Times New Roman" w:eastAsia="Times New Roman" w:hAnsi="Times New Roman" w:cs="Times New Roman"/>
          <w:b/>
          <w:bCs/>
          <w:lang w:eastAsia="en-GB"/>
        </w:rPr>
        <w:t>opportunities</w:t>
      </w:r>
      <w:r w:rsidRPr="000C1B93">
        <w:rPr>
          <w:rFonts w:ascii="Times New Roman" w:eastAsia="Times New Roman" w:hAnsi="Times New Roman" w:cs="Times New Roman"/>
          <w:lang w:eastAsia="en-GB"/>
        </w:rPr>
        <w:t xml:space="preserve"> involve monetising 5G Standalone through premium consumer experiences and higher-value enterprise solutions, including private networks, cybersecurity, cloud connectivity, IoT and smart infrastructure. Rural expansion, fixed-mobile convergence, public-sector digitalisation and AI-enabled service delivery provide additional growth opportunities.</w:t>
      </w:r>
    </w:p>
    <w:p w14:paraId="6E46C92D"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The principal </w:t>
      </w:r>
      <w:r w:rsidRPr="000C1B93">
        <w:rPr>
          <w:rFonts w:ascii="Times New Roman" w:eastAsia="Times New Roman" w:hAnsi="Times New Roman" w:cs="Times New Roman"/>
          <w:b/>
          <w:bCs/>
          <w:lang w:eastAsia="en-GB"/>
        </w:rPr>
        <w:t>threats</w:t>
      </w:r>
      <w:r w:rsidRPr="000C1B93">
        <w:rPr>
          <w:rFonts w:ascii="Times New Roman" w:eastAsia="Times New Roman" w:hAnsi="Times New Roman" w:cs="Times New Roman"/>
          <w:lang w:eastAsia="en-GB"/>
        </w:rPr>
        <w:t xml:space="preserve"> are intense rivalry from EE and Virgin Media O2, price competition from MVNOs, regulatory intervention, cyber incidents, integration failures and customer resistance to price increases. Overall, VodafoneThree possesses stronger resources than Vodafone UK held before the merger. However, competitive advantage will depend on converting network scale into superior experiences and differentiated digital services rather than simply becoming a larger traditional mobile operator.</w:t>
      </w:r>
    </w:p>
    <w:p w14:paraId="2CA0A3DB" w14:textId="25231A60" w:rsidR="000C1B93" w:rsidRPr="000C1B93" w:rsidRDefault="000C1B93" w:rsidP="000C1B93">
      <w:pPr>
        <w:pStyle w:val="Heading1"/>
        <w:rPr>
          <w:b/>
          <w:bCs/>
          <w:u w:val="single"/>
        </w:rPr>
      </w:pPr>
      <w:bookmarkStart w:id="5" w:name="_Toc234704258"/>
      <w:r w:rsidRPr="000C1B93">
        <w:rPr>
          <w:b/>
          <w:bCs/>
          <w:u w:val="single"/>
        </w:rPr>
        <w:t>Strategic Growth Options and Proposed Strategy</w:t>
      </w:r>
      <w:bookmarkEnd w:id="5"/>
    </w:p>
    <w:p w14:paraId="014737D6"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Ansoff’s Matrix identifies four potential growth paths: market penetration, product development, market development and diversification (Ansoff, 1957). </w:t>
      </w:r>
      <w:r w:rsidRPr="000C1B93">
        <w:rPr>
          <w:rFonts w:ascii="Times New Roman" w:eastAsia="Times New Roman" w:hAnsi="Times New Roman" w:cs="Times New Roman"/>
          <w:b/>
          <w:bCs/>
          <w:lang w:eastAsia="en-GB"/>
        </w:rPr>
        <w:t>Market penetration</w:t>
      </w:r>
      <w:r w:rsidRPr="000C1B93">
        <w:rPr>
          <w:rFonts w:ascii="Times New Roman" w:eastAsia="Times New Roman" w:hAnsi="Times New Roman" w:cs="Times New Roman"/>
          <w:lang w:eastAsia="en-GB"/>
        </w:rPr>
        <w:t xml:space="preserve"> would use VodafoneThree’s enlarged customer base and network to reduce churn, cross-sell services and increase the adoption of family, SIM-only, broadband and fixed-mobile packages. This is relatively low risk, but the UK consumer market is mature, price competition is intense and VodafoneThree’s regulatory commitments restrict some pricing decisions.</w:t>
      </w:r>
    </w:p>
    <w:p w14:paraId="2435AF96"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Market development</w:t>
      </w:r>
      <w:r w:rsidRPr="000C1B93">
        <w:rPr>
          <w:rFonts w:ascii="Times New Roman" w:eastAsia="Times New Roman" w:hAnsi="Times New Roman" w:cs="Times New Roman"/>
          <w:lang w:eastAsia="en-GB"/>
        </w:rPr>
        <w:t xml:space="preserve"> could target rural communities, underserved SMEs, public-sector organisations and industries requiring dependable mobile connectivity. The £11 billion network programme would enable VodafoneThree to reach areas in which coverage has </w:t>
      </w:r>
      <w:r w:rsidRPr="000C1B93">
        <w:rPr>
          <w:rFonts w:ascii="Times New Roman" w:eastAsia="Times New Roman" w:hAnsi="Times New Roman" w:cs="Times New Roman"/>
          <w:lang w:eastAsia="en-GB"/>
        </w:rPr>
        <w:lastRenderedPageBreak/>
        <w:t>previously been insufficient. This supports digital inclusion, although growth would continue to rely mainly on existing connectivity products.</w:t>
      </w:r>
    </w:p>
    <w:p w14:paraId="3A9DD2B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Product development</w:t>
      </w:r>
      <w:r w:rsidRPr="000C1B93">
        <w:rPr>
          <w:rFonts w:ascii="Times New Roman" w:eastAsia="Times New Roman" w:hAnsi="Times New Roman" w:cs="Times New Roman"/>
          <w:lang w:eastAsia="en-GB"/>
        </w:rPr>
        <w:t xml:space="preserve"> offers stronger long-term potential. VodafoneThree can use 5G Standalone, IoT, cloud services, cybersecurity and analytics to create new products for existing business and public-sector customers. </w:t>
      </w:r>
      <w:r w:rsidRPr="000C1B93">
        <w:rPr>
          <w:rFonts w:ascii="Times New Roman" w:eastAsia="Times New Roman" w:hAnsi="Times New Roman" w:cs="Times New Roman"/>
          <w:b/>
          <w:bCs/>
          <w:lang w:eastAsia="en-GB"/>
        </w:rPr>
        <w:t>Diversification</w:t>
      </w:r>
      <w:r w:rsidRPr="000C1B93">
        <w:rPr>
          <w:rFonts w:ascii="Times New Roman" w:eastAsia="Times New Roman" w:hAnsi="Times New Roman" w:cs="Times New Roman"/>
          <w:lang w:eastAsia="en-GB"/>
        </w:rPr>
        <w:t xml:space="preserve"> into unrelated financial, media or technology markets would be the highest-risk option and could distract management while two large organisations and networks are being integrated. Therefore, the most appropriate Ansoff route is related product development supported by selective market development.</w:t>
      </w:r>
    </w:p>
    <w:p w14:paraId="53AA089E"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recommended strategy is a Differentiated 5G Enterprise and Digital Infrastructure Ecosystem. VodafoneThree should move beyond selling connectivity as a commodity and provide integrated, sector-specific solutions combining private 5G, IoT sensors, edge and cloud connectivity, cybersecurity, data analytics and managed support. Initial priority sectors should include logistics, manufacturing, healthcare, transport, local government and medium-sized businesses. These sectors require reliable, secure and low-latency connectivity and can produce recurring revenue through multi-year service contracts.</w:t>
      </w:r>
    </w:p>
    <w:p w14:paraId="3D196BDE"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resource-based view further supports this selection. VodafoneThree’s combined spectrum, customer base, network sites, enterprise relationships and £11 billion investment commitment are valuable resources that would be extremely expensive for a new competitor to reproduce. Nevertheless, these resources will generate sustained advantage only when the organisation is structured to exploit them. VodafoneThree therefore requires integrated customer data, unified product platforms, specialised enterprise sales teams and strong governance of partnerships and cybersecurity. This reflects the VRIO principle that resources must be valuable, relatively rare, difficult to imitate and supported by the organisation.</w:t>
      </w:r>
    </w:p>
    <w:p w14:paraId="134BEEA8"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Under Porter’s Generic Strategies, the proposal represents </w:t>
      </w:r>
      <w:r w:rsidRPr="000C1B93">
        <w:rPr>
          <w:rFonts w:ascii="Times New Roman" w:eastAsia="Times New Roman" w:hAnsi="Times New Roman" w:cs="Times New Roman"/>
          <w:b/>
          <w:bCs/>
          <w:lang w:eastAsia="en-GB"/>
        </w:rPr>
        <w:t>broad differentiation</w:t>
      </w:r>
      <w:r w:rsidRPr="000C1B93">
        <w:rPr>
          <w:rFonts w:ascii="Times New Roman" w:eastAsia="Times New Roman" w:hAnsi="Times New Roman" w:cs="Times New Roman"/>
          <w:lang w:eastAsia="en-GB"/>
        </w:rPr>
        <w:t xml:space="preserve">, with an initial </w:t>
      </w:r>
      <w:r w:rsidRPr="000C1B93">
        <w:rPr>
          <w:rFonts w:ascii="Times New Roman" w:eastAsia="Times New Roman" w:hAnsi="Times New Roman" w:cs="Times New Roman"/>
          <w:b/>
          <w:bCs/>
          <w:lang w:eastAsia="en-GB"/>
        </w:rPr>
        <w:t>focused-differentiation</w:t>
      </w:r>
      <w:r w:rsidRPr="000C1B93">
        <w:rPr>
          <w:rFonts w:ascii="Times New Roman" w:eastAsia="Times New Roman" w:hAnsi="Times New Roman" w:cs="Times New Roman"/>
          <w:lang w:eastAsia="en-GB"/>
        </w:rPr>
        <w:t xml:space="preserve"> approach within selected industries (Porter, 1980; Porter, 1985). Pure cost leadership would be inappropriate because MVNOs generally operate with lower infrastructure costs and consumers can easily compare low-priced mobile offers. VodafoneThree should still capture its planned £700 million annual synergies, but these savings should finance network quality, digital platforms and customer-service improvement rather than initiate a price war. Differentiation should be based on measurable coverage, reliability, security, implementation expertise and a single accountable service relationship.</w:t>
      </w:r>
    </w:p>
    <w:p w14:paraId="630F4FB0"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lastRenderedPageBreak/>
        <w:t>Implementation should follow an ecosystem model. VodafoneThree should partner with cloud providers, cybersecurity specialists, equipment manufacturers, universities, local authorities and sector experts rather than attempting to develop every capability internally. Pilot projects should be introduced within a limited number of regions and industries, measured against clear commercial and operational criteria, and scaled when they demonstrate value. This would reduce investment risk while reflecting Vodafone’s values of creating the future, experimenting and learning fast, and getting it done together.</w:t>
      </w:r>
    </w:p>
    <w:p w14:paraId="5D70F6A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strategy aligns with Vodafone’s mission to connect everyone by extending advanced connectivity to businesses, communities and public services. It also supports the company’s environmental and social commitments. Smart logistics, remote monitoring and connected public services can improve resource efficiency and access, while rural deployment can narrow the digital divide.</w:t>
      </w:r>
    </w:p>
    <w:p w14:paraId="51B3CEE5" w14:textId="4EB7A460" w:rsid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Board-level performance measures should include enterprise digital-service revenue growth, pilot-to-contract conversion, customer churn, business net promoter score, 5G Standalone coverage, network reliability, delivery of cost synergies, security incidents and energy consumed per unit of data. This approach offers stronger margins and customer loyalty than consumer price competition while transforming the merger’s expanded infrastructure into a sustainable competitive advantage.</w:t>
      </w:r>
    </w:p>
    <w:p w14:paraId="7629C5FF"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p>
    <w:p w14:paraId="05FA0464" w14:textId="3B9DC0A6" w:rsidR="000C1B93" w:rsidRPr="000C1B93" w:rsidRDefault="000C1B93" w:rsidP="000C1B93">
      <w:pPr>
        <w:pStyle w:val="Heading1"/>
        <w:rPr>
          <w:rFonts w:eastAsia="Times New Roman"/>
          <w:b/>
          <w:bCs/>
          <w:u w:val="single"/>
          <w:lang w:eastAsia="en-GB"/>
        </w:rPr>
      </w:pPr>
      <w:bookmarkStart w:id="6" w:name="_Toc234704259"/>
      <w:r w:rsidRPr="000C1B93">
        <w:rPr>
          <w:rFonts w:eastAsia="Times New Roman"/>
          <w:b/>
          <w:bCs/>
          <w:u w:val="single"/>
          <w:lang w:eastAsia="en-GB"/>
        </w:rPr>
        <w:t>Strategy Evaluation</w:t>
      </w:r>
      <w:bookmarkEnd w:id="6"/>
    </w:p>
    <w:p w14:paraId="51C04FA8"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The proposed Differentiated 5G Enterprise and Digital Infrastructure Ecosystem can be evaluated through the Suitability, Feasibility and </w:t>
      </w:r>
      <w:proofErr w:type="spellStart"/>
      <w:r w:rsidRPr="000C1B93">
        <w:rPr>
          <w:rFonts w:ascii="Times New Roman" w:eastAsia="Times New Roman" w:hAnsi="Times New Roman" w:cs="Times New Roman"/>
          <w:lang w:eastAsia="en-GB"/>
        </w:rPr>
        <w:t>Ather</w:t>
      </w:r>
      <w:proofErr w:type="spellEnd"/>
      <w:r w:rsidRPr="000C1B93">
        <w:rPr>
          <w:rFonts w:ascii="Times New Roman" w:eastAsia="Times New Roman" w:hAnsi="Times New Roman" w:cs="Times New Roman"/>
          <w:lang w:eastAsia="en-GB"/>
        </w:rPr>
        <w:t xml:space="preserve"> a strategy responds to the organisation’s environment, can be delivered using available resources and is likely to satisfy key stakeholder expectations (Johnson et al., 2017).</w:t>
      </w:r>
    </w:p>
    <w:p w14:paraId="59BCB081" w14:textId="77777777" w:rsidR="000C1B93" w:rsidRPr="000C1B93" w:rsidRDefault="000C1B93" w:rsidP="000C1B93">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7" w:name="_Toc234704260"/>
      <w:r w:rsidRPr="000C1B93">
        <w:rPr>
          <w:rFonts w:ascii="Times New Roman" w:eastAsia="Times New Roman" w:hAnsi="Times New Roman" w:cs="Times New Roman"/>
          <w:b/>
          <w:bCs/>
          <w:sz w:val="27"/>
          <w:szCs w:val="27"/>
          <w:lang w:eastAsia="en-GB"/>
        </w:rPr>
        <w:t>Suitability</w:t>
      </w:r>
      <w:bookmarkEnd w:id="7"/>
    </w:p>
    <w:p w14:paraId="36CC21DA"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strategy is highly suitable because it responds directly to the opportunities and threats identified in the PESTEL and SWOT analyses. Technologically, increasing demand for cloud computing, cybersecurity, IoT and data-sovereign digital infrastructure creates opportunities beyond traditional mobile connectivity. Vodafone estimates that the addressable business-to-</w:t>
      </w:r>
      <w:r w:rsidRPr="000C1B93">
        <w:rPr>
          <w:rFonts w:ascii="Times New Roman" w:eastAsia="Times New Roman" w:hAnsi="Times New Roman" w:cs="Times New Roman"/>
          <w:lang w:eastAsia="en-GB"/>
        </w:rPr>
        <w:lastRenderedPageBreak/>
        <w:t xml:space="preserve">business cloud and security market could reach €84 billion by 2028. Vodafone already serves approximately five million business customers and manages 244 million IoT connections, giving VodafoneThree an established platform from which to develop integrated enterprise solutions (Vodafone, 2026a). </w:t>
      </w:r>
      <w:proofErr w:type="spellStart"/>
      <w:r w:rsidRPr="000C1B93">
        <w:rPr>
          <w:rFonts w:ascii="Times New Roman" w:eastAsia="Times New Roman" w:hAnsi="Times New Roman" w:cs="Times New Roman"/>
          <w:lang w:eastAsia="en-GB"/>
        </w:rPr>
        <w:t>tegy</w:t>
      </w:r>
      <w:proofErr w:type="spellEnd"/>
      <w:r w:rsidRPr="000C1B93">
        <w:rPr>
          <w:rFonts w:ascii="Times New Roman" w:eastAsia="Times New Roman" w:hAnsi="Times New Roman" w:cs="Times New Roman"/>
          <w:lang w:eastAsia="en-GB"/>
        </w:rPr>
        <w:t xml:space="preserve"> also addresses the competitive threat from EE, Virgin Media O2 and low-cost MVNOs. Competing mainly through price would be difficult because the CMA requires VodafoneThree to cap selected tariffs and offer </w:t>
      </w:r>
      <w:proofErr w:type="spellStart"/>
      <w:r w:rsidRPr="000C1B93">
        <w:rPr>
          <w:rFonts w:ascii="Times New Roman" w:eastAsia="Times New Roman" w:hAnsi="Times New Roman" w:cs="Times New Roman"/>
          <w:lang w:eastAsia="en-GB"/>
        </w:rPr>
        <w:t>preset</w:t>
      </w:r>
      <w:proofErr w:type="spellEnd"/>
      <w:r w:rsidRPr="000C1B93">
        <w:rPr>
          <w:rFonts w:ascii="Times New Roman" w:eastAsia="Times New Roman" w:hAnsi="Times New Roman" w:cs="Times New Roman"/>
          <w:lang w:eastAsia="en-GB"/>
        </w:rPr>
        <w:t xml:space="preserve"> wholesale terms to MVNOs for three years. Differentiation through network reliability, security and sector expertise is therefore more appropriate than cost leadership (CMA, 2024; Porter, 1985). ore, the strategy supports the political and social requirement to improve UK digital infrastructure. VodafoneThree has committed £11 billion over ten years to develop its network, while better 5G services can support healthcare, manufacturing, transport, local government and rural communities (Vodafone, 2025a). </w:t>
      </w:r>
      <w:proofErr w:type="spellStart"/>
      <w:r w:rsidRPr="000C1B93">
        <w:rPr>
          <w:rFonts w:ascii="Times New Roman" w:eastAsia="Times New Roman" w:hAnsi="Times New Roman" w:cs="Times New Roman"/>
          <w:lang w:eastAsia="en-GB"/>
        </w:rPr>
        <w:t>ibility</w:t>
      </w:r>
      <w:proofErr w:type="spellEnd"/>
    </w:p>
    <w:p w14:paraId="503B6BA1"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VodafoneThree possesses the network scale, spectrum, customer relationships and technical expertise required to implement the strategy. The wider Group operates a 24-hour cybersecurity centre, has a presence in 75 business markets and has established partnerships with technology companies such as Microsoft and Google. These resources support the delivery of cloud, IoT, AI and cybersecurity solutions without requiring every capability to be developed internally (Vodafone, 2026a). l feasibility is more constrained. Vodafone reported adjusted free cash flow of €2.621 billion in FY26, but net debt was €25.4 billion. The strategy should therefore use phased pilots and partnership-based investment rather than large-scale development before customer demand is proven (Vodafone, 2026b). ted £700 million in annual merger synergies by FY30 could partly fund successful projects, although these savings must also support network integration and service improvements. </w:t>
      </w:r>
      <w:proofErr w:type="spellStart"/>
      <w:r w:rsidRPr="000C1B93">
        <w:rPr>
          <w:rFonts w:ascii="Times New Roman" w:eastAsia="Times New Roman" w:hAnsi="Times New Roman" w:cs="Times New Roman"/>
          <w:lang w:eastAsia="en-GB"/>
        </w:rPr>
        <w:t>ptability</w:t>
      </w:r>
      <w:proofErr w:type="spellEnd"/>
    </w:p>
    <w:p w14:paraId="129CEB9D"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The strategy should be acceptable to shareholders because enterprise contracts can produce recurring revenue, stronger margins and lower customer churn. Customers would gain more reliable and secure services, while regulators and communities would benefit from improved coverage and infrastructure investment.</w:t>
      </w:r>
    </w:p>
    <w:p w14:paraId="29079DA2"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However, implementation risks include cyber incidents, project failure, employee resistance and disruption during network integration. Vodafone was among the most complained-about UK broadband providers in late 2025, demonstrating that customer-service improvement must accompany product expansion (Ofcom, 2026a). the strategy is acceptable provided that pilots are independently </w:t>
      </w:r>
      <w:proofErr w:type="gramStart"/>
      <w:r w:rsidRPr="000C1B93">
        <w:rPr>
          <w:rFonts w:ascii="Times New Roman" w:eastAsia="Times New Roman" w:hAnsi="Times New Roman" w:cs="Times New Roman"/>
          <w:lang w:eastAsia="en-GB"/>
        </w:rPr>
        <w:t>assessed</w:t>
      </w:r>
      <w:proofErr w:type="gramEnd"/>
      <w:r w:rsidRPr="000C1B93">
        <w:rPr>
          <w:rFonts w:ascii="Times New Roman" w:eastAsia="Times New Roman" w:hAnsi="Times New Roman" w:cs="Times New Roman"/>
          <w:lang w:eastAsia="en-GB"/>
        </w:rPr>
        <w:t xml:space="preserve"> and investment is released in stages.</w:t>
      </w:r>
    </w:p>
    <w:p w14:paraId="24372127"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lastRenderedPageBreak/>
        <w:t>Assumptions:</w:t>
      </w:r>
      <w:r w:rsidRPr="000C1B93">
        <w:rPr>
          <w:rFonts w:ascii="Times New Roman" w:eastAsia="Times New Roman" w:hAnsi="Times New Roman" w:cs="Times New Roman"/>
          <w:lang w:eastAsia="en-GB"/>
        </w:rPr>
        <w:t xml:space="preserve"> It is assumed that part of the £11 billion network programme and merger synergies can support enterprise-service development; technology partners will share development costs; and no major regulatory change prevents the proposed use of customer and network data.</w:t>
      </w:r>
    </w:p>
    <w:p w14:paraId="71FF8BB7" w14:textId="2DF46145" w:rsidR="000C1B93" w:rsidRPr="000C1B93" w:rsidRDefault="000C1B93" w:rsidP="000C1B93">
      <w:pPr>
        <w:pStyle w:val="Heading1"/>
        <w:rPr>
          <w:rFonts w:eastAsia="Times New Roman"/>
          <w:b/>
          <w:bCs/>
          <w:u w:val="single"/>
          <w:lang w:eastAsia="en-GB"/>
        </w:rPr>
      </w:pPr>
      <w:bookmarkStart w:id="8" w:name="_Toc234704261"/>
      <w:r w:rsidRPr="000C1B93">
        <w:rPr>
          <w:rFonts w:eastAsia="Times New Roman"/>
          <w:b/>
          <w:bCs/>
          <w:u w:val="single"/>
          <w:lang w:eastAsia="en-GB"/>
        </w:rPr>
        <w:t>Stakeholder Analysis</w:t>
      </w:r>
      <w:bookmarkEnd w:id="8"/>
    </w:p>
    <w:p w14:paraId="54BA9D04" w14:textId="38999B66"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Stakeholder theory outlines that organisation must create value for all those affected by their operations including employees, customers, suppliers, and local community, this way the organisation doesn’t only focus on maximising profits but balancing the needs of its stakeholders too. </w:t>
      </w:r>
      <w:r w:rsidRPr="000C1B93">
        <w:rPr>
          <w:rFonts w:ascii="Times New Roman" w:eastAsia="Times New Roman" w:hAnsi="Times New Roman" w:cs="Times New Roman"/>
          <w:lang w:eastAsia="en-GB"/>
        </w:rPr>
        <w:t>The proposed strategy would affect customers, employees, shareholders, regulators, suppliers, technology partners and local communities.</w:t>
      </w:r>
    </w:p>
    <w:p w14:paraId="16268716"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Using </w:t>
      </w:r>
      <w:proofErr w:type="spellStart"/>
      <w:r w:rsidRPr="000C1B93">
        <w:rPr>
          <w:rFonts w:ascii="Times New Roman" w:eastAsia="Times New Roman" w:hAnsi="Times New Roman" w:cs="Times New Roman"/>
          <w:lang w:eastAsia="en-GB"/>
        </w:rPr>
        <w:t>Mendelow’s</w:t>
      </w:r>
      <w:proofErr w:type="spellEnd"/>
      <w:r w:rsidRPr="000C1B93">
        <w:rPr>
          <w:rFonts w:ascii="Times New Roman" w:eastAsia="Times New Roman" w:hAnsi="Times New Roman" w:cs="Times New Roman"/>
          <w:lang w:eastAsia="en-GB"/>
        </w:rPr>
        <w:t xml:space="preserve"> Matrix, the board, major shareholders, Ofcom, the CMA and central government have high power and high interest and should therefore be managed closely. Investors will expect evidence that enterprise growth can generate returns without increasing financial risk. Regulators will require VodafoneThree to meet its legally binding network, tariff and wholesale commitments. Engagement should include quarterly board reviews, investor reporting and formal progress submissions to the CMA and Ofcom. enterprise and public-sector customers** also have high power and high interest because their long-term contracts will determine the commercial success of the strategy. VodafoneThree should involve selected customers in solution design, pilot evaluations and service-level reviews. Customer advisory panels and quarterly account meetings would help ensure that products address genuine operational problems rather than being technology-led.</w:t>
      </w:r>
    </w:p>
    <w:p w14:paraId="5F19084B"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Employees and trade representatives have high interest but comparatively moderate power. Integration, automation and new skill requirements may create uncertainty, although the strategy would also generate opportunities in cybersecurity, IoT and enterprise account management. Vodafone’s employee engagement score increased from 75% to 81% during FY26, but continued consultation and training will be required to maintain support (Vodafone, 2026b). t should include monthly briefings, employee surveys, specialist training and consultation through existing employee forums.</w:t>
      </w:r>
    </w:p>
    <w:p w14:paraId="5E601304" w14:textId="77777777"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Cloud providers, equipment manufacturers and cybersecurity partners should be kept satisfied through joint governance arrangements, shared project milestones and supplier-performance </w:t>
      </w:r>
      <w:r w:rsidRPr="000C1B93">
        <w:rPr>
          <w:rFonts w:ascii="Times New Roman" w:eastAsia="Times New Roman" w:hAnsi="Times New Roman" w:cs="Times New Roman"/>
          <w:lang w:eastAsia="en-GB"/>
        </w:rPr>
        <w:lastRenderedPageBreak/>
        <w:t>reviews. Vodafone works with more than 8,500 suppliers and already incorporates ESG criteria into procurement and supplier assessment (Vodafone, 2026b). SMEs, consumers, local communities and NGOs should be kept informed through public coverage updates, consultations and digital-inclusion partnerships. Their individual power is limited, but collectively they can influence VodafoneThree’s reputation and regulatory relationships.</w:t>
      </w:r>
    </w:p>
    <w:p w14:paraId="231B1A11" w14:textId="7540A8AF" w:rsidR="000C1B93" w:rsidRDefault="000C1B93" w:rsidP="000C1B93">
      <w:pPr>
        <w:pStyle w:val="Heading1"/>
        <w:rPr>
          <w:rFonts w:eastAsia="Times New Roman"/>
          <w:b/>
          <w:bCs/>
          <w:u w:val="single"/>
          <w:lang w:eastAsia="en-GB"/>
        </w:rPr>
      </w:pPr>
      <w:bookmarkStart w:id="9" w:name="_Toc234704262"/>
      <w:r w:rsidRPr="000C1B93">
        <w:rPr>
          <w:rFonts w:eastAsia="Times New Roman"/>
          <w:b/>
          <w:bCs/>
          <w:u w:val="single"/>
          <w:lang w:eastAsia="en-GB"/>
        </w:rPr>
        <w:t>Implementation and Monitoring</w:t>
      </w:r>
      <w:bookmarkEnd w:id="9"/>
    </w:p>
    <w:p w14:paraId="4C942CCC" w14:textId="77777777" w:rsidR="000C1B93" w:rsidRPr="000C1B93" w:rsidRDefault="000C1B93" w:rsidP="000C1B93">
      <w:pPr>
        <w:rPr>
          <w:lang w:eastAsia="en-GB"/>
        </w:rPr>
      </w:pPr>
    </w:p>
    <w:tbl>
      <w:tblPr>
        <w:tblStyle w:val="TableGrid"/>
        <w:tblW w:w="0" w:type="auto"/>
        <w:tblLook w:val="04A0" w:firstRow="1" w:lastRow="0" w:firstColumn="1" w:lastColumn="0" w:noHBand="0" w:noVBand="1"/>
      </w:tblPr>
      <w:tblGrid>
        <w:gridCol w:w="1547"/>
        <w:gridCol w:w="1769"/>
        <w:gridCol w:w="2128"/>
        <w:gridCol w:w="1864"/>
        <w:gridCol w:w="1708"/>
      </w:tblGrid>
      <w:tr w:rsidR="000C1B93" w:rsidRPr="000C1B93" w14:paraId="70D4675A" w14:textId="77777777" w:rsidTr="000C1B93">
        <w:tc>
          <w:tcPr>
            <w:tcW w:w="0" w:type="auto"/>
            <w:hideMark/>
          </w:tcPr>
          <w:p w14:paraId="61C3BCF7" w14:textId="77777777" w:rsidR="000C1B93" w:rsidRPr="000C1B93" w:rsidRDefault="000C1B93" w:rsidP="000C1B93">
            <w:pPr>
              <w:spacing w:line="360" w:lineRule="auto"/>
              <w:jc w:val="both"/>
              <w:rPr>
                <w:rFonts w:ascii="Times New Roman" w:eastAsia="Times New Roman" w:hAnsi="Times New Roman" w:cs="Times New Roman"/>
                <w:b/>
                <w:bCs/>
                <w:lang w:eastAsia="en-GB"/>
              </w:rPr>
            </w:pPr>
            <w:r w:rsidRPr="000C1B93">
              <w:rPr>
                <w:rFonts w:ascii="Times New Roman" w:eastAsia="Times New Roman" w:hAnsi="Times New Roman" w:cs="Times New Roman"/>
                <w:b/>
                <w:bCs/>
                <w:lang w:eastAsia="en-GB"/>
              </w:rPr>
              <w:t>Phase and timing</w:t>
            </w:r>
          </w:p>
        </w:tc>
        <w:tc>
          <w:tcPr>
            <w:tcW w:w="0" w:type="auto"/>
            <w:hideMark/>
          </w:tcPr>
          <w:p w14:paraId="2D3531D0" w14:textId="77777777" w:rsidR="000C1B93" w:rsidRPr="000C1B93" w:rsidRDefault="000C1B93" w:rsidP="000C1B93">
            <w:pPr>
              <w:spacing w:line="360" w:lineRule="auto"/>
              <w:jc w:val="both"/>
              <w:rPr>
                <w:rFonts w:ascii="Times New Roman" w:eastAsia="Times New Roman" w:hAnsi="Times New Roman" w:cs="Times New Roman"/>
                <w:b/>
                <w:bCs/>
                <w:lang w:eastAsia="en-GB"/>
              </w:rPr>
            </w:pPr>
            <w:r w:rsidRPr="000C1B93">
              <w:rPr>
                <w:rFonts w:ascii="Times New Roman" w:eastAsia="Times New Roman" w:hAnsi="Times New Roman" w:cs="Times New Roman"/>
                <w:b/>
                <w:bCs/>
                <w:lang w:eastAsia="en-GB"/>
              </w:rPr>
              <w:t>Objective</w:t>
            </w:r>
          </w:p>
        </w:tc>
        <w:tc>
          <w:tcPr>
            <w:tcW w:w="0" w:type="auto"/>
            <w:hideMark/>
          </w:tcPr>
          <w:p w14:paraId="6CC4C97C" w14:textId="77777777" w:rsidR="000C1B93" w:rsidRPr="000C1B93" w:rsidRDefault="000C1B93" w:rsidP="000C1B93">
            <w:pPr>
              <w:spacing w:line="360" w:lineRule="auto"/>
              <w:jc w:val="both"/>
              <w:rPr>
                <w:rFonts w:ascii="Times New Roman" w:eastAsia="Times New Roman" w:hAnsi="Times New Roman" w:cs="Times New Roman"/>
                <w:b/>
                <w:bCs/>
                <w:lang w:eastAsia="en-GB"/>
              </w:rPr>
            </w:pPr>
            <w:r w:rsidRPr="000C1B93">
              <w:rPr>
                <w:rFonts w:ascii="Times New Roman" w:eastAsia="Times New Roman" w:hAnsi="Times New Roman" w:cs="Times New Roman"/>
                <w:b/>
                <w:bCs/>
                <w:lang w:eastAsia="en-GB"/>
              </w:rPr>
              <w:t>Actions required</w:t>
            </w:r>
          </w:p>
        </w:tc>
        <w:tc>
          <w:tcPr>
            <w:tcW w:w="0" w:type="auto"/>
            <w:hideMark/>
          </w:tcPr>
          <w:p w14:paraId="54727A7B" w14:textId="77777777" w:rsidR="000C1B93" w:rsidRPr="000C1B93" w:rsidRDefault="000C1B93" w:rsidP="000C1B93">
            <w:pPr>
              <w:spacing w:line="360" w:lineRule="auto"/>
              <w:jc w:val="both"/>
              <w:rPr>
                <w:rFonts w:ascii="Times New Roman" w:eastAsia="Times New Roman" w:hAnsi="Times New Roman" w:cs="Times New Roman"/>
                <w:b/>
                <w:bCs/>
                <w:lang w:eastAsia="en-GB"/>
              </w:rPr>
            </w:pPr>
            <w:r w:rsidRPr="000C1B93">
              <w:rPr>
                <w:rFonts w:ascii="Times New Roman" w:eastAsia="Times New Roman" w:hAnsi="Times New Roman" w:cs="Times New Roman"/>
                <w:b/>
                <w:bCs/>
                <w:lang w:eastAsia="en-GB"/>
              </w:rPr>
              <w:t>Responsibility</w:t>
            </w:r>
          </w:p>
        </w:tc>
        <w:tc>
          <w:tcPr>
            <w:tcW w:w="0" w:type="auto"/>
            <w:hideMark/>
          </w:tcPr>
          <w:p w14:paraId="46D191D5" w14:textId="77777777" w:rsidR="000C1B93" w:rsidRPr="000C1B93" w:rsidRDefault="000C1B93" w:rsidP="000C1B93">
            <w:pPr>
              <w:spacing w:line="360" w:lineRule="auto"/>
              <w:jc w:val="both"/>
              <w:rPr>
                <w:rFonts w:ascii="Times New Roman" w:eastAsia="Times New Roman" w:hAnsi="Times New Roman" w:cs="Times New Roman"/>
                <w:b/>
                <w:bCs/>
                <w:lang w:eastAsia="en-GB"/>
              </w:rPr>
            </w:pPr>
            <w:r w:rsidRPr="000C1B93">
              <w:rPr>
                <w:rFonts w:ascii="Times New Roman" w:eastAsia="Times New Roman" w:hAnsi="Times New Roman" w:cs="Times New Roman"/>
                <w:b/>
                <w:bCs/>
                <w:lang w:eastAsia="en-GB"/>
              </w:rPr>
              <w:t>Key performance indicators</w:t>
            </w:r>
          </w:p>
        </w:tc>
      </w:tr>
      <w:tr w:rsidR="000C1B93" w:rsidRPr="000C1B93" w14:paraId="1457B0B1" w14:textId="77777777" w:rsidTr="000C1B93">
        <w:tc>
          <w:tcPr>
            <w:tcW w:w="0" w:type="auto"/>
            <w:hideMark/>
          </w:tcPr>
          <w:p w14:paraId="1F8DD2C5"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1. Strategic preparation — Months 1–3</w:t>
            </w:r>
          </w:p>
        </w:tc>
        <w:tc>
          <w:tcPr>
            <w:tcW w:w="0" w:type="auto"/>
            <w:hideMark/>
          </w:tcPr>
          <w:p w14:paraId="1EDB98C6"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Establish governance and identify priority markets.</w:t>
            </w:r>
          </w:p>
        </w:tc>
        <w:tc>
          <w:tcPr>
            <w:tcW w:w="0" w:type="auto"/>
            <w:hideMark/>
          </w:tcPr>
          <w:p w14:paraId="6980A929"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Create a VodafoneThree Enterprise Ecosystem Steering Committee. Select three priority sectors, provisionally logistics, manufacturing and healthcare. Complete customer research, regulatory reviews, cybersecurity assessments and baseline measurements. Allocate an initial pilot budget from existing transformation and </w:t>
            </w:r>
            <w:r w:rsidRPr="000C1B93">
              <w:rPr>
                <w:rFonts w:ascii="Times New Roman" w:eastAsia="Times New Roman" w:hAnsi="Times New Roman" w:cs="Times New Roman"/>
                <w:lang w:eastAsia="en-GB"/>
              </w:rPr>
              <w:lastRenderedPageBreak/>
              <w:t>network-investment funding.</w:t>
            </w:r>
          </w:p>
        </w:tc>
        <w:tc>
          <w:tcPr>
            <w:tcW w:w="0" w:type="auto"/>
            <w:hideMark/>
          </w:tcPr>
          <w:p w14:paraId="07E683CE"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lastRenderedPageBreak/>
              <w:t>UK CEO, Enterprise Director, CFO, Technology Director and Legal and Regulatory teams.</w:t>
            </w:r>
          </w:p>
        </w:tc>
        <w:tc>
          <w:tcPr>
            <w:tcW w:w="0" w:type="auto"/>
            <w:hideMark/>
          </w:tcPr>
          <w:p w14:paraId="315B3D9E"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Governance established by Month 2; three sectors approved; baseline customer satisfaction, revenue and coverage measures completed; 100% of pilots subject to privacy and security assessment.</w:t>
            </w:r>
          </w:p>
        </w:tc>
      </w:tr>
      <w:tr w:rsidR="000C1B93" w:rsidRPr="000C1B93" w14:paraId="34334B90" w14:textId="77777777" w:rsidTr="000C1B93">
        <w:tc>
          <w:tcPr>
            <w:tcW w:w="0" w:type="auto"/>
            <w:hideMark/>
          </w:tcPr>
          <w:p w14:paraId="0322250F"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2. Capability development — Months 3–6</w:t>
            </w:r>
          </w:p>
        </w:tc>
        <w:tc>
          <w:tcPr>
            <w:tcW w:w="0" w:type="auto"/>
            <w:hideMark/>
          </w:tcPr>
          <w:p w14:paraId="4FF4711D"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Build the products, partnerships and workforce required for pilots.</w:t>
            </w:r>
          </w:p>
        </w:tc>
        <w:tc>
          <w:tcPr>
            <w:tcW w:w="0" w:type="auto"/>
            <w:hideMark/>
          </w:tcPr>
          <w:p w14:paraId="6FA43602"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Develop modular packages combining private 5G, IoT, cloud connectivity, analytics and cybersecurity. Select technology partners through procurement and ESG assessment. Train enterprise sales, engineering and customer-support employees. Vodafone already uses supplier audits and sustainability criteria, which should be extended to ecosystem partners (Vodafone, 2026a). </w:t>
            </w:r>
            <w:proofErr w:type="spellStart"/>
            <w:r w:rsidRPr="000C1B93">
              <w:rPr>
                <w:rFonts w:ascii="Times New Roman" w:eastAsia="Times New Roman" w:hAnsi="Times New Roman" w:cs="Times New Roman"/>
                <w:lang w:eastAsia="en-GB"/>
              </w:rPr>
              <w:t>ise</w:t>
            </w:r>
            <w:proofErr w:type="spellEnd"/>
            <w:r w:rsidRPr="000C1B93">
              <w:rPr>
                <w:rFonts w:ascii="Times New Roman" w:eastAsia="Times New Roman" w:hAnsi="Times New Roman" w:cs="Times New Roman"/>
                <w:lang w:eastAsia="en-GB"/>
              </w:rPr>
              <w:t xml:space="preserve"> Product Director, Procurement, Human Resources and Chief Information Security Officer.</w:t>
            </w:r>
          </w:p>
        </w:tc>
        <w:tc>
          <w:tcPr>
            <w:tcW w:w="0" w:type="auto"/>
            <w:hideMark/>
          </w:tcPr>
          <w:p w14:paraId="09B8DEB8"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At least three strategic partnerships agreed; 90% of relevant employees complete training; all partners pass security and ESG checks; pilot products ready by Month 6.</w:t>
            </w:r>
          </w:p>
        </w:tc>
        <w:tc>
          <w:tcPr>
            <w:tcW w:w="0" w:type="auto"/>
            <w:hideMark/>
          </w:tcPr>
          <w:p w14:paraId="1444F337" w14:textId="77777777" w:rsidR="000C1B93" w:rsidRPr="000C1B93" w:rsidRDefault="000C1B93" w:rsidP="000C1B93">
            <w:pPr>
              <w:spacing w:line="360" w:lineRule="auto"/>
              <w:jc w:val="both"/>
              <w:rPr>
                <w:rFonts w:ascii="Times New Roman" w:eastAsia="Times New Roman" w:hAnsi="Times New Roman" w:cs="Times New Roman"/>
                <w:lang w:eastAsia="en-GB"/>
              </w:rPr>
            </w:pPr>
          </w:p>
        </w:tc>
      </w:tr>
      <w:tr w:rsidR="000C1B93" w:rsidRPr="000C1B93" w14:paraId="0D270310" w14:textId="77777777" w:rsidTr="000C1B93">
        <w:tc>
          <w:tcPr>
            <w:tcW w:w="0" w:type="auto"/>
            <w:hideMark/>
          </w:tcPr>
          <w:p w14:paraId="2EE6B133"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lastRenderedPageBreak/>
              <w:t>3. Pilot delivery — Months 6–12</w:t>
            </w:r>
          </w:p>
        </w:tc>
        <w:tc>
          <w:tcPr>
            <w:tcW w:w="0" w:type="auto"/>
            <w:hideMark/>
          </w:tcPr>
          <w:p w14:paraId="6328BBDB"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Test commercial demand and operational performance.</w:t>
            </w:r>
          </w:p>
        </w:tc>
        <w:tc>
          <w:tcPr>
            <w:tcW w:w="0" w:type="auto"/>
            <w:hideMark/>
          </w:tcPr>
          <w:p w14:paraId="2CBBA198"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Launch between six and ten pilots across the selected sectors and include at least one public-sector or rural-connectivity project. Establish service-level agreements covering availability, latency, incident response and data protection. Collect monthly feedback from customers and frontline employees.</w:t>
            </w:r>
          </w:p>
        </w:tc>
        <w:tc>
          <w:tcPr>
            <w:tcW w:w="0" w:type="auto"/>
            <w:hideMark/>
          </w:tcPr>
          <w:p w14:paraId="35330050"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Sector teams, regional network managers and partner organisations.</w:t>
            </w:r>
          </w:p>
        </w:tc>
        <w:tc>
          <w:tcPr>
            <w:tcW w:w="0" w:type="auto"/>
            <w:hideMark/>
          </w:tcPr>
          <w:p w14:paraId="009FCA78"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Minimum 99.9% pilot-service availability; customer satisfaction above 80%; no major cybersecurity breach; at least 70% of pilots delivered within budget and agreed timescales.</w:t>
            </w:r>
          </w:p>
        </w:tc>
      </w:tr>
      <w:tr w:rsidR="000C1B93" w:rsidRPr="000C1B93" w14:paraId="7A25194C" w14:textId="77777777" w:rsidTr="000C1B93">
        <w:tc>
          <w:tcPr>
            <w:tcW w:w="0" w:type="auto"/>
            <w:hideMark/>
          </w:tcPr>
          <w:p w14:paraId="2CAD2966"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4. Evaluation and expansion — Year 2</w:t>
            </w:r>
          </w:p>
        </w:tc>
        <w:tc>
          <w:tcPr>
            <w:tcW w:w="0" w:type="auto"/>
            <w:hideMark/>
          </w:tcPr>
          <w:p w14:paraId="0A19EFF5"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Convert successful pilots into repeatable commercial services.</w:t>
            </w:r>
          </w:p>
        </w:tc>
        <w:tc>
          <w:tcPr>
            <w:tcW w:w="0" w:type="auto"/>
            <w:hideMark/>
          </w:tcPr>
          <w:p w14:paraId="2017472F"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 xml:space="preserve">Apply investment-gate reviews using revenue potential, customer outcomes, security performance and implementation costs. Standardise successful products and extend them to SMEs, local authorities and additional regions. The expansion should coordinate </w:t>
            </w:r>
            <w:r w:rsidRPr="000C1B93">
              <w:rPr>
                <w:rFonts w:ascii="Times New Roman" w:eastAsia="Times New Roman" w:hAnsi="Times New Roman" w:cs="Times New Roman"/>
                <w:lang w:eastAsia="en-GB"/>
              </w:rPr>
              <w:lastRenderedPageBreak/>
              <w:t>with VodafoneThree’s wider £11 billion network programme (Vodafone, 2025a). g Committee, Finance, Enterprise Sales and Network Planning.</w:t>
            </w:r>
          </w:p>
        </w:tc>
        <w:tc>
          <w:tcPr>
            <w:tcW w:w="0" w:type="auto"/>
            <w:hideMark/>
          </w:tcPr>
          <w:p w14:paraId="3812A89C"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lastRenderedPageBreak/>
              <w:t xml:space="preserve">At least 50% pilot-to-contract conversion; positive contribution margin from approved services; enterprise digital-service revenue growth of 8–10%; business-customer churn reduced by 2 </w:t>
            </w:r>
            <w:r w:rsidRPr="000C1B93">
              <w:rPr>
                <w:rFonts w:ascii="Times New Roman" w:eastAsia="Times New Roman" w:hAnsi="Times New Roman" w:cs="Times New Roman"/>
                <w:lang w:eastAsia="en-GB"/>
              </w:rPr>
              <w:lastRenderedPageBreak/>
              <w:t>percentage points.</w:t>
            </w:r>
          </w:p>
        </w:tc>
        <w:tc>
          <w:tcPr>
            <w:tcW w:w="0" w:type="auto"/>
            <w:hideMark/>
          </w:tcPr>
          <w:p w14:paraId="3EDB324A" w14:textId="77777777" w:rsidR="000C1B93" w:rsidRPr="000C1B93" w:rsidRDefault="000C1B93" w:rsidP="000C1B93">
            <w:pPr>
              <w:spacing w:line="360" w:lineRule="auto"/>
              <w:jc w:val="both"/>
              <w:rPr>
                <w:rFonts w:ascii="Times New Roman" w:eastAsia="Times New Roman" w:hAnsi="Times New Roman" w:cs="Times New Roman"/>
                <w:lang w:eastAsia="en-GB"/>
              </w:rPr>
            </w:pPr>
          </w:p>
        </w:tc>
      </w:tr>
      <w:tr w:rsidR="000C1B93" w:rsidRPr="000C1B93" w14:paraId="62EF42D7" w14:textId="77777777" w:rsidTr="000C1B93">
        <w:tc>
          <w:tcPr>
            <w:tcW w:w="0" w:type="auto"/>
            <w:hideMark/>
          </w:tcPr>
          <w:p w14:paraId="7C485F55"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b/>
                <w:bCs/>
                <w:lang w:eastAsia="en-GB"/>
              </w:rPr>
              <w:t>5. National scaling — Years 3–5</w:t>
            </w:r>
          </w:p>
        </w:tc>
        <w:tc>
          <w:tcPr>
            <w:tcW w:w="0" w:type="auto"/>
            <w:hideMark/>
          </w:tcPr>
          <w:p w14:paraId="7F7E4147"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Establish VodafoneThree as a differentiated UK digital-infrastructure provider.</w:t>
            </w:r>
          </w:p>
        </w:tc>
        <w:tc>
          <w:tcPr>
            <w:tcW w:w="0" w:type="auto"/>
            <w:hideMark/>
          </w:tcPr>
          <w:p w14:paraId="299B354F"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Scale proven solutions nationally, automate service monitoring and integrate customer and operational systems. Reinvest an agreed proportion of merger synergies into innovation, customer service and network resilience.</w:t>
            </w:r>
          </w:p>
        </w:tc>
        <w:tc>
          <w:tcPr>
            <w:tcW w:w="0" w:type="auto"/>
            <w:hideMark/>
          </w:tcPr>
          <w:p w14:paraId="4258DC8F"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VodafoneThree Executive Committee and Board.</w:t>
            </w:r>
          </w:p>
        </w:tc>
        <w:tc>
          <w:tcPr>
            <w:tcW w:w="0" w:type="auto"/>
            <w:hideMark/>
          </w:tcPr>
          <w:p w14:paraId="66123104" w14:textId="77777777" w:rsidR="000C1B93" w:rsidRPr="000C1B93" w:rsidRDefault="000C1B93" w:rsidP="000C1B93">
            <w:pPr>
              <w:spacing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t>Progress towards £700 million annual synergies by FY30; improved enterprise Net Promoter Score; reduced Ofcom complaints; 99.95% service availability; annual reduction in energy used per unit of data; measurable return on invested capital.</w:t>
            </w:r>
          </w:p>
        </w:tc>
      </w:tr>
    </w:tbl>
    <w:p w14:paraId="2AAE6D62" w14:textId="6B876540" w:rsidR="000C1B93" w:rsidRPr="000C1B93" w:rsidRDefault="000C1B93" w:rsidP="000C1B93">
      <w:pPr>
        <w:spacing w:before="100" w:beforeAutospacing="1" w:after="100" w:afterAutospacing="1" w:line="360" w:lineRule="auto"/>
        <w:jc w:val="both"/>
        <w:rPr>
          <w:rFonts w:ascii="Times New Roman" w:eastAsia="Times New Roman" w:hAnsi="Times New Roman" w:cs="Times New Roman"/>
          <w:lang w:eastAsia="en-GB"/>
        </w:rPr>
      </w:pPr>
      <w:r w:rsidRPr="000C1B93">
        <w:rPr>
          <w:rFonts w:ascii="Times New Roman" w:eastAsia="Times New Roman" w:hAnsi="Times New Roman" w:cs="Times New Roman"/>
          <w:lang w:eastAsia="en-GB"/>
        </w:rPr>
        <w:lastRenderedPageBreak/>
        <w:t>Performance should be reviewed monthly by operational teams, quarterly by the steering committee and twice yearly by the board. Projects missing financial, customer or security thresholds for two consecutive reviews should be redesigned, paused or discontinued.</w:t>
      </w:r>
    </w:p>
    <w:p w14:paraId="73A9B5DE" w14:textId="539B93CA" w:rsidR="000C1B93" w:rsidRPr="000C1B93" w:rsidRDefault="000C1B93" w:rsidP="000C1B93">
      <w:pPr>
        <w:pStyle w:val="Heading1"/>
        <w:rPr>
          <w:b/>
          <w:bCs/>
          <w:u w:val="single"/>
        </w:rPr>
      </w:pPr>
      <w:bookmarkStart w:id="10" w:name="_Toc234704263"/>
      <w:r w:rsidRPr="000C1B93">
        <w:rPr>
          <w:b/>
          <w:bCs/>
          <w:u w:val="single"/>
        </w:rPr>
        <w:t>Conclusion</w:t>
      </w:r>
      <w:bookmarkEnd w:id="10"/>
    </w:p>
    <w:p w14:paraId="50B2EA80" w14:textId="77777777" w:rsidR="000C1B93" w:rsidRDefault="000C1B93" w:rsidP="000C1B93">
      <w:pPr>
        <w:pStyle w:val="NormalWeb"/>
        <w:spacing w:line="360" w:lineRule="auto"/>
        <w:jc w:val="both"/>
      </w:pPr>
      <w:r>
        <w:t>VodafoneThree’s creation represents a major strategic opportunity to strengthen Vodafone’s position within the UK telecommunications market. The PESTEL and SWOT analyses show that the company benefits from increased scale, combined spectrum, significant network investment and established enterprise capabilities. However, it also faces strong competition, regulatory obligations, integration risks, customer-service weaknesses and substantial financial commitments. The recommended differentiated 5G Enterprise and Digital Infrastructure Ecosystem offers the strongest route to sustainable growth because it converts VodafoneThree’s network assets into higher-value services such as private 5G, IoT, cybersecurity, cloud connectivity and smart infrastructure. This strategy is suitable, feasible and acceptable when implemented through partnerships, phased pilots and controlled investment. It also aligns with Vodafone’s mission to connect everyone and its values of innovation, collaboration and customer loyalty. Effective stakeholder engagement, clear governance and measurable KPIs will be essential to ensure that network expansion, cost synergies and enterprise growth translate into lasting competitive advantage and improved stakeholder value (Vodafone, 2026; Ofcom, 2026).</w:t>
      </w:r>
    </w:p>
    <w:p w14:paraId="40C29379" w14:textId="12817B96" w:rsidR="000C1B93" w:rsidRDefault="000C1B93"/>
    <w:p w14:paraId="0C6EDCBF" w14:textId="14174828" w:rsidR="000C1B93" w:rsidRDefault="000C1B93"/>
    <w:p w14:paraId="5C37E5EB" w14:textId="677C5BD5" w:rsidR="000C1B93" w:rsidRDefault="000C1B93"/>
    <w:p w14:paraId="28DBF710" w14:textId="19A1DDE2" w:rsidR="000C1B93" w:rsidRDefault="000C1B93"/>
    <w:p w14:paraId="71C9DC00" w14:textId="6809CEFA" w:rsidR="000C1B93" w:rsidRDefault="000C1B93"/>
    <w:p w14:paraId="4D94C557" w14:textId="77777777" w:rsidR="000C1B93" w:rsidRDefault="000C1B93" w:rsidP="000C1B93">
      <w:pPr>
        <w:pStyle w:val="Heading2"/>
      </w:pPr>
      <w:bookmarkStart w:id="11" w:name="_Toc234704264"/>
      <w:r>
        <w:t>References</w:t>
      </w:r>
      <w:bookmarkEnd w:id="11"/>
    </w:p>
    <w:p w14:paraId="5F638C62" w14:textId="77777777" w:rsidR="000C1B93" w:rsidRDefault="000C1B93" w:rsidP="000C1B93">
      <w:pPr>
        <w:pStyle w:val="NormalWeb"/>
      </w:pPr>
      <w:r>
        <w:t xml:space="preserve">Ansoff, H.I. (1957) ‘Strategies for diversification’, </w:t>
      </w:r>
      <w:r>
        <w:rPr>
          <w:rStyle w:val="Emphasis"/>
        </w:rPr>
        <w:t>Harvard Business Review</w:t>
      </w:r>
      <w:r>
        <w:t>, 35(5), pp. 113–124.</w:t>
      </w:r>
    </w:p>
    <w:p w14:paraId="090D71CF" w14:textId="77777777" w:rsidR="000C1B93" w:rsidRDefault="000C1B93" w:rsidP="000C1B93">
      <w:pPr>
        <w:pStyle w:val="NormalWeb"/>
      </w:pPr>
      <w:r>
        <w:t xml:space="preserve">Bank of England (2026) </w:t>
      </w:r>
      <w:r>
        <w:rPr>
          <w:rStyle w:val="Emphasis"/>
        </w:rPr>
        <w:t>Monetary Policy Summary and Minutes: June 2026</w:t>
      </w:r>
      <w:r>
        <w:t xml:space="preserve">. Available at: </w:t>
      </w:r>
      <w:hyperlink r:id="rId8" w:history="1">
        <w:r>
          <w:rPr>
            <w:rStyle w:val="Hyperlink"/>
          </w:rPr>
          <w:t>https://www.bankofengland.co.uk/monetary-policy-summary-and-minutes/2026/june-2026</w:t>
        </w:r>
      </w:hyperlink>
      <w:r>
        <w:t xml:space="preserve"> (Accessed: 11 July 2026).</w:t>
      </w:r>
    </w:p>
    <w:p w14:paraId="63D3BC62" w14:textId="77777777" w:rsidR="000C1B93" w:rsidRDefault="000C1B93" w:rsidP="000C1B93">
      <w:pPr>
        <w:pStyle w:val="NormalWeb"/>
      </w:pPr>
      <w:r>
        <w:t xml:space="preserve">Competition and Markets Authority (CMA) (2024) </w:t>
      </w:r>
      <w:r>
        <w:rPr>
          <w:rStyle w:val="Emphasis"/>
        </w:rPr>
        <w:t>CMA clears Vodafone/Three merger, subject to legally binding commitments</w:t>
      </w:r>
      <w:r>
        <w:t xml:space="preserve">. Available at: </w:t>
      </w:r>
      <w:hyperlink r:id="rId9" w:history="1">
        <w:r>
          <w:rPr>
            <w:rStyle w:val="Hyperlink"/>
          </w:rPr>
          <w:t>https://www.gov.uk/government/news/cma-clears-vodafone-three-merger-subject-to-legally-binding-commitments</w:t>
        </w:r>
      </w:hyperlink>
      <w:r>
        <w:t xml:space="preserve"> (Accessed: 11 July 2026).</w:t>
      </w:r>
    </w:p>
    <w:p w14:paraId="4CEEDF8E" w14:textId="77777777" w:rsidR="000C1B93" w:rsidRDefault="000C1B93" w:rsidP="000C1B93">
      <w:pPr>
        <w:pStyle w:val="NormalWeb"/>
      </w:pPr>
      <w:r>
        <w:t xml:space="preserve">Competition and Markets Authority (CMA) (2025) </w:t>
      </w:r>
      <w:r>
        <w:rPr>
          <w:rStyle w:val="Emphasis"/>
        </w:rPr>
        <w:t>How we investigated the Vodafone/Three merger</w:t>
      </w:r>
      <w:r>
        <w:t xml:space="preserve">. Available at: </w:t>
      </w:r>
      <w:hyperlink r:id="rId10" w:history="1">
        <w:r>
          <w:rPr>
            <w:rStyle w:val="Hyperlink"/>
          </w:rPr>
          <w:t>https://www.gov.uk/guidance/how-we-are-investigating-the-vodafonethree-potential-merger</w:t>
        </w:r>
      </w:hyperlink>
      <w:r>
        <w:t xml:space="preserve"> (Accessed: 11 July 2026).</w:t>
      </w:r>
    </w:p>
    <w:p w14:paraId="03033045" w14:textId="77777777" w:rsidR="000C1B93" w:rsidRDefault="000C1B93" w:rsidP="000C1B93">
      <w:pPr>
        <w:pStyle w:val="NormalWeb"/>
      </w:pPr>
      <w:r>
        <w:t xml:space="preserve">Department for Digital, Culture, Media and Sport (DCMS) (2022) </w:t>
      </w:r>
      <w:r>
        <w:rPr>
          <w:rStyle w:val="Emphasis"/>
        </w:rPr>
        <w:t>Electronic Communications (Security Measures) Regulations and Telecommunications Security Code of Practice</w:t>
      </w:r>
      <w:r>
        <w:t xml:space="preserve">. Available at: </w:t>
      </w:r>
      <w:hyperlink r:id="rId11" w:history="1">
        <w:r>
          <w:rPr>
            <w:rStyle w:val="Hyperlink"/>
          </w:rPr>
          <w:t>https://www.gov.uk/government/publications/electronic-communications-security-measures-regulations-and-draft-telecommunications-security-code-of-practice</w:t>
        </w:r>
      </w:hyperlink>
      <w:r>
        <w:t xml:space="preserve"> (Accessed: 11 July 2026).</w:t>
      </w:r>
    </w:p>
    <w:p w14:paraId="2C5F66D6" w14:textId="77777777" w:rsidR="000C1B93" w:rsidRDefault="000C1B93" w:rsidP="000C1B93">
      <w:pPr>
        <w:pStyle w:val="NormalWeb"/>
      </w:pPr>
      <w:r>
        <w:t xml:space="preserve">Freeman, R.E. (1984) </w:t>
      </w:r>
      <w:r>
        <w:rPr>
          <w:rStyle w:val="Emphasis"/>
        </w:rPr>
        <w:t>Strategic Management: A Stakeholder Approach</w:t>
      </w:r>
      <w:r>
        <w:t>. Boston, MA: Pitman.</w:t>
      </w:r>
    </w:p>
    <w:p w14:paraId="62F8FA2E" w14:textId="77777777" w:rsidR="000C1B93" w:rsidRDefault="000C1B93" w:rsidP="000C1B93">
      <w:pPr>
        <w:pStyle w:val="NormalWeb"/>
      </w:pPr>
      <w:r>
        <w:t xml:space="preserve">Johnson, G., Whittington, R., Scholes, K., Angwin, D. and </w:t>
      </w:r>
      <w:proofErr w:type="spellStart"/>
      <w:r>
        <w:t>Regnér</w:t>
      </w:r>
      <w:proofErr w:type="spellEnd"/>
      <w:r>
        <w:t xml:space="preserve">, P. (2017) </w:t>
      </w:r>
      <w:r>
        <w:rPr>
          <w:rStyle w:val="Emphasis"/>
        </w:rPr>
        <w:t>Exploring Strategy: Text and Cases</w:t>
      </w:r>
      <w:r>
        <w:t xml:space="preserve">. 11th </w:t>
      </w:r>
      <w:proofErr w:type="spellStart"/>
      <w:r>
        <w:t>edn</w:t>
      </w:r>
      <w:proofErr w:type="spellEnd"/>
      <w:r>
        <w:t>. Harlow: Pearson Education.</w:t>
      </w:r>
    </w:p>
    <w:p w14:paraId="04A2B0C6" w14:textId="77777777" w:rsidR="000C1B93" w:rsidRDefault="000C1B93" w:rsidP="000C1B93">
      <w:pPr>
        <w:pStyle w:val="NormalWeb"/>
      </w:pPr>
      <w:proofErr w:type="spellStart"/>
      <w:r>
        <w:t>Mendelow</w:t>
      </w:r>
      <w:proofErr w:type="spellEnd"/>
      <w:r>
        <w:t xml:space="preserve">, A.L. (1981) ‘Environmental scanning: The impact of the stakeholder concept’, </w:t>
      </w:r>
      <w:r>
        <w:rPr>
          <w:rStyle w:val="Emphasis"/>
        </w:rPr>
        <w:t>Proceedings of the Second International Conference on Information Systems</w:t>
      </w:r>
      <w:r>
        <w:t>, Cambridge, MA, pp. 407–418.</w:t>
      </w:r>
    </w:p>
    <w:p w14:paraId="70644B48" w14:textId="77777777" w:rsidR="000C1B93" w:rsidRDefault="000C1B93" w:rsidP="000C1B93">
      <w:pPr>
        <w:pStyle w:val="NormalWeb"/>
      </w:pPr>
      <w:r>
        <w:t xml:space="preserve">Office for National Statistics (ONS) (2026) </w:t>
      </w:r>
      <w:r>
        <w:rPr>
          <w:rStyle w:val="Emphasis"/>
        </w:rPr>
        <w:t>GDP quarterly national accounts, UK: January to March 2026</w:t>
      </w:r>
      <w:r>
        <w:t xml:space="preserve">. Available at: </w:t>
      </w:r>
      <w:hyperlink r:id="rId12" w:history="1">
        <w:r>
          <w:rPr>
            <w:rStyle w:val="Hyperlink"/>
          </w:rPr>
          <w:t>https://www.ons.gov.uk/economy/grossdomesticproductgdp/bulletins/quarterlynationalaccounts/januarytomarch2026</w:t>
        </w:r>
      </w:hyperlink>
      <w:r>
        <w:t xml:space="preserve"> (Accessed: 11 July 2026).</w:t>
      </w:r>
    </w:p>
    <w:p w14:paraId="52A90191" w14:textId="77777777" w:rsidR="000C1B93" w:rsidRDefault="000C1B93" w:rsidP="000C1B93">
      <w:pPr>
        <w:pStyle w:val="NormalWeb"/>
      </w:pPr>
      <w:r>
        <w:t xml:space="preserve">Ofcom (2024) </w:t>
      </w:r>
      <w:r>
        <w:rPr>
          <w:rStyle w:val="Emphasis"/>
        </w:rPr>
        <w:t>Ofcom bans mid-contract price rises linked to inflation</w:t>
      </w:r>
      <w:r>
        <w:t xml:space="preserve">. Available at: </w:t>
      </w:r>
      <w:hyperlink r:id="rId13" w:history="1">
        <w:r>
          <w:rPr>
            <w:rStyle w:val="Hyperlink"/>
          </w:rPr>
          <w:t>https://www.ofcom.org.uk/phones-and-broadband/bills-and-charges/ofcom-bans-mid-contract-price-rises-linked-to-inflation</w:t>
        </w:r>
      </w:hyperlink>
      <w:r>
        <w:t xml:space="preserve"> (Accessed: 11 July 2026).</w:t>
      </w:r>
    </w:p>
    <w:p w14:paraId="38ADED9F" w14:textId="77777777" w:rsidR="000C1B93" w:rsidRDefault="000C1B93" w:rsidP="000C1B93">
      <w:pPr>
        <w:pStyle w:val="NormalWeb"/>
      </w:pPr>
      <w:r>
        <w:t xml:space="preserve">Ofcom (2025a) </w:t>
      </w:r>
      <w:r>
        <w:rPr>
          <w:rStyle w:val="Emphasis"/>
        </w:rPr>
        <w:t>Brits devour data at record levels as mobile networks race to improve 5G</w:t>
      </w:r>
      <w:r>
        <w:t xml:space="preserve">. Available at: </w:t>
      </w:r>
      <w:hyperlink r:id="rId14" w:history="1">
        <w:r>
          <w:rPr>
            <w:rStyle w:val="Hyperlink"/>
          </w:rPr>
          <w:t>https://www.ofcom.org.uk/phones-and-broadband/coverage-and-speeds/brits-devour-data-at-record-levels-as-mobile-networks-race-to-improve-5g</w:t>
        </w:r>
      </w:hyperlink>
      <w:r>
        <w:t xml:space="preserve"> (Accessed: 11 July 2026).</w:t>
      </w:r>
    </w:p>
    <w:p w14:paraId="0381AD5B" w14:textId="77777777" w:rsidR="000C1B93" w:rsidRDefault="000C1B93" w:rsidP="000C1B93">
      <w:pPr>
        <w:pStyle w:val="NormalWeb"/>
      </w:pPr>
      <w:r>
        <w:t xml:space="preserve">Ofcom (2025b) </w:t>
      </w:r>
      <w:r>
        <w:rPr>
          <w:rStyle w:val="Emphasis"/>
        </w:rPr>
        <w:t>Connected Nations 2025</w:t>
      </w:r>
      <w:r>
        <w:t xml:space="preserve">. Available at: </w:t>
      </w:r>
      <w:hyperlink r:id="rId15" w:history="1">
        <w:r>
          <w:rPr>
            <w:rStyle w:val="Hyperlink"/>
          </w:rPr>
          <w:t>https://www.ofcom.org.uk/phones-and-broadband/coverage-and-speeds/connected-nations-20252</w:t>
        </w:r>
      </w:hyperlink>
      <w:r>
        <w:t xml:space="preserve"> (Accessed: 11 July 2026).</w:t>
      </w:r>
    </w:p>
    <w:p w14:paraId="20E41F34" w14:textId="77777777" w:rsidR="000C1B93" w:rsidRDefault="000C1B93" w:rsidP="000C1B93">
      <w:pPr>
        <w:pStyle w:val="NormalWeb"/>
      </w:pPr>
      <w:r>
        <w:t xml:space="preserve">Ofcom (2026a) </w:t>
      </w:r>
      <w:r>
        <w:rPr>
          <w:rStyle w:val="Emphasis"/>
        </w:rPr>
        <w:t xml:space="preserve">Latest telecoms and </w:t>
      </w:r>
      <w:proofErr w:type="spellStart"/>
      <w:r>
        <w:rPr>
          <w:rStyle w:val="Emphasis"/>
        </w:rPr>
        <w:t>pay-TV</w:t>
      </w:r>
      <w:proofErr w:type="spellEnd"/>
      <w:r>
        <w:rPr>
          <w:rStyle w:val="Emphasis"/>
        </w:rPr>
        <w:t xml:space="preserve"> complaints revealed: Q4 2025</w:t>
      </w:r>
      <w:r>
        <w:t xml:space="preserve">. Available at: </w:t>
      </w:r>
      <w:hyperlink r:id="rId16" w:history="1">
        <w:r>
          <w:rPr>
            <w:rStyle w:val="Hyperlink"/>
          </w:rPr>
          <w:t>https://www.ofcom.org.uk/phones-and-broadband/service-quality/latest-telecoms-and-pay-tv-complaints-revealed-q4-2025</w:t>
        </w:r>
      </w:hyperlink>
      <w:r>
        <w:t xml:space="preserve"> (Accessed: 11 July 2026).</w:t>
      </w:r>
    </w:p>
    <w:p w14:paraId="6A8DC8A2" w14:textId="77777777" w:rsidR="000C1B93" w:rsidRDefault="000C1B93" w:rsidP="000C1B93">
      <w:pPr>
        <w:pStyle w:val="NormalWeb"/>
      </w:pPr>
      <w:r>
        <w:t xml:space="preserve">Ofcom (2026b) </w:t>
      </w:r>
      <w:r>
        <w:rPr>
          <w:rStyle w:val="Emphasis"/>
        </w:rPr>
        <w:t>Connected Nations update: Spring 2026</w:t>
      </w:r>
      <w:r>
        <w:t xml:space="preserve">. Available at: </w:t>
      </w:r>
      <w:hyperlink r:id="rId17" w:history="1">
        <w:r>
          <w:rPr>
            <w:rStyle w:val="Hyperlink"/>
          </w:rPr>
          <w:t>https://www.ofcom.org.uk/phones-and-broadband/coverage-and-speeds/connected-nations-update-spring-2026</w:t>
        </w:r>
      </w:hyperlink>
      <w:r>
        <w:t xml:space="preserve"> (Accessed: 11 July 2026).</w:t>
      </w:r>
    </w:p>
    <w:p w14:paraId="5C56D846" w14:textId="77777777" w:rsidR="000C1B93" w:rsidRDefault="000C1B93" w:rsidP="000C1B93">
      <w:pPr>
        <w:pStyle w:val="NormalWeb"/>
      </w:pPr>
      <w:r>
        <w:t xml:space="preserve">Porter, M.E. (1980) </w:t>
      </w:r>
      <w:r>
        <w:rPr>
          <w:rStyle w:val="Emphasis"/>
        </w:rPr>
        <w:t>Competitive Strategy: Techniques for Analysing Industries and Competitors</w:t>
      </w:r>
      <w:r>
        <w:t>. New York: Free Press.</w:t>
      </w:r>
    </w:p>
    <w:p w14:paraId="0AB3E514" w14:textId="77777777" w:rsidR="000C1B93" w:rsidRDefault="000C1B93" w:rsidP="000C1B93">
      <w:pPr>
        <w:pStyle w:val="NormalWeb"/>
      </w:pPr>
      <w:r>
        <w:lastRenderedPageBreak/>
        <w:t xml:space="preserve">Porter, M.E. (1985) </w:t>
      </w:r>
      <w:r>
        <w:rPr>
          <w:rStyle w:val="Emphasis"/>
        </w:rPr>
        <w:t>Competitive Advantage: Creating and Sustaining Superior Performance</w:t>
      </w:r>
      <w:r>
        <w:t>. New York: Free Press.</w:t>
      </w:r>
    </w:p>
    <w:p w14:paraId="3267D61B" w14:textId="77777777" w:rsidR="000C1B93" w:rsidRDefault="000C1B93" w:rsidP="000C1B93">
      <w:pPr>
        <w:pStyle w:val="NormalWeb"/>
      </w:pPr>
      <w:r>
        <w:t xml:space="preserve">UK Government (2021) </w:t>
      </w:r>
      <w:r>
        <w:rPr>
          <w:rStyle w:val="Emphasis"/>
        </w:rPr>
        <w:t>Telecommunications (Security) Act 2021</w:t>
      </w:r>
      <w:r>
        <w:t xml:space="preserve">. Available at: </w:t>
      </w:r>
      <w:hyperlink r:id="rId18" w:history="1">
        <w:r>
          <w:rPr>
            <w:rStyle w:val="Hyperlink"/>
          </w:rPr>
          <w:t>https://www.legislation.gov.uk/ukpga/2021/31/contents</w:t>
        </w:r>
      </w:hyperlink>
      <w:r>
        <w:t xml:space="preserve"> (Accessed: 11 July 2026).</w:t>
      </w:r>
    </w:p>
    <w:p w14:paraId="548D993B" w14:textId="77777777" w:rsidR="000C1B93" w:rsidRDefault="000C1B93" w:rsidP="000C1B93">
      <w:pPr>
        <w:pStyle w:val="NormalWeb"/>
      </w:pPr>
      <w:r>
        <w:t xml:space="preserve">Vodafone Careers (n.d.) </w:t>
      </w:r>
      <w:r>
        <w:rPr>
          <w:rStyle w:val="Emphasis"/>
        </w:rPr>
        <w:t>The Spirit of Vodafone</w:t>
      </w:r>
      <w:r>
        <w:t xml:space="preserve">. Available at: </w:t>
      </w:r>
      <w:hyperlink r:id="rId19" w:history="1">
        <w:r>
          <w:rPr>
            <w:rStyle w:val="Hyperlink"/>
          </w:rPr>
          <w:t>https://careers.vodafone.com/the-spirit-of-vodafone/</w:t>
        </w:r>
      </w:hyperlink>
      <w:r>
        <w:t xml:space="preserve"> (Accessed: 11 July 2026).</w:t>
      </w:r>
    </w:p>
    <w:p w14:paraId="573C5AF4" w14:textId="77777777" w:rsidR="000C1B93" w:rsidRDefault="000C1B93" w:rsidP="000C1B93">
      <w:pPr>
        <w:pStyle w:val="NormalWeb"/>
      </w:pPr>
      <w:r>
        <w:t xml:space="preserve">Vodafone Group Plc (2025a) </w:t>
      </w:r>
      <w:r>
        <w:rPr>
          <w:rStyle w:val="Emphasis"/>
        </w:rPr>
        <w:t>Completion of Vodafone and Three merger in the UK</w:t>
      </w:r>
      <w:r>
        <w:t xml:space="preserve">. Available at: </w:t>
      </w:r>
      <w:hyperlink r:id="rId20" w:history="1">
        <w:r>
          <w:rPr>
            <w:rStyle w:val="Hyperlink"/>
          </w:rPr>
          <w:t>https://www.vodafone.com/news/newsroom/corporate-and-financial/completion-of-vodafone-and-three-merger-in-the-uk</w:t>
        </w:r>
      </w:hyperlink>
      <w:r>
        <w:t xml:space="preserve"> (Accessed: 11 July 2026).</w:t>
      </w:r>
    </w:p>
    <w:p w14:paraId="417A1968" w14:textId="77777777" w:rsidR="000C1B93" w:rsidRDefault="000C1B93" w:rsidP="000C1B93">
      <w:pPr>
        <w:pStyle w:val="NormalWeb"/>
      </w:pPr>
      <w:r>
        <w:t xml:space="preserve">Vodafone Group Plc (2025b) </w:t>
      </w:r>
      <w:r>
        <w:rPr>
          <w:rStyle w:val="Emphasis"/>
        </w:rPr>
        <w:t>Annual Report 2025</w:t>
      </w:r>
      <w:r>
        <w:t xml:space="preserve">. Available at: </w:t>
      </w:r>
      <w:hyperlink r:id="rId21" w:history="1">
        <w:r>
          <w:rPr>
            <w:rStyle w:val="Hyperlink"/>
          </w:rPr>
          <w:t>https://reports.investors.vodafone.com/view/897876789</w:t>
        </w:r>
      </w:hyperlink>
      <w:r>
        <w:t xml:space="preserve"> (Accessed: 11 July 2026).</w:t>
      </w:r>
    </w:p>
    <w:p w14:paraId="042D91A9" w14:textId="77777777" w:rsidR="000C1B93" w:rsidRDefault="000C1B93" w:rsidP="000C1B93">
      <w:pPr>
        <w:pStyle w:val="NormalWeb"/>
      </w:pPr>
      <w:r>
        <w:t xml:space="preserve">Vodafone Group Plc (2026a) </w:t>
      </w:r>
      <w:r>
        <w:rPr>
          <w:rStyle w:val="Emphasis"/>
        </w:rPr>
        <w:t>Annual Report 2026</w:t>
      </w:r>
      <w:r>
        <w:t xml:space="preserve">. Available at: </w:t>
      </w:r>
      <w:hyperlink r:id="rId22" w:history="1">
        <w:r>
          <w:rPr>
            <w:rStyle w:val="Hyperlink"/>
          </w:rPr>
          <w:t>https://reports.investors.vodafone.com/view/500231330</w:t>
        </w:r>
      </w:hyperlink>
      <w:r>
        <w:t xml:space="preserve"> (Accessed: 11 July 2026).</w:t>
      </w:r>
    </w:p>
    <w:p w14:paraId="6339C2EE" w14:textId="77777777" w:rsidR="000C1B93" w:rsidRDefault="000C1B93" w:rsidP="000C1B93">
      <w:pPr>
        <w:pStyle w:val="NormalWeb"/>
      </w:pPr>
      <w:r>
        <w:t xml:space="preserve">Vodafone Group Plc (2026b) </w:t>
      </w:r>
      <w:r>
        <w:rPr>
          <w:rStyle w:val="Emphasis"/>
        </w:rPr>
        <w:t>How Vodafone Group is accelerating its climate transition</w:t>
      </w:r>
      <w:r>
        <w:t xml:space="preserve">. Available at: </w:t>
      </w:r>
      <w:hyperlink r:id="rId23" w:history="1">
        <w:r>
          <w:rPr>
            <w:rStyle w:val="Hyperlink"/>
          </w:rPr>
          <w:t>https://www.vodafone.com/news/newsroom/protecting-the-planet/how-vodafone-group-is-accelerating-its-climate-transition</w:t>
        </w:r>
      </w:hyperlink>
      <w:r>
        <w:t xml:space="preserve"> (Accessed: 11 July 2026).</w:t>
      </w:r>
    </w:p>
    <w:p w14:paraId="39F809B1" w14:textId="77777777" w:rsidR="000C1B93" w:rsidRDefault="000C1B93" w:rsidP="000C1B93">
      <w:pPr>
        <w:pStyle w:val="NormalWeb"/>
      </w:pPr>
      <w:r>
        <w:t xml:space="preserve">Vodafone Group Plc (2026c) </w:t>
      </w:r>
      <w:r>
        <w:rPr>
          <w:rStyle w:val="Emphasis"/>
        </w:rPr>
        <w:t>Vodafone to take full ownership of VodafoneThree</w:t>
      </w:r>
      <w:r>
        <w:t xml:space="preserve">. Available at: </w:t>
      </w:r>
      <w:hyperlink r:id="rId24" w:history="1">
        <w:r>
          <w:rPr>
            <w:rStyle w:val="Hyperlink"/>
          </w:rPr>
          <w:t>https://www.vodafone.com/news/newsroom/corporate-and-financial/vodafone-to-take-full-ownership-of-vodafone-three</w:t>
        </w:r>
      </w:hyperlink>
      <w:r>
        <w:t xml:space="preserve"> (Accessed: 11 July 2026).</w:t>
      </w:r>
    </w:p>
    <w:p w14:paraId="7B988DFC" w14:textId="77777777" w:rsidR="000C1B93" w:rsidRDefault="000C1B93" w:rsidP="000C1B93">
      <w:pPr>
        <w:pStyle w:val="NormalWeb"/>
      </w:pPr>
      <w:r>
        <w:t xml:space="preserve">Vodafone Group Plc (n.d.-a) </w:t>
      </w:r>
      <w:r>
        <w:rPr>
          <w:rStyle w:val="Emphasis"/>
        </w:rPr>
        <w:t>Our strategic priorities</w:t>
      </w:r>
      <w:r>
        <w:t xml:space="preserve">. Available at: </w:t>
      </w:r>
      <w:hyperlink r:id="rId25" w:history="1">
        <w:r>
          <w:rPr>
            <w:rStyle w:val="Hyperlink"/>
          </w:rPr>
          <w:t>https://www.vodafone.com/our-company/our-strategic-priorities</w:t>
        </w:r>
      </w:hyperlink>
      <w:r>
        <w:t xml:space="preserve"> (Accessed: 11 July 2026).</w:t>
      </w:r>
    </w:p>
    <w:p w14:paraId="268BEFB7" w14:textId="77777777" w:rsidR="000C1B93" w:rsidRDefault="000C1B93" w:rsidP="000C1B93">
      <w:pPr>
        <w:pStyle w:val="NormalWeb"/>
      </w:pPr>
      <w:r>
        <w:t xml:space="preserve">Vodafone Group Plc (n.d.-b) </w:t>
      </w:r>
      <w:r>
        <w:rPr>
          <w:rStyle w:val="Emphasis"/>
        </w:rPr>
        <w:t>Our transformation</w:t>
      </w:r>
      <w:r>
        <w:t xml:space="preserve">. Available at: </w:t>
      </w:r>
      <w:hyperlink r:id="rId26" w:history="1">
        <w:r>
          <w:rPr>
            <w:rStyle w:val="Hyperlink"/>
          </w:rPr>
          <w:t>https://www.vodafone.com/our-company/our-transformation</w:t>
        </w:r>
      </w:hyperlink>
      <w:r>
        <w:t xml:space="preserve"> (Accessed: 11 July 2026).</w:t>
      </w:r>
    </w:p>
    <w:p w14:paraId="6177F9FF" w14:textId="77777777" w:rsidR="000C1B93" w:rsidRDefault="000C1B93" w:rsidP="000C1B93">
      <w:pPr>
        <w:pStyle w:val="NormalWeb"/>
      </w:pPr>
      <w:r>
        <w:t xml:space="preserve">Vodafone Group Plc (n.d.-c) </w:t>
      </w:r>
      <w:r>
        <w:rPr>
          <w:rStyle w:val="Emphasis"/>
        </w:rPr>
        <w:t>Vodafone at a glance</w:t>
      </w:r>
      <w:r>
        <w:t xml:space="preserve">. Available at: </w:t>
      </w:r>
      <w:hyperlink r:id="rId27" w:history="1">
        <w:r>
          <w:rPr>
            <w:rStyle w:val="Hyperlink"/>
          </w:rPr>
          <w:t>https://www.vodafone.com/our-company/vodafone-at-a-glance</w:t>
        </w:r>
      </w:hyperlink>
      <w:r>
        <w:t xml:space="preserve"> (Accessed: 11 July 2026).</w:t>
      </w:r>
    </w:p>
    <w:p w14:paraId="52BEA685" w14:textId="77777777" w:rsidR="000C1B93" w:rsidRDefault="000C1B93" w:rsidP="000C1B93">
      <w:pPr>
        <w:pStyle w:val="NormalWeb"/>
      </w:pPr>
      <w:r>
        <w:t xml:space="preserve">Vodafone UK (2025) </w:t>
      </w:r>
      <w:r>
        <w:rPr>
          <w:rStyle w:val="Emphasis"/>
        </w:rPr>
        <w:t>VodafoneThree delivers speed increase for millions of customers</w:t>
      </w:r>
      <w:r>
        <w:t xml:space="preserve">. Available at: </w:t>
      </w:r>
      <w:hyperlink r:id="rId28" w:history="1">
        <w:r>
          <w:rPr>
            <w:rStyle w:val="Hyperlink"/>
          </w:rPr>
          <w:t>https://www.vodafone.co.uk/newscentre/press-release/vodafonethree-speed-increase-millions/</w:t>
        </w:r>
      </w:hyperlink>
      <w:r>
        <w:t xml:space="preserve"> (Accessed: 11 July 2026).</w:t>
      </w:r>
    </w:p>
    <w:p w14:paraId="770711F5" w14:textId="77777777" w:rsidR="000C1B93" w:rsidRDefault="000C1B93" w:rsidP="000C1B93">
      <w:pPr>
        <w:pStyle w:val="NormalWeb"/>
      </w:pPr>
      <w:r>
        <w:t xml:space="preserve">VodafoneThree (2025a) </w:t>
      </w:r>
      <w:r>
        <w:rPr>
          <w:rStyle w:val="Emphasis"/>
        </w:rPr>
        <w:t>VodafoneThree begins a new era of connectivity for the UK</w:t>
      </w:r>
      <w:r>
        <w:t xml:space="preserve">. Available at: </w:t>
      </w:r>
      <w:hyperlink r:id="rId29" w:history="1">
        <w:r>
          <w:rPr>
            <w:rStyle w:val="Hyperlink"/>
          </w:rPr>
          <w:t>https://www.vodafonethree.com/new-era-of-connectivity/</w:t>
        </w:r>
      </w:hyperlink>
      <w:r>
        <w:t xml:space="preserve"> (Accessed: 11 July 2026).</w:t>
      </w:r>
    </w:p>
    <w:p w14:paraId="6548D572" w14:textId="77777777" w:rsidR="000C1B93" w:rsidRDefault="000C1B93" w:rsidP="000C1B93">
      <w:pPr>
        <w:pStyle w:val="NormalWeb"/>
      </w:pPr>
      <w:r>
        <w:t xml:space="preserve">VodafoneThree (2025b) </w:t>
      </w:r>
      <w:r>
        <w:rPr>
          <w:rStyle w:val="Emphasis"/>
        </w:rPr>
        <w:t>VodafoneThree signs multibillion-pound investment deals to build the UK’s best network</w:t>
      </w:r>
      <w:r>
        <w:t xml:space="preserve">. Available at: </w:t>
      </w:r>
      <w:hyperlink r:id="rId30" w:history="1">
        <w:r>
          <w:rPr>
            <w:rStyle w:val="Hyperlink"/>
          </w:rPr>
          <w:t>https://www.vodafonethree.com/multibillion-pound-investment-deals-signed-to-build-uk-best-network/</w:t>
        </w:r>
      </w:hyperlink>
      <w:r>
        <w:t xml:space="preserve"> (Accessed: 11 July 2026).</w:t>
      </w:r>
    </w:p>
    <w:p w14:paraId="3631508E" w14:textId="77777777" w:rsidR="000C1B93" w:rsidRDefault="000C1B93" w:rsidP="000C1B93">
      <w:pPr>
        <w:pStyle w:val="NormalWeb"/>
      </w:pPr>
      <w:r>
        <w:t xml:space="preserve">VodafoneThree (n.d.) </w:t>
      </w:r>
      <w:r>
        <w:rPr>
          <w:rStyle w:val="Emphasis"/>
        </w:rPr>
        <w:t>Our network: Building the UK’s best network</w:t>
      </w:r>
      <w:r>
        <w:t xml:space="preserve">. Available at: </w:t>
      </w:r>
      <w:hyperlink r:id="rId31" w:history="1">
        <w:r>
          <w:rPr>
            <w:rStyle w:val="Hyperlink"/>
          </w:rPr>
          <w:t>https://www.vodafonethree.com/network/</w:t>
        </w:r>
      </w:hyperlink>
      <w:r>
        <w:t xml:space="preserve"> (Accessed: 11 July 2026).</w:t>
      </w:r>
    </w:p>
    <w:p w14:paraId="5B564B13" w14:textId="77777777" w:rsidR="000C1B93" w:rsidRDefault="000C1B93"/>
    <w:sectPr w:rsidR="000C1B93">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B50C45" w14:textId="77777777" w:rsidR="006B3BC1" w:rsidRDefault="006B3BC1" w:rsidP="000C1B93">
      <w:r>
        <w:separator/>
      </w:r>
    </w:p>
  </w:endnote>
  <w:endnote w:type="continuationSeparator" w:id="0">
    <w:p w14:paraId="3CC94365" w14:textId="77777777" w:rsidR="006B3BC1" w:rsidRDefault="006B3BC1" w:rsidP="000C1B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8978179"/>
      <w:docPartObj>
        <w:docPartGallery w:val="Page Numbers (Bottom of Page)"/>
        <w:docPartUnique/>
      </w:docPartObj>
    </w:sdtPr>
    <w:sdtContent>
      <w:p w14:paraId="6C689C21" w14:textId="558929EE" w:rsidR="000C1B93" w:rsidRDefault="000C1B93" w:rsidP="00340A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BC5728" w14:textId="77777777" w:rsidR="000C1B93" w:rsidRDefault="000C1B93" w:rsidP="000C1B9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0120386"/>
      <w:docPartObj>
        <w:docPartGallery w:val="Page Numbers (Bottom of Page)"/>
        <w:docPartUnique/>
      </w:docPartObj>
    </w:sdtPr>
    <w:sdtContent>
      <w:p w14:paraId="25666E6E" w14:textId="39CA456D" w:rsidR="000C1B93" w:rsidRDefault="000C1B93" w:rsidP="00340A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3DEAD3" w14:textId="77777777" w:rsidR="000C1B93" w:rsidRDefault="000C1B93" w:rsidP="000C1B9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C87F8E" w14:textId="77777777" w:rsidR="006B3BC1" w:rsidRDefault="006B3BC1" w:rsidP="000C1B93">
      <w:r>
        <w:separator/>
      </w:r>
    </w:p>
  </w:footnote>
  <w:footnote w:type="continuationSeparator" w:id="0">
    <w:p w14:paraId="654DCCAC" w14:textId="77777777" w:rsidR="006B3BC1" w:rsidRDefault="006B3BC1" w:rsidP="000C1B9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B93"/>
    <w:rsid w:val="000C1B93"/>
    <w:rsid w:val="006B3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162AB"/>
  <w15:chartTrackingRefBased/>
  <w15:docId w15:val="{1747465A-7B9B-0046-BB9E-EC72F9E35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1B9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0C1B93"/>
    <w:pPr>
      <w:spacing w:before="100" w:beforeAutospacing="1" w:after="100" w:afterAutospacing="1"/>
      <w:outlineLvl w:val="1"/>
    </w:pPr>
    <w:rPr>
      <w:rFonts w:ascii="Times New Roman" w:eastAsia="Times New Roman" w:hAnsi="Times New Roman" w:cs="Times New Roman"/>
      <w:b/>
      <w:bCs/>
      <w:color w:val="4472C4" w:themeColor="accent1"/>
      <w:sz w:val="28"/>
      <w:szCs w:val="36"/>
      <w:lang w:eastAsia="en-GB"/>
    </w:rPr>
  </w:style>
  <w:style w:type="paragraph" w:styleId="Heading3">
    <w:name w:val="heading 3"/>
    <w:basedOn w:val="Normal"/>
    <w:link w:val="Heading3Char"/>
    <w:uiPriority w:val="9"/>
    <w:qFormat/>
    <w:rsid w:val="000C1B93"/>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C1B93"/>
    <w:rPr>
      <w:rFonts w:ascii="Times New Roman" w:eastAsia="Times New Roman" w:hAnsi="Times New Roman" w:cs="Times New Roman"/>
      <w:b/>
      <w:bCs/>
      <w:color w:val="4472C4" w:themeColor="accent1"/>
      <w:sz w:val="28"/>
      <w:szCs w:val="36"/>
      <w:lang w:eastAsia="en-GB"/>
    </w:rPr>
  </w:style>
  <w:style w:type="character" w:customStyle="1" w:styleId="Heading3Char">
    <w:name w:val="Heading 3 Char"/>
    <w:basedOn w:val="DefaultParagraphFont"/>
    <w:link w:val="Heading3"/>
    <w:uiPriority w:val="9"/>
    <w:rsid w:val="000C1B9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0C1B93"/>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0C1B93"/>
    <w:rPr>
      <w:i/>
      <w:iCs/>
    </w:rPr>
  </w:style>
  <w:style w:type="character" w:styleId="Strong">
    <w:name w:val="Strong"/>
    <w:basedOn w:val="DefaultParagraphFont"/>
    <w:uiPriority w:val="22"/>
    <w:qFormat/>
    <w:rsid w:val="000C1B93"/>
    <w:rPr>
      <w:b/>
      <w:bCs/>
    </w:rPr>
  </w:style>
  <w:style w:type="table" w:styleId="TableGrid">
    <w:name w:val="Table Grid"/>
    <w:basedOn w:val="TableNormal"/>
    <w:uiPriority w:val="39"/>
    <w:rsid w:val="000C1B9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C1B9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C1B93"/>
    <w:rPr>
      <w:color w:val="0000FF"/>
      <w:u w:val="single"/>
    </w:rPr>
  </w:style>
  <w:style w:type="paragraph" w:styleId="TOCHeading">
    <w:name w:val="TOC Heading"/>
    <w:basedOn w:val="Heading1"/>
    <w:next w:val="Normal"/>
    <w:uiPriority w:val="39"/>
    <w:unhideWhenUsed/>
    <w:qFormat/>
    <w:rsid w:val="000C1B9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1B93"/>
    <w:pPr>
      <w:spacing w:before="120"/>
    </w:pPr>
    <w:rPr>
      <w:rFonts w:cstheme="minorHAnsi"/>
      <w:b/>
      <w:bCs/>
      <w:i/>
      <w:iCs/>
    </w:rPr>
  </w:style>
  <w:style w:type="paragraph" w:styleId="TOC2">
    <w:name w:val="toc 2"/>
    <w:basedOn w:val="Normal"/>
    <w:next w:val="Normal"/>
    <w:autoRedefine/>
    <w:uiPriority w:val="39"/>
    <w:unhideWhenUsed/>
    <w:rsid w:val="000C1B93"/>
    <w:pPr>
      <w:spacing w:before="120"/>
      <w:ind w:left="240"/>
    </w:pPr>
    <w:rPr>
      <w:rFonts w:cstheme="minorHAnsi"/>
      <w:b/>
      <w:bCs/>
      <w:sz w:val="22"/>
      <w:szCs w:val="22"/>
    </w:rPr>
  </w:style>
  <w:style w:type="paragraph" w:styleId="TOC3">
    <w:name w:val="toc 3"/>
    <w:basedOn w:val="Normal"/>
    <w:next w:val="Normal"/>
    <w:autoRedefine/>
    <w:uiPriority w:val="39"/>
    <w:unhideWhenUsed/>
    <w:rsid w:val="000C1B93"/>
    <w:pPr>
      <w:ind w:left="480"/>
    </w:pPr>
    <w:rPr>
      <w:rFonts w:cstheme="minorHAnsi"/>
      <w:sz w:val="20"/>
      <w:szCs w:val="20"/>
    </w:rPr>
  </w:style>
  <w:style w:type="paragraph" w:styleId="TOC4">
    <w:name w:val="toc 4"/>
    <w:basedOn w:val="Normal"/>
    <w:next w:val="Normal"/>
    <w:autoRedefine/>
    <w:uiPriority w:val="39"/>
    <w:semiHidden/>
    <w:unhideWhenUsed/>
    <w:rsid w:val="000C1B93"/>
    <w:pPr>
      <w:ind w:left="720"/>
    </w:pPr>
    <w:rPr>
      <w:rFonts w:cstheme="minorHAnsi"/>
      <w:sz w:val="20"/>
      <w:szCs w:val="20"/>
    </w:rPr>
  </w:style>
  <w:style w:type="paragraph" w:styleId="TOC5">
    <w:name w:val="toc 5"/>
    <w:basedOn w:val="Normal"/>
    <w:next w:val="Normal"/>
    <w:autoRedefine/>
    <w:uiPriority w:val="39"/>
    <w:semiHidden/>
    <w:unhideWhenUsed/>
    <w:rsid w:val="000C1B93"/>
    <w:pPr>
      <w:ind w:left="960"/>
    </w:pPr>
    <w:rPr>
      <w:rFonts w:cstheme="minorHAnsi"/>
      <w:sz w:val="20"/>
      <w:szCs w:val="20"/>
    </w:rPr>
  </w:style>
  <w:style w:type="paragraph" w:styleId="TOC6">
    <w:name w:val="toc 6"/>
    <w:basedOn w:val="Normal"/>
    <w:next w:val="Normal"/>
    <w:autoRedefine/>
    <w:uiPriority w:val="39"/>
    <w:semiHidden/>
    <w:unhideWhenUsed/>
    <w:rsid w:val="000C1B93"/>
    <w:pPr>
      <w:ind w:left="1200"/>
    </w:pPr>
    <w:rPr>
      <w:rFonts w:cstheme="minorHAnsi"/>
      <w:sz w:val="20"/>
      <w:szCs w:val="20"/>
    </w:rPr>
  </w:style>
  <w:style w:type="paragraph" w:styleId="TOC7">
    <w:name w:val="toc 7"/>
    <w:basedOn w:val="Normal"/>
    <w:next w:val="Normal"/>
    <w:autoRedefine/>
    <w:uiPriority w:val="39"/>
    <w:semiHidden/>
    <w:unhideWhenUsed/>
    <w:rsid w:val="000C1B93"/>
    <w:pPr>
      <w:ind w:left="1440"/>
    </w:pPr>
    <w:rPr>
      <w:rFonts w:cstheme="minorHAnsi"/>
      <w:sz w:val="20"/>
      <w:szCs w:val="20"/>
    </w:rPr>
  </w:style>
  <w:style w:type="paragraph" w:styleId="TOC8">
    <w:name w:val="toc 8"/>
    <w:basedOn w:val="Normal"/>
    <w:next w:val="Normal"/>
    <w:autoRedefine/>
    <w:uiPriority w:val="39"/>
    <w:semiHidden/>
    <w:unhideWhenUsed/>
    <w:rsid w:val="000C1B93"/>
    <w:pPr>
      <w:ind w:left="1680"/>
    </w:pPr>
    <w:rPr>
      <w:rFonts w:cstheme="minorHAnsi"/>
      <w:sz w:val="20"/>
      <w:szCs w:val="20"/>
    </w:rPr>
  </w:style>
  <w:style w:type="paragraph" w:styleId="TOC9">
    <w:name w:val="toc 9"/>
    <w:basedOn w:val="Normal"/>
    <w:next w:val="Normal"/>
    <w:autoRedefine/>
    <w:uiPriority w:val="39"/>
    <w:semiHidden/>
    <w:unhideWhenUsed/>
    <w:rsid w:val="000C1B93"/>
    <w:pPr>
      <w:ind w:left="1920"/>
    </w:pPr>
    <w:rPr>
      <w:rFonts w:cstheme="minorHAnsi"/>
      <w:sz w:val="20"/>
      <w:szCs w:val="20"/>
    </w:rPr>
  </w:style>
  <w:style w:type="paragraph" w:styleId="Footer">
    <w:name w:val="footer"/>
    <w:basedOn w:val="Normal"/>
    <w:link w:val="FooterChar"/>
    <w:uiPriority w:val="99"/>
    <w:unhideWhenUsed/>
    <w:rsid w:val="000C1B93"/>
    <w:pPr>
      <w:tabs>
        <w:tab w:val="center" w:pos="4513"/>
        <w:tab w:val="right" w:pos="9026"/>
      </w:tabs>
    </w:pPr>
  </w:style>
  <w:style w:type="character" w:customStyle="1" w:styleId="FooterChar">
    <w:name w:val="Footer Char"/>
    <w:basedOn w:val="DefaultParagraphFont"/>
    <w:link w:val="Footer"/>
    <w:uiPriority w:val="99"/>
    <w:rsid w:val="000C1B93"/>
  </w:style>
  <w:style w:type="character" w:styleId="PageNumber">
    <w:name w:val="page number"/>
    <w:basedOn w:val="DefaultParagraphFont"/>
    <w:uiPriority w:val="99"/>
    <w:semiHidden/>
    <w:unhideWhenUsed/>
    <w:rsid w:val="000C1B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52124">
      <w:bodyDiv w:val="1"/>
      <w:marLeft w:val="0"/>
      <w:marRight w:val="0"/>
      <w:marTop w:val="0"/>
      <w:marBottom w:val="0"/>
      <w:divBdr>
        <w:top w:val="none" w:sz="0" w:space="0" w:color="auto"/>
        <w:left w:val="none" w:sz="0" w:space="0" w:color="auto"/>
        <w:bottom w:val="none" w:sz="0" w:space="0" w:color="auto"/>
        <w:right w:val="none" w:sz="0" w:space="0" w:color="auto"/>
      </w:divBdr>
    </w:div>
    <w:div w:id="495730030">
      <w:bodyDiv w:val="1"/>
      <w:marLeft w:val="0"/>
      <w:marRight w:val="0"/>
      <w:marTop w:val="0"/>
      <w:marBottom w:val="0"/>
      <w:divBdr>
        <w:top w:val="none" w:sz="0" w:space="0" w:color="auto"/>
        <w:left w:val="none" w:sz="0" w:space="0" w:color="auto"/>
        <w:bottom w:val="none" w:sz="0" w:space="0" w:color="auto"/>
        <w:right w:val="none" w:sz="0" w:space="0" w:color="auto"/>
      </w:divBdr>
    </w:div>
    <w:div w:id="1828401195">
      <w:bodyDiv w:val="1"/>
      <w:marLeft w:val="0"/>
      <w:marRight w:val="0"/>
      <w:marTop w:val="0"/>
      <w:marBottom w:val="0"/>
      <w:divBdr>
        <w:top w:val="none" w:sz="0" w:space="0" w:color="auto"/>
        <w:left w:val="none" w:sz="0" w:space="0" w:color="auto"/>
        <w:bottom w:val="none" w:sz="0" w:space="0" w:color="auto"/>
        <w:right w:val="none" w:sz="0" w:space="0" w:color="auto"/>
      </w:divBdr>
    </w:div>
    <w:div w:id="2033873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fcom.org.uk/phones-and-broadband/bills-and-charges/ofcom-bans-mid-contract-price-rises-linked-to-inflation" TargetMode="External"/><Relationship Id="rId18" Type="http://schemas.openxmlformats.org/officeDocument/2006/relationships/hyperlink" Target="https://www.legislation.gov.uk/ukpga/2021/31/contents" TargetMode="External"/><Relationship Id="rId26" Type="http://schemas.openxmlformats.org/officeDocument/2006/relationships/hyperlink" Target="https://www.vodafone.com/our-company/our-transformation" TargetMode="External"/><Relationship Id="rId3" Type="http://schemas.openxmlformats.org/officeDocument/2006/relationships/settings" Target="settings.xml"/><Relationship Id="rId21" Type="http://schemas.openxmlformats.org/officeDocument/2006/relationships/hyperlink" Target="https://reports.investors.vodafone.com/view/897876789"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ons.gov.uk/economy/grossdomesticproductgdp/bulletins/quarterlynationalaccounts/januarytomarch2026" TargetMode="External"/><Relationship Id="rId17" Type="http://schemas.openxmlformats.org/officeDocument/2006/relationships/hyperlink" Target="https://www.ofcom.org.uk/phones-and-broadband/coverage-and-speeds/connected-nations-update-spring-2026" TargetMode="External"/><Relationship Id="rId25" Type="http://schemas.openxmlformats.org/officeDocument/2006/relationships/hyperlink" Target="https://www.vodafone.com/our-company/our-strategic-priorities"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ofcom.org.uk/phones-and-broadband/service-quality/latest-telecoms-and-pay-tv-complaints-revealed-q4-2025" TargetMode="External"/><Relationship Id="rId20" Type="http://schemas.openxmlformats.org/officeDocument/2006/relationships/hyperlink" Target="https://www.vodafone.com/news/newsroom/corporate-and-financial/completion-of-vodafone-and-three-merger-in-the-uk" TargetMode="External"/><Relationship Id="rId29" Type="http://schemas.openxmlformats.org/officeDocument/2006/relationships/hyperlink" Target="https://www.vodafonethree.com/new-era-of-connectivit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electronic-communications-security-measures-regulations-and-draft-telecommunications-security-code-of-practice" TargetMode="External"/><Relationship Id="rId24" Type="http://schemas.openxmlformats.org/officeDocument/2006/relationships/hyperlink" Target="https://www.vodafone.com/news/newsroom/corporate-and-financial/vodafone-to-take-full-ownership-of-vodafone-thre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ofcom.org.uk/phones-and-broadband/coverage-and-speeds/connected-nations-20252" TargetMode="External"/><Relationship Id="rId23" Type="http://schemas.openxmlformats.org/officeDocument/2006/relationships/hyperlink" Target="https://www.vodafone.com/news/newsroom/protecting-the-planet/how-vodafone-group-is-accelerating-its-climate-transition" TargetMode="External"/><Relationship Id="rId28" Type="http://schemas.openxmlformats.org/officeDocument/2006/relationships/hyperlink" Target="https://www.vodafone.co.uk/newscentre/press-release/vodafonethree-speed-increase-millions/" TargetMode="External"/><Relationship Id="rId10" Type="http://schemas.openxmlformats.org/officeDocument/2006/relationships/hyperlink" Target="https://www.gov.uk/guidance/how-we-are-investigating-the-vodafonethree-potential-merger" TargetMode="External"/><Relationship Id="rId19" Type="http://schemas.openxmlformats.org/officeDocument/2006/relationships/hyperlink" Target="https://careers.vodafone.com/the-spirit-of-vodafone/" TargetMode="External"/><Relationship Id="rId31" Type="http://schemas.openxmlformats.org/officeDocument/2006/relationships/hyperlink" Target="https://www.vodafonethree.com/network/" TargetMode="External"/><Relationship Id="rId4" Type="http://schemas.openxmlformats.org/officeDocument/2006/relationships/webSettings" Target="webSettings.xml"/><Relationship Id="rId9" Type="http://schemas.openxmlformats.org/officeDocument/2006/relationships/hyperlink" Target="https://www.gov.uk/government/news/cma-clears-vodafone-three-merger-subject-to-legally-binding-commitments" TargetMode="External"/><Relationship Id="rId14" Type="http://schemas.openxmlformats.org/officeDocument/2006/relationships/hyperlink" Target="https://www.ofcom.org.uk/phones-and-broadband/coverage-and-speeds/brits-devour-data-at-record-levels-as-mobile-networks-race-to-improve-5g" TargetMode="External"/><Relationship Id="rId22" Type="http://schemas.openxmlformats.org/officeDocument/2006/relationships/hyperlink" Target="https://reports.investors.vodafone.com/view/500231330" TargetMode="External"/><Relationship Id="rId27" Type="http://schemas.openxmlformats.org/officeDocument/2006/relationships/hyperlink" Target="https://www.vodafone.com/our-company/vodafone-at-a-glance" TargetMode="External"/><Relationship Id="rId30" Type="http://schemas.openxmlformats.org/officeDocument/2006/relationships/hyperlink" Target="https://www.vodafonethree.com/multibillion-pound-investment-deals-signed-to-build-uk-best-network/" TargetMode="External"/><Relationship Id="rId35" Type="http://schemas.openxmlformats.org/officeDocument/2006/relationships/theme" Target="theme/theme1.xml"/><Relationship Id="rId8" Type="http://schemas.openxmlformats.org/officeDocument/2006/relationships/hyperlink" Target="https://www.bankofengland.co.uk/monetary-policy-summary-and-minutes/2026/june-202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255788-BC50-9C43-A1F1-D23E20427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19</Pages>
  <Words>5420</Words>
  <Characters>30897</Characters>
  <Application>Microsoft Office Word</Application>
  <DocSecurity>0</DocSecurity>
  <Lines>257</Lines>
  <Paragraphs>72</Paragraphs>
  <ScaleCrop>false</ScaleCrop>
  <Company/>
  <LinksUpToDate>false</LinksUpToDate>
  <CharactersWithSpaces>36245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2026-07-11T22:05:00Z</dcterms:created>
  <dcterms:modified xsi:type="dcterms:W3CDTF">2026-07-11T22:18:00Z</dcterms:modified>
</cp:coreProperties>
</file>