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2">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3">
      <w:pPr>
        <w:spacing w:after="240" w:before="240" w:lineRule="auto"/>
        <w:ind w:left="0" w:firstLine="0"/>
        <w:jc w:val="center"/>
        <w:rPr>
          <w:sz w:val="48"/>
          <w:szCs w:val="48"/>
        </w:rPr>
      </w:pPr>
      <w:r w:rsidDel="00000000" w:rsidR="00000000" w:rsidRPr="00000000">
        <w:rPr>
          <w:b w:val="1"/>
          <w:bCs w:val="1"/>
          <w:sz w:val="48"/>
          <w:szCs w:val="48"/>
          <w:u w:val="single"/>
          <w:rtl w:val="0"/>
        </w:rPr>
        <w:t xml:space="preserve">Component 1</w:t>
        <w:br w:type="textWrapping"/>
        <w:br w:type="textWrapping"/>
        <w:br w:type="textWrapping"/>
        <w:br w:type="textWrapping"/>
        <w:br w:type="textWrapping"/>
      </w:r>
      <w:r w:rsidDel="00000000" w:rsidR="00000000" w:rsidRPr="00000000">
        <w:rPr>
          <w:sz w:val="48"/>
          <w:szCs w:val="48"/>
          <w:rtl w:val="0"/>
        </w:rPr>
        <w:br w:type="textWrapping"/>
        <w:t xml:space="preserve">Sydney Lee 2511106 </w:t>
      </w:r>
    </w:p>
    <w:p w:rsidR="00000000" w:rsidDel="00000000" w:rsidP="00000000" w:rsidRDefault="00000000" w:rsidRPr="00000000" w14:paraId="00000004">
      <w:pPr>
        <w:pStyle w:val="Heading1"/>
        <w:keepNext w:val="0"/>
        <w:keepLines w:val="0"/>
        <w:spacing w:after="0" w:before="0" w:line="288" w:lineRule="auto"/>
        <w:jc w:val="center"/>
        <w:rPr/>
      </w:pPr>
      <w:bookmarkStart w:colFirst="0" w:colLast="0" w:name="_w39lfz3vt1hh" w:id="0"/>
      <w:bookmarkEnd w:id="0"/>
      <w:r w:rsidDel="00000000" w:rsidR="00000000" w:rsidRPr="00000000">
        <w:rPr>
          <w:b w:val="1"/>
          <w:bCs w:val="1"/>
          <w:sz w:val="46"/>
          <w:szCs w:val="46"/>
          <w:rtl w:val="0"/>
        </w:rPr>
        <w:t xml:space="preserve">Contemporary Challenges: Making a </w:t>
      </w:r>
      <w:r w:rsidDel="00000000" w:rsidR="00000000" w:rsidRPr="00000000">
        <w:rPr>
          <w:b w:val="1"/>
          <w:bCs w:val="1"/>
          <w:sz w:val="46"/>
          <w:szCs w:val="46"/>
          <w:rtl w:val="0"/>
        </w:rPr>
        <w:t xml:space="preserve">Differ</w:t>
      </w:r>
      <w:r w:rsidDel="00000000" w:rsidR="00000000" w:rsidRPr="00000000">
        <w:rPr>
          <w:b w:val="1"/>
          <w:bCs w:val="1"/>
          <w:sz w:val="46"/>
          <w:szCs w:val="46"/>
          <w:rtl w:val="0"/>
        </w:rPr>
        <w:t xml:space="preserve">ence</w:t>
      </w:r>
      <w:r w:rsidDel="00000000" w:rsidR="00000000" w:rsidRPr="00000000">
        <w:rPr>
          <w:rtl w:val="0"/>
        </w:rPr>
      </w:r>
    </w:p>
    <w:p w:rsidR="00000000" w:rsidDel="00000000" w:rsidP="00000000" w:rsidRDefault="00000000" w:rsidRPr="00000000" w14:paraId="00000005">
      <w:pPr>
        <w:spacing w:after="240" w:before="240" w:lineRule="auto"/>
        <w:ind w:left="0" w:firstLine="0"/>
        <w:jc w:val="center"/>
        <w:rPr>
          <w:sz w:val="48"/>
          <w:szCs w:val="48"/>
        </w:rPr>
      </w:pPr>
      <w:r w:rsidDel="00000000" w:rsidR="00000000" w:rsidRPr="00000000">
        <w:rPr>
          <w:sz w:val="48"/>
          <w:szCs w:val="48"/>
          <w:rtl w:val="0"/>
        </w:rPr>
        <w:t xml:space="preserve">BMHP4018  GA36a</w:t>
      </w:r>
    </w:p>
    <w:p w:rsidR="00000000" w:rsidDel="00000000" w:rsidP="00000000" w:rsidRDefault="00000000" w:rsidRPr="00000000" w14:paraId="00000006">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7">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8">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9">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A">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B">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C">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D">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E">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0F">
      <w:pPr>
        <w:spacing w:after="240" w:before="240" w:lineRule="auto"/>
        <w:ind w:left="0" w:firstLine="0"/>
        <w:jc w:val="center"/>
        <w:rPr>
          <w:b w:val="1"/>
          <w:bCs w:val="1"/>
          <w:u w:val="single"/>
        </w:rPr>
      </w:pPr>
      <w:r w:rsidDel="00000000" w:rsidR="00000000" w:rsidRPr="00000000">
        <w:rPr>
          <w:b w:val="1"/>
          <w:bCs w:val="1"/>
          <w:u w:val="single"/>
          <w:rtl w:val="0"/>
        </w:rPr>
        <w:t xml:space="preserve">Mind Map: </w:t>
      </w:r>
    </w:p>
    <w:p w:rsidR="00000000" w:rsidDel="00000000" w:rsidP="00000000" w:rsidRDefault="00000000" w:rsidRPr="00000000" w14:paraId="00000010">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1">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2">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3">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4">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5">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6">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7">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8">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9">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A">
      <w:pPr>
        <w:spacing w:after="240" w:before="240" w:lineRule="auto"/>
        <w:ind w:left="0" w:firstLine="0"/>
        <w:rPr>
          <w:b w:val="1"/>
          <w:bCs w:val="1"/>
          <w:u w:val="single"/>
        </w:rPr>
      </w:pPr>
      <w:r w:rsidDel="00000000" w:rsidR="00000000" w:rsidRPr="00000000">
        <w:rPr>
          <w:rtl w:val="0"/>
        </w:rPr>
      </w:r>
    </w:p>
    <w:p w:rsidR="00000000" w:rsidDel="00000000" w:rsidP="00000000" w:rsidRDefault="00000000" w:rsidRPr="00000000" w14:paraId="0000001B">
      <w:pPr>
        <w:spacing w:after="240" w:before="240" w:lineRule="auto"/>
        <w:ind w:left="0" w:firstLine="0"/>
        <w:rPr/>
      </w:pPr>
      <w:r w:rsidDel="00000000" w:rsidR="00000000" w:rsidRPr="00000000">
        <w:rPr>
          <w:b w:val="1"/>
          <w:bCs w:val="1"/>
          <w:u w:val="single"/>
        </w:rPr>
        <w:drawing>
          <wp:anchor allowOverlap="1" behindDoc="1" distB="114300" distT="114300" distL="114300" distR="114300" hidden="0" layoutInCell="1" locked="0" relativeHeight="0" simplePos="0">
            <wp:simplePos x="0" y="0"/>
            <wp:positionH relativeFrom="page">
              <wp:posOffset>166688</wp:posOffset>
            </wp:positionH>
            <wp:positionV relativeFrom="page">
              <wp:posOffset>1088478</wp:posOffset>
            </wp:positionV>
            <wp:extent cx="7496175" cy="5353050"/>
            <wp:effectExtent b="0" l="0" r="0" t="0"/>
            <wp:wrapNone/>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7496175" cy="5353050"/>
                    </a:xfrm>
                    <a:prstGeom prst="rect"/>
                    <a:ln/>
                  </pic:spPr>
                </pic:pic>
              </a:graphicData>
            </a:graphic>
          </wp:anchor>
        </w:drawing>
      </w:r>
      <w:r w:rsidDel="00000000" w:rsidR="00000000" w:rsidRPr="00000000">
        <w:rPr>
          <w:b w:val="1"/>
          <w:bCs w:val="1"/>
          <w:u w:val="single"/>
          <w:rtl w:val="0"/>
        </w:rPr>
        <w:t xml:space="preserve"> </w:t>
      </w:r>
      <w:r w:rsidDel="00000000" w:rsidR="00000000" w:rsidRPr="00000000">
        <w:rPr>
          <w:rtl w:val="0"/>
        </w:rPr>
      </w:r>
    </w:p>
    <w:p w:rsidR="00000000" w:rsidDel="00000000" w:rsidP="00000000" w:rsidRDefault="00000000" w:rsidRPr="00000000" w14:paraId="0000001C">
      <w:pPr>
        <w:spacing w:after="240" w:before="240" w:line="360" w:lineRule="auto"/>
        <w:ind w:firstLine="720"/>
        <w:rPr/>
      </w:pPr>
      <w:r w:rsidDel="00000000" w:rsidR="00000000" w:rsidRPr="00000000">
        <w:rPr>
          <w:rtl w:val="0"/>
        </w:rPr>
      </w:r>
    </w:p>
    <w:p w:rsidR="00000000" w:rsidDel="00000000" w:rsidP="00000000" w:rsidRDefault="00000000" w:rsidRPr="00000000" w14:paraId="0000001D">
      <w:pPr>
        <w:spacing w:after="240" w:before="240" w:line="360" w:lineRule="auto"/>
        <w:ind w:firstLine="720"/>
        <w:rPr/>
      </w:pPr>
      <w:r w:rsidDel="00000000" w:rsidR="00000000" w:rsidRPr="00000000">
        <w:rPr>
          <w:rtl w:val="0"/>
        </w:rPr>
      </w:r>
    </w:p>
    <w:p w:rsidR="00000000" w:rsidDel="00000000" w:rsidP="00000000" w:rsidRDefault="00000000" w:rsidRPr="00000000" w14:paraId="0000001E">
      <w:pPr>
        <w:spacing w:after="240" w:before="240" w:line="360" w:lineRule="auto"/>
        <w:ind w:firstLine="720"/>
        <w:rPr/>
      </w:pPr>
      <w:r w:rsidDel="00000000" w:rsidR="00000000" w:rsidRPr="00000000">
        <w:rPr>
          <w:rtl w:val="0"/>
        </w:rPr>
      </w:r>
    </w:p>
    <w:p w:rsidR="00000000" w:rsidDel="00000000" w:rsidP="00000000" w:rsidRDefault="00000000" w:rsidRPr="00000000" w14:paraId="0000001F">
      <w:pPr>
        <w:spacing w:after="240" w:before="240" w:line="360" w:lineRule="auto"/>
        <w:ind w:left="0" w:firstLine="0"/>
        <w:rPr/>
      </w:pPr>
      <w:r w:rsidDel="00000000" w:rsidR="00000000" w:rsidRPr="00000000">
        <w:rPr>
          <w:rtl w:val="0"/>
        </w:rPr>
      </w:r>
    </w:p>
    <w:p w:rsidR="00000000" w:rsidDel="00000000" w:rsidP="00000000" w:rsidRDefault="00000000" w:rsidRPr="00000000" w14:paraId="00000020">
      <w:pPr>
        <w:spacing w:after="240" w:before="240" w:line="360" w:lineRule="auto"/>
        <w:ind w:left="0" w:firstLine="0"/>
        <w:rPr/>
      </w:pPr>
      <w:r w:rsidDel="00000000" w:rsidR="00000000" w:rsidRPr="00000000">
        <w:rPr>
          <w:rtl w:val="0"/>
        </w:rPr>
      </w:r>
    </w:p>
    <w:p w:rsidR="00000000" w:rsidDel="00000000" w:rsidP="00000000" w:rsidRDefault="00000000" w:rsidRPr="00000000" w14:paraId="00000021">
      <w:pPr>
        <w:spacing w:after="240" w:before="240" w:line="360" w:lineRule="auto"/>
        <w:ind w:left="0" w:firstLine="0"/>
        <w:rPr/>
      </w:pPr>
      <w:r w:rsidDel="00000000" w:rsidR="00000000" w:rsidRPr="00000000">
        <w:rPr>
          <w:rtl w:val="0"/>
        </w:rPr>
        <w:t xml:space="preserve">Link:</w:t>
      </w:r>
      <w:hyperlink r:id="rId7">
        <w:r w:rsidDel="00000000" w:rsidR="00000000" w:rsidRPr="00000000">
          <w:rPr>
            <w:color w:val="1155cc"/>
            <w:u w:val="single"/>
            <w:rtl w:val="0"/>
          </w:rPr>
          <w:t xml:space="preserve">https://www.canva.com/design/DAHCU74WncQ/hIX5pfLUcqDfAZuY8zn_2Q/edit?utm_content=DAHCU74WncQ&amp;utm_campaign=designshare&amp;utm_medium=link2&amp;utm_source=sharebutton</w:t>
        </w:r>
      </w:hyperlink>
      <w:r w:rsidDel="00000000" w:rsidR="00000000" w:rsidRPr="00000000">
        <w:rPr>
          <w:rtl w:val="0"/>
        </w:rPr>
        <w:t xml:space="preserve"> </w:t>
      </w:r>
    </w:p>
    <w:p w:rsidR="00000000" w:rsidDel="00000000" w:rsidP="00000000" w:rsidRDefault="00000000" w:rsidRPr="00000000" w14:paraId="00000022">
      <w:pPr>
        <w:spacing w:after="240" w:before="240" w:line="360" w:lineRule="auto"/>
        <w:ind w:firstLine="720"/>
        <w:rPr/>
      </w:pPr>
      <w:r w:rsidDel="00000000" w:rsidR="00000000" w:rsidRPr="00000000">
        <w:rPr>
          <w:rtl w:val="0"/>
        </w:rPr>
      </w:r>
    </w:p>
    <w:p w:rsidR="00000000" w:rsidDel="00000000" w:rsidP="00000000" w:rsidRDefault="00000000" w:rsidRPr="00000000" w14:paraId="00000023">
      <w:pPr>
        <w:spacing w:after="240" w:before="240" w:line="360" w:lineRule="auto"/>
        <w:ind w:firstLine="720"/>
        <w:rPr/>
      </w:pPr>
      <w:r w:rsidDel="00000000" w:rsidR="00000000" w:rsidRPr="00000000">
        <w:rPr>
          <w:rtl w:val="0"/>
        </w:rPr>
      </w:r>
    </w:p>
    <w:p w:rsidR="00000000" w:rsidDel="00000000" w:rsidP="00000000" w:rsidRDefault="00000000" w:rsidRPr="00000000" w14:paraId="00000024">
      <w:pPr>
        <w:spacing w:after="240" w:before="240" w:line="360" w:lineRule="auto"/>
        <w:ind w:firstLine="720"/>
        <w:rPr/>
      </w:pPr>
      <w:r w:rsidDel="00000000" w:rsidR="00000000" w:rsidRPr="00000000">
        <w:rPr>
          <w:rtl w:val="0"/>
        </w:rPr>
      </w:r>
    </w:p>
    <w:p w:rsidR="00000000" w:rsidDel="00000000" w:rsidP="00000000" w:rsidRDefault="00000000" w:rsidRPr="00000000" w14:paraId="00000025">
      <w:pPr>
        <w:spacing w:after="240" w:before="240" w:line="360" w:lineRule="auto"/>
        <w:ind w:left="0" w:firstLine="0"/>
        <w:jc w:val="center"/>
        <w:rPr>
          <w:b w:val="1"/>
          <w:bCs w:val="1"/>
          <w:u w:val="single"/>
        </w:rPr>
      </w:pPr>
      <w:r w:rsidDel="00000000" w:rsidR="00000000" w:rsidRPr="00000000">
        <w:rPr>
          <w:b w:val="1"/>
          <w:bCs w:val="1"/>
          <w:u w:val="single"/>
          <w:rtl w:val="0"/>
        </w:rPr>
        <w:t xml:space="preserve">Cause and Effect Diagram: </w:t>
      </w:r>
      <w:r w:rsidDel="00000000" w:rsidR="00000000" w:rsidRPr="00000000">
        <w:drawing>
          <wp:anchor allowOverlap="1" behindDoc="0" distB="0" distT="0" distL="0" distR="0" hidden="0" layoutInCell="1" locked="0" relativeHeight="0" simplePos="0">
            <wp:simplePos x="0" y="0"/>
            <wp:positionH relativeFrom="column">
              <wp:posOffset>-723899</wp:posOffset>
            </wp:positionH>
            <wp:positionV relativeFrom="paragraph">
              <wp:posOffset>204788</wp:posOffset>
            </wp:positionV>
            <wp:extent cx="7400925" cy="4881563"/>
            <wp:effectExtent b="0" l="0" r="0" t="0"/>
            <wp:wrapTopAndBottom distB="0" dist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7400925" cy="4881563"/>
                    </a:xfrm>
                    <a:prstGeom prst="rect"/>
                    <a:ln/>
                  </pic:spPr>
                </pic:pic>
              </a:graphicData>
            </a:graphic>
          </wp:anchor>
        </w:drawing>
      </w:r>
    </w:p>
    <w:p w:rsidR="00000000" w:rsidDel="00000000" w:rsidP="00000000" w:rsidRDefault="00000000" w:rsidRPr="00000000" w14:paraId="00000026">
      <w:pPr>
        <w:spacing w:after="240" w:before="240" w:line="360" w:lineRule="auto"/>
        <w:ind w:left="0" w:firstLine="0"/>
        <w:rPr/>
      </w:pPr>
      <w:r w:rsidDel="00000000" w:rsidR="00000000" w:rsidRPr="00000000">
        <w:rPr>
          <w:rtl w:val="0"/>
        </w:rPr>
      </w:r>
    </w:p>
    <w:p w:rsidR="00000000" w:rsidDel="00000000" w:rsidP="00000000" w:rsidRDefault="00000000" w:rsidRPr="00000000" w14:paraId="00000027">
      <w:pPr>
        <w:spacing w:after="240" w:before="240" w:line="360" w:lineRule="auto"/>
        <w:ind w:left="0" w:firstLine="0"/>
        <w:rPr/>
      </w:pPr>
      <w:r w:rsidDel="00000000" w:rsidR="00000000" w:rsidRPr="00000000">
        <w:rPr>
          <w:rtl w:val="0"/>
        </w:rPr>
        <w:t xml:space="preserve">Link: </w:t>
      </w:r>
      <w:hyperlink r:id="rId9">
        <w:r w:rsidDel="00000000" w:rsidR="00000000" w:rsidRPr="00000000">
          <w:rPr>
            <w:color w:val="1155cc"/>
            <w:u w:val="single"/>
            <w:rtl w:val="0"/>
          </w:rPr>
          <w:t xml:space="preserve">https://www.canva.com/design/DAHCzoVtJXE/kGvoIVd1rjFTunx-ujZsFQ/edit?utm_content=DAHCzoVtJXE&amp;utm_campaign=designshare&amp;utm_medium=link2&amp;utm_source=sharebutton</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8">
      <w:pPr>
        <w:spacing w:after="240" w:before="240" w:line="360" w:lineRule="auto"/>
        <w:ind w:firstLine="720"/>
        <w:rPr/>
      </w:pPr>
      <w:r w:rsidDel="00000000" w:rsidR="00000000" w:rsidRPr="00000000">
        <w:rPr>
          <w:rtl w:val="0"/>
        </w:rPr>
      </w:r>
    </w:p>
    <w:p w:rsidR="00000000" w:rsidDel="00000000" w:rsidP="00000000" w:rsidRDefault="00000000" w:rsidRPr="00000000" w14:paraId="00000029">
      <w:pPr>
        <w:spacing w:after="240" w:before="240" w:line="360" w:lineRule="auto"/>
        <w:ind w:firstLine="720"/>
        <w:rPr/>
      </w:pPr>
      <w:r w:rsidDel="00000000" w:rsidR="00000000" w:rsidRPr="00000000">
        <w:rPr>
          <w:rtl w:val="0"/>
        </w:rPr>
      </w:r>
    </w:p>
    <w:p w:rsidR="00000000" w:rsidDel="00000000" w:rsidP="00000000" w:rsidRDefault="00000000" w:rsidRPr="00000000" w14:paraId="0000002A">
      <w:pPr>
        <w:spacing w:after="240" w:before="240" w:line="360" w:lineRule="auto"/>
        <w:ind w:firstLine="720"/>
        <w:rPr/>
      </w:pPr>
      <w:r w:rsidDel="00000000" w:rsidR="00000000" w:rsidRPr="00000000">
        <w:rPr>
          <w:rtl w:val="0"/>
        </w:rPr>
      </w:r>
    </w:p>
    <w:p w:rsidR="00000000" w:rsidDel="00000000" w:rsidP="00000000" w:rsidRDefault="00000000" w:rsidRPr="00000000" w14:paraId="0000002B">
      <w:pPr>
        <w:spacing w:after="240" w:before="240" w:line="360" w:lineRule="auto"/>
        <w:ind w:firstLine="720"/>
        <w:rPr/>
      </w:pPr>
      <w:r w:rsidDel="00000000" w:rsidR="00000000" w:rsidRPr="00000000">
        <w:rPr>
          <w:rtl w:val="0"/>
        </w:rPr>
      </w:r>
    </w:p>
    <w:p w:rsidR="00000000" w:rsidDel="00000000" w:rsidP="00000000" w:rsidRDefault="00000000" w:rsidRPr="00000000" w14:paraId="0000002C">
      <w:pPr>
        <w:spacing w:after="240" w:before="240" w:line="360" w:lineRule="auto"/>
        <w:ind w:left="0" w:firstLine="0"/>
        <w:jc w:val="left"/>
        <w:rPr/>
      </w:pPr>
      <w:r w:rsidDel="00000000" w:rsidR="00000000" w:rsidRPr="00000000">
        <w:rPr>
          <w:rtl w:val="0"/>
        </w:rPr>
      </w:r>
    </w:p>
    <w:p w:rsidR="00000000" w:rsidDel="00000000" w:rsidP="00000000" w:rsidRDefault="00000000" w:rsidRPr="00000000" w14:paraId="0000002D">
      <w:pPr>
        <w:spacing w:after="240" w:before="240" w:line="360" w:lineRule="auto"/>
        <w:ind w:left="0" w:firstLine="0"/>
        <w:jc w:val="center"/>
        <w:rPr>
          <w:b w:val="1"/>
          <w:bCs w:val="1"/>
          <w:u w:val="single"/>
        </w:rPr>
      </w:pPr>
      <w:r w:rsidDel="00000000" w:rsidR="00000000" w:rsidRPr="00000000">
        <w:rPr>
          <w:b w:val="1"/>
          <w:bCs w:val="1"/>
          <w:u w:val="single"/>
          <w:rtl w:val="0"/>
        </w:rPr>
        <w:t xml:space="preserve">251106 - Causes and Effects of Education Inequality: </w:t>
      </w:r>
    </w:p>
    <w:p w:rsidR="00000000" w:rsidDel="00000000" w:rsidP="00000000" w:rsidRDefault="00000000" w:rsidRPr="00000000" w14:paraId="0000002E">
      <w:pPr>
        <w:spacing w:after="240" w:before="240" w:line="360" w:lineRule="auto"/>
        <w:ind w:firstLine="720"/>
        <w:rPr/>
      </w:pPr>
      <w:r w:rsidDel="00000000" w:rsidR="00000000" w:rsidRPr="00000000">
        <w:rPr>
          <w:rtl w:val="0"/>
        </w:rPr>
        <w:t xml:space="preserve">Education plays an important role in shaping individual ambitions and social development at a global scale </w:t>
      </w:r>
      <w:r w:rsidDel="00000000" w:rsidR="00000000" w:rsidRPr="00000000">
        <w:rPr>
          <w:rtl w:val="0"/>
        </w:rPr>
        <w:t xml:space="preserve">(Prasad and Gupta, 2020). It provides techniques, information, skills and knowledge to understand the world around us at large, as well as allowing us to understand our cultural differences, and gender differences. The importance of education equality is globally understood, the Sustainable Development Goals reflecting this as goal four highlights ensuring equitable and inclusive education and lifelong learning opportunities (United Nations, 2024).  </w:t>
      </w:r>
    </w:p>
    <w:p w:rsidR="00000000" w:rsidDel="00000000" w:rsidP="00000000" w:rsidRDefault="00000000" w:rsidRPr="00000000" w14:paraId="0000002F">
      <w:pPr>
        <w:spacing w:after="240" w:before="240" w:line="360" w:lineRule="auto"/>
        <w:ind w:firstLine="720"/>
        <w:rPr/>
      </w:pPr>
      <w:r w:rsidDel="00000000" w:rsidR="00000000" w:rsidRPr="00000000">
        <w:rPr>
          <w:rtl w:val="0"/>
        </w:rPr>
        <w:t xml:space="preserve">However, while the importance of education is highlighted in the Sustainable Development Goals and international reports, education inequality is one of the most prevalent issues affecting global civilizations. Education inequality refers to unequal access to quality education, unequal outcomes by gender, and unequal outcomes between socioeconomic groups. This argues that factors like gender, race, and geographic location are significant factors contributing to educational equality (Rholetter Purdy, 2021). Data suggests that 250 million school-aged children are out, that number only increases as children move into higher education (</w:t>
      </w:r>
      <w:r w:rsidDel="00000000" w:rsidR="00000000" w:rsidRPr="00000000">
        <w:rPr>
          <w:color w:val="222222"/>
          <w:highlight w:val="white"/>
          <w:rtl w:val="0"/>
        </w:rPr>
        <w:t xml:space="preserve">UNESCO, 2023). </w:t>
      </w:r>
      <w:r w:rsidDel="00000000" w:rsidR="00000000" w:rsidRPr="00000000">
        <w:rPr>
          <w:rtl w:val="0"/>
        </w:rPr>
        <w:br w:type="textWrapping"/>
      </w:r>
      <w:r w:rsidDel="00000000" w:rsidR="00000000" w:rsidRPr="00000000">
        <w:rPr>
          <w:rtl w:val="0"/>
        </w:rPr>
        <w:br w:type="textWrapping"/>
        <w:tab/>
        <w:t xml:space="preserve">Although the Sustainable Development Goals emphasise inclusive and equitable education, gender inequality in education, poverty and the increasing digital divide remain a major barrier to achieving this aim. Throughout this paper, each of these issues will be observed through a global context, as well as contextualised within the United Kingdom and Wales, highlighting any successes locally and how they can be utilised for global success. </w:t>
      </w:r>
      <w:r w:rsidDel="00000000" w:rsidR="00000000" w:rsidRPr="00000000">
        <w:rPr>
          <w:rtl w:val="0"/>
        </w:rPr>
      </w:r>
    </w:p>
    <w:p w:rsidR="00000000" w:rsidDel="00000000" w:rsidP="00000000" w:rsidRDefault="00000000" w:rsidRPr="00000000" w14:paraId="00000030">
      <w:pPr>
        <w:spacing w:after="240" w:before="240" w:line="360" w:lineRule="auto"/>
        <w:ind w:firstLine="720"/>
        <w:rPr/>
      </w:pPr>
      <w:r w:rsidDel="00000000" w:rsidR="00000000" w:rsidRPr="00000000">
        <w:rPr>
          <w:rtl w:val="0"/>
        </w:rPr>
        <w:tab/>
        <w:t xml:space="preserve">One of the biggest driving factors of educational inequality is gender inequality. Gender inequality is unequal access to opportunities, resources and experiences (</w:t>
      </w:r>
      <w:r w:rsidDel="00000000" w:rsidR="00000000" w:rsidRPr="00000000">
        <w:rPr>
          <w:color w:val="222222"/>
          <w:highlight w:val="white"/>
          <w:rtl w:val="0"/>
        </w:rPr>
        <w:t xml:space="preserve">EBSCO Information Services (EBSCO), 2023)</w:t>
      </w:r>
      <w:r w:rsidDel="00000000" w:rsidR="00000000" w:rsidRPr="00000000">
        <w:rPr>
          <w:rtl w:val="0"/>
        </w:rPr>
        <w:t xml:space="preserve">. </w:t>
      </w:r>
      <w:r w:rsidDel="00000000" w:rsidR="00000000" w:rsidRPr="00000000">
        <w:rPr>
          <w:rtl w:val="0"/>
        </w:rPr>
        <w:t xml:space="preserve">Gender disparities remain significant. For instance, over 118 million girls are out of school globally and this figure only increases at higher education levels. The reason behind this number being so high globally is caused by significant barriers to education due to gender bias and cultural norms (</w:t>
      </w:r>
      <w:r w:rsidDel="00000000" w:rsidR="00000000" w:rsidRPr="00000000">
        <w:rPr>
          <w:rtl w:val="0"/>
        </w:rPr>
        <w:t xml:space="preserve">UNICEF, 2023a).</w:t>
        <w:br w:type="textWrapping"/>
      </w:r>
      <w:r w:rsidDel="00000000" w:rsidR="00000000" w:rsidRPr="00000000">
        <w:rPr>
          <w:rtl w:val="0"/>
        </w:rPr>
        <w:br w:type="textWrapping"/>
        <w:tab/>
        <w:t xml:space="preserve">For example, one of the </w:t>
      </w:r>
      <w:r w:rsidDel="00000000" w:rsidR="00000000" w:rsidRPr="00000000">
        <w:rPr>
          <w:rtl w:val="0"/>
        </w:rPr>
        <w:t xml:space="preserve">most</w:t>
      </w:r>
      <w:r w:rsidDel="00000000" w:rsidR="00000000" w:rsidRPr="00000000">
        <w:rPr>
          <w:rtl w:val="0"/>
        </w:rPr>
        <w:t xml:space="preserve"> visible ways gender inequality presents itself in education is through the structural design of education itself. This is usually subtle, reflected through unequal resource allocation, lack of opportunity for extra curricular activities, and even teacher bias (Abbas and Smith, 2023). Cultural norms dictate many of the causes behind gender inequality in education. As </w:t>
      </w:r>
      <w:r w:rsidDel="00000000" w:rsidR="00000000" w:rsidRPr="00000000">
        <w:rPr>
          <w:rtl w:val="0"/>
        </w:rPr>
        <w:t xml:space="preserve">Nowak, 2021 highlights, adolescence for girls in developing countries is often when barriers to education become the strongest. During this time, not only are girls at a higher risk of sexual violence and pregnancy risks, but child marriage is often the largest barrier to continuing education (Huddleston, 2026).</w:t>
      </w:r>
      <w:r w:rsidDel="00000000" w:rsidR="00000000" w:rsidRPr="00000000">
        <w:rPr>
          <w:rtl w:val="0"/>
        </w:rPr>
      </w:r>
    </w:p>
    <w:p w:rsidR="00000000" w:rsidDel="00000000" w:rsidP="00000000" w:rsidRDefault="00000000" w:rsidRPr="00000000" w14:paraId="00000031">
      <w:pPr>
        <w:spacing w:after="240" w:before="240" w:line="360" w:lineRule="auto"/>
        <w:ind w:firstLine="720"/>
        <w:rPr/>
      </w:pPr>
      <w:r w:rsidDel="00000000" w:rsidR="00000000" w:rsidRPr="00000000">
        <w:rPr>
          <w:rtl w:val="0"/>
        </w:rPr>
        <w:t xml:space="preserve">Despite education equality taking center stage in recent years,</w:t>
      </w:r>
      <w:r w:rsidDel="00000000" w:rsidR="00000000" w:rsidRPr="00000000">
        <w:rPr>
          <w:rtl w:val="0"/>
        </w:rPr>
        <w:t xml:space="preserve"> this gender inequality also negatively affects male students as well. These effects are frequently present</w:t>
      </w:r>
      <w:r w:rsidDel="00000000" w:rsidR="00000000" w:rsidRPr="00000000">
        <w:rPr>
          <w:rtl w:val="0"/>
        </w:rPr>
        <w:t xml:space="preserve"> in </w:t>
      </w:r>
      <w:r w:rsidDel="00000000" w:rsidR="00000000" w:rsidRPr="00000000">
        <w:rPr>
          <w:rtl w:val="0"/>
        </w:rPr>
        <w:t xml:space="preserve">attainment rates where boys are often outperformed by girls as they enter higher education. Looking at Wales, in regards to STEM subjects, girls are largely outperforming boys in GCSE and course evaluations. However, they’re still largely underrepresented in the STEM field as a whole </w:t>
      </w:r>
      <w:r w:rsidDel="00000000" w:rsidR="00000000" w:rsidRPr="00000000">
        <w:rPr>
          <w:rtl w:val="0"/>
        </w:rPr>
        <w:t xml:space="preserve">(Welsh Government, 2020).</w:t>
      </w:r>
      <w:r w:rsidDel="00000000" w:rsidR="00000000" w:rsidRPr="00000000">
        <w:rPr>
          <w:rtl w:val="0"/>
        </w:rPr>
      </w:r>
    </w:p>
    <w:p w:rsidR="00000000" w:rsidDel="00000000" w:rsidP="00000000" w:rsidRDefault="00000000" w:rsidRPr="00000000" w14:paraId="00000032">
      <w:pPr>
        <w:spacing w:after="240" w:before="240" w:line="360" w:lineRule="auto"/>
        <w:ind w:firstLine="720"/>
        <w:rPr>
          <w:highlight w:val="white"/>
        </w:rPr>
      </w:pPr>
      <w:r w:rsidDel="00000000" w:rsidR="00000000" w:rsidRPr="00000000">
        <w:rPr>
          <w:rtl w:val="0"/>
        </w:rPr>
        <w:t xml:space="preserve">Additionally, as education moves increasingly online, it is important to consider whether growing technological advancements are helping to reduce gender inequality or, in some cases, reinforcing it. Students of all genders are affected by the move towards a largely digital education. This can be explained by </w:t>
      </w:r>
      <w:r w:rsidDel="00000000" w:rsidR="00000000" w:rsidRPr="00000000">
        <w:rPr>
          <w:rtl w:val="0"/>
        </w:rPr>
        <w:t xml:space="preserve">an increasing digital society and shaping of how students learn. Approximately 98% of students use some form of computers in the classroom (Mordehai, 2024). However, children aren’t only using digital devices inside the classroom. Outside of school inequality with access and usage of the internet and online resources only furthers the digital divide </w:t>
      </w:r>
      <w:r w:rsidDel="00000000" w:rsidR="00000000" w:rsidRPr="00000000">
        <w:rPr>
          <w:highlight w:val="white"/>
          <w:rtl w:val="0"/>
        </w:rPr>
        <w:t xml:space="preserve">(OECD,2025). </w:t>
      </w:r>
    </w:p>
    <w:p w:rsidR="00000000" w:rsidDel="00000000" w:rsidP="00000000" w:rsidRDefault="00000000" w:rsidRPr="00000000" w14:paraId="00000033">
      <w:pPr>
        <w:spacing w:after="240" w:before="240" w:line="360" w:lineRule="auto"/>
        <w:ind w:firstLine="720"/>
        <w:rPr>
          <w:highlight w:val="white"/>
        </w:rPr>
      </w:pPr>
      <w:r w:rsidDel="00000000" w:rsidR="00000000" w:rsidRPr="00000000">
        <w:rPr>
          <w:highlight w:val="white"/>
          <w:rtl w:val="0"/>
        </w:rPr>
        <w:t xml:space="preserve">It is safe to say that digital learning or digital tools being used to enhance learning is becoming more commonplace. Yet, not all students will have equal access to these opportunities, or be able to reap the benefits of digital resources. In the UK it’s estimated that 6.9 million people will be unable to get online without help by 2028 and as of 2022, 7% of Wales’s population aged 16 and over are not online (Clark, 2022). Women and girls also experience a disproportionate gap in access to these resources. For every 100 young boys in Africa and South Asia who have access to digital skills, only 65 young girls do (UNICEF, 2023b). This gap also persists within the UK as well with women making up the majority of those lacking digital skills at 61% (</w:t>
      </w:r>
      <w:r w:rsidDel="00000000" w:rsidR="00000000" w:rsidRPr="00000000">
        <w:rPr>
          <w:highlight w:val="white"/>
          <w:rtl w:val="0"/>
        </w:rPr>
        <w:t xml:space="preserve">Digital Poverty Alliance, 2025).</w:t>
      </w:r>
      <w:r w:rsidDel="00000000" w:rsidR="00000000" w:rsidRPr="00000000">
        <w:rPr>
          <w:rtl w:val="0"/>
        </w:rPr>
      </w:r>
    </w:p>
    <w:p w:rsidR="00000000" w:rsidDel="00000000" w:rsidP="00000000" w:rsidRDefault="00000000" w:rsidRPr="00000000" w14:paraId="00000034">
      <w:pPr>
        <w:spacing w:after="240" w:before="240" w:line="360" w:lineRule="auto"/>
        <w:ind w:left="0" w:firstLine="720"/>
        <w:rPr>
          <w:color w:val="222222"/>
          <w:highlight w:val="white"/>
        </w:rPr>
      </w:pPr>
      <w:r w:rsidDel="00000000" w:rsidR="00000000" w:rsidRPr="00000000">
        <w:rPr>
          <w:highlight w:val="white"/>
          <w:rtl w:val="0"/>
        </w:rPr>
        <w:t xml:space="preserve"> This gap in access to digital opportunities and benefits available is called the digital divide. T</w:t>
      </w:r>
      <w:r w:rsidDel="00000000" w:rsidR="00000000" w:rsidRPr="00000000">
        <w:rPr>
          <w:color w:val="222222"/>
          <w:highlight w:val="white"/>
          <w:rtl w:val="0"/>
        </w:rPr>
        <w:t xml:space="preserve">he digital divide comprises three main parts: if individuals have access to computers and the internet, digital skills, and the further effects of education inequality throughout life. While in school, children without access to digital resources can fall behind peers who do have adequate internet access. </w:t>
      </w:r>
      <w:r w:rsidDel="00000000" w:rsidR="00000000" w:rsidRPr="00000000">
        <w:rPr>
          <w:color w:val="1f1f1f"/>
          <w:highlight w:val="white"/>
          <w:rtl w:val="0"/>
        </w:rPr>
        <w:t xml:space="preserve">Digital skills will enhance </w:t>
      </w:r>
      <w:hyperlink r:id="rId10">
        <w:r w:rsidDel="00000000" w:rsidR="00000000" w:rsidRPr="00000000">
          <w:rPr>
            <w:color w:val="1f1f1f"/>
            <w:highlight w:val="white"/>
            <w:rtl w:val="0"/>
          </w:rPr>
          <w:t xml:space="preserve">educational performance</w:t>
        </w:r>
      </w:hyperlink>
      <w:r w:rsidDel="00000000" w:rsidR="00000000" w:rsidRPr="00000000">
        <w:rPr>
          <w:color w:val="1f1f1f"/>
          <w:highlight w:val="white"/>
          <w:rtl w:val="0"/>
        </w:rPr>
        <w:t xml:space="preserve">, </w:t>
      </w:r>
      <w:r w:rsidDel="00000000" w:rsidR="00000000" w:rsidRPr="00000000">
        <w:rPr>
          <w:color w:val="1f1f1f"/>
          <w:highlight w:val="white"/>
          <w:rtl w:val="0"/>
        </w:rPr>
        <w:t xml:space="preserve">particularly among impoverished students.(Van de Werfhorst, Kessenich and Geven, 2022)</w:t>
      </w:r>
      <w:r w:rsidDel="00000000" w:rsidR="00000000" w:rsidRPr="00000000">
        <w:rPr>
          <w:color w:val="222222"/>
          <w:highlight w:val="white"/>
          <w:rtl w:val="0"/>
        </w:rPr>
        <w:t xml:space="preserve"> This problem persists as children grow up and enter adulthood. As individuals enter the job market, those that lack basic digital skills often have limited employment prospects and have trouble integrating fully into society </w:t>
      </w:r>
      <w:r w:rsidDel="00000000" w:rsidR="00000000" w:rsidRPr="00000000">
        <w:rPr>
          <w:color w:val="222222"/>
          <w:highlight w:val="white"/>
          <w:rtl w:val="0"/>
        </w:rPr>
        <w:t xml:space="preserve">(OECD, 2023). Women also disproportionately are affected by this gap as in the UK, they are 14 to 22% more likely to experience digital poverty than men (Digital Poverty Alliance, 2025). This only highlights the growing need for access to digital resources to become more equitable, especially for those in poverty.</w:t>
      </w:r>
    </w:p>
    <w:p w:rsidR="00000000" w:rsidDel="00000000" w:rsidP="00000000" w:rsidRDefault="00000000" w:rsidRPr="00000000" w14:paraId="00000035">
      <w:pPr>
        <w:spacing w:after="240" w:before="240" w:line="360" w:lineRule="auto"/>
        <w:ind w:left="0" w:firstLine="720"/>
        <w:rPr/>
      </w:pPr>
      <w:r w:rsidDel="00000000" w:rsidR="00000000" w:rsidRPr="00000000">
        <w:rPr>
          <w:rtl w:val="0"/>
        </w:rPr>
        <w:br w:type="textWrapping"/>
        <w:tab/>
        <w:t xml:space="preserve">As the cost of living increases globally, poverty is becoming a prominent factor when it comes to education inequality. Poverty remains a wicked problem and a barrier to educational equality globally. Progress in reducing poverty is currently uneven on a worldwide scale, adding additional problems when trying to solve it </w:t>
      </w:r>
      <w:r w:rsidDel="00000000" w:rsidR="00000000" w:rsidRPr="00000000">
        <w:rPr>
          <w:rtl w:val="0"/>
        </w:rPr>
        <w:t xml:space="preserve">(Nations, 2025). Poverty in education can lead to issues like increased mental health issues and poor academic performance. Looking at the UK, 4 out of 10 disadvantaged children meet basic academic standards (Barnard, 2018). This statistic is concerning, and highlights a larger connection between education and poverty. As (Chaudry and Wimer, 2016) explain, early childhood poverty has been reported to have the strongest connection to negative cognitive development and educational outcomes. </w:t>
      </w:r>
    </w:p>
    <w:p w:rsidR="00000000" w:rsidDel="00000000" w:rsidP="00000000" w:rsidRDefault="00000000" w:rsidRPr="00000000" w14:paraId="00000036">
      <w:pPr>
        <w:spacing w:after="240" w:before="240" w:line="360" w:lineRule="auto"/>
        <w:ind w:firstLine="720"/>
        <w:rPr/>
      </w:pPr>
      <w:r w:rsidDel="00000000" w:rsidR="00000000" w:rsidRPr="00000000">
        <w:rPr>
          <w:rtl w:val="0"/>
        </w:rPr>
        <w:t xml:space="preserve">This is clearly evident when we look at statistics specific to Wales. </w:t>
      </w:r>
      <w:r w:rsidDel="00000000" w:rsidR="00000000" w:rsidRPr="00000000">
        <w:rPr>
          <w:highlight w:val="white"/>
          <w:rtl w:val="0"/>
        </w:rPr>
        <w:t xml:space="preserve">In Wales, around 23% of the population lives in income-defined relative poverty, and approximately 30% of children are affected. Notably, most of these children live in households where at least one parent is in employment, highlighting the limitations of employment alone in preventing poverty.</w:t>
      </w:r>
      <w:r w:rsidDel="00000000" w:rsidR="00000000" w:rsidRPr="00000000">
        <w:rPr>
          <w:rtl w:val="0"/>
        </w:rPr>
        <w:t xml:space="preserve"> </w:t>
      </w:r>
      <w:r w:rsidDel="00000000" w:rsidR="00000000" w:rsidRPr="00000000">
        <w:rPr>
          <w:rtl w:val="0"/>
        </w:rPr>
        <w:t xml:space="preserve">(Barnard, 2018). Childhood poverty directly connects to academic performance as the attainment gap can present as early as the age of 3. Children reliant on free school meals can be up to a year behind in school, compared to children who don’t receive them (Egan, 2013). As impoverished children continue to go through school the attainment gap closes, but re-widens around age 13/14. The attainment gap during this time can be as large as 32% to 34% compared to other non-impoverished children (Egan, 2012). </w:t>
        <w:br w:type="textWrapping"/>
        <w:tab/>
        <w:br w:type="textWrapping"/>
        <w:tab/>
        <w:t xml:space="preserve">However, it’s important to note that not all children living in poverty will perform poorer academically or struggle in school. One of the biggest factors behind this is heightened teacher and parent involvement. In a single year, impoverished children can gain the improvements of 15 years of schooling just from effective teaching (Sutton Trust, 2011). Teacher and parent involvement is the most important factor in students succeeding academically, regardless of poverty status (NFER, 2013). </w:t>
      </w:r>
    </w:p>
    <w:p w:rsidR="00000000" w:rsidDel="00000000" w:rsidP="00000000" w:rsidRDefault="00000000" w:rsidRPr="00000000" w14:paraId="00000037">
      <w:pPr>
        <w:spacing w:after="240" w:before="240" w:line="360" w:lineRule="auto"/>
        <w:ind w:left="0" w:firstLine="720"/>
        <w:rPr>
          <w:color w:val="222222"/>
          <w:highlight w:val="white"/>
        </w:rPr>
      </w:pPr>
      <w:r w:rsidDel="00000000" w:rsidR="00000000" w:rsidRPr="00000000">
        <w:rPr>
          <w:rtl w:val="0"/>
        </w:rPr>
        <w:t xml:space="preserve">Poverty, gender inequality, and the digital divide remain key barriers to educational equality globally and within the UK. However, early and effective interventions can reduce these disparities. Approaches such as teacher intervention, enhanced parent involvement, and curriculum reviews have been proven to reduce education inequality (Sutton Trust, 2011). Importantly, these approaches also align with priorities set out by the United Nations, particularly Sustainable Development Goal 4, along with Sustainable Development Goal 5 and Sustainable Development Goal 10 (United Nations, 2024) (United Nations, 2025a) (United Nations, 2025b), (United Nations, 2025c). In response, the UK and Welsh governments have implemented policies such as the Pupil Development Grant, Well-being of Future Generations Act, Curriculum for Wales (2022), the Equality Act (2010), and the Recruit, Recover and Raise Standards (RRRS) policy, all aimed at supporting disadvantaged learners, addressing the digital divide, and promoting inclusion in education (Dauncey and Morgan, 2023). These policies and government backed initiatives demonstrate the potential to create a more equitable education system and can be used globally to reduce education inequality. </w:t>
      </w:r>
      <w:r w:rsidDel="00000000" w:rsidR="00000000" w:rsidRPr="00000000">
        <w:rPr>
          <w:rtl w:val="0"/>
        </w:rPr>
      </w:r>
    </w:p>
    <w:p w:rsidR="00000000" w:rsidDel="00000000" w:rsidP="00000000" w:rsidRDefault="00000000" w:rsidRPr="00000000" w14:paraId="00000038">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9">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A">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B">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C">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D">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E">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3F">
      <w:pPr>
        <w:spacing w:after="240" w:before="240" w:line="360" w:lineRule="auto"/>
        <w:ind w:left="0" w:firstLine="0"/>
        <w:rPr>
          <w:color w:val="222222"/>
          <w:highlight w:val="white"/>
        </w:rPr>
      </w:pPr>
      <w:r w:rsidDel="00000000" w:rsidR="00000000" w:rsidRPr="00000000">
        <w:rPr>
          <w:rtl w:val="0"/>
        </w:rPr>
      </w:r>
    </w:p>
    <w:p w:rsidR="00000000" w:rsidDel="00000000" w:rsidP="00000000" w:rsidRDefault="00000000" w:rsidRPr="00000000" w14:paraId="00000040">
      <w:pPr>
        <w:spacing w:after="240" w:before="240" w:line="240" w:lineRule="auto"/>
        <w:ind w:left="0" w:firstLine="0"/>
        <w:jc w:val="center"/>
        <w:rPr>
          <w:b w:val="1"/>
          <w:bCs w:val="1"/>
          <w:color w:val="222222"/>
          <w:highlight w:val="white"/>
        </w:rPr>
      </w:pPr>
      <w:r w:rsidDel="00000000" w:rsidR="00000000" w:rsidRPr="00000000">
        <w:rPr>
          <w:b w:val="1"/>
          <w:bCs w:val="1"/>
          <w:color w:val="222222"/>
          <w:highlight w:val="white"/>
          <w:rtl w:val="0"/>
        </w:rPr>
        <w:t xml:space="preserve">References: </w:t>
      </w:r>
    </w:p>
    <w:p w:rsidR="00000000" w:rsidDel="00000000" w:rsidP="00000000" w:rsidRDefault="00000000" w:rsidRPr="00000000" w14:paraId="00000041">
      <w:pPr>
        <w:spacing w:after="240" w:before="240" w:line="240" w:lineRule="auto"/>
        <w:rPr>
          <w:color w:val="222222"/>
        </w:rPr>
      </w:pPr>
      <w:r w:rsidDel="00000000" w:rsidR="00000000" w:rsidRPr="00000000">
        <w:rPr>
          <w:color w:val="222222"/>
          <w:rtl w:val="0"/>
        </w:rPr>
        <w:t xml:space="preserve">Abbas, A. and Smith, J., 2023. Gender inequality in education: a comprehensive examination of social science studies. </w:t>
      </w:r>
      <w:r w:rsidDel="00000000" w:rsidR="00000000" w:rsidRPr="00000000">
        <w:rPr>
          <w:i w:val="1"/>
          <w:iCs w:val="1"/>
          <w:color w:val="222222"/>
          <w:rtl w:val="0"/>
        </w:rPr>
        <w:t xml:space="preserve">The Critical Review of Social Sciences Studies</w:t>
      </w:r>
      <w:r w:rsidDel="00000000" w:rsidR="00000000" w:rsidRPr="00000000">
        <w:rPr>
          <w:color w:val="222222"/>
          <w:rtl w:val="0"/>
        </w:rPr>
        <w:t xml:space="preserve">, </w:t>
      </w:r>
      <w:r w:rsidDel="00000000" w:rsidR="00000000" w:rsidRPr="00000000">
        <w:rPr>
          <w:i w:val="1"/>
          <w:iCs w:val="1"/>
          <w:color w:val="222222"/>
          <w:rtl w:val="0"/>
        </w:rPr>
        <w:t xml:space="preserve">1</w:t>
      </w:r>
      <w:r w:rsidDel="00000000" w:rsidR="00000000" w:rsidRPr="00000000">
        <w:rPr>
          <w:color w:val="222222"/>
          <w:rtl w:val="0"/>
        </w:rPr>
        <w:t xml:space="preserve">(01), pp.11-22. Available at: </w:t>
      </w:r>
      <w:hyperlink r:id="rId11">
        <w:r w:rsidDel="00000000" w:rsidR="00000000" w:rsidRPr="00000000">
          <w:rPr>
            <w:color w:val="1155cc"/>
            <w:u w:val="single"/>
            <w:rtl w:val="0"/>
          </w:rPr>
          <w:t xml:space="preserve">https://thecrsss.com/index.php/Journal/article/view/2</w:t>
        </w:r>
      </w:hyperlink>
      <w:r w:rsidDel="00000000" w:rsidR="00000000" w:rsidRPr="00000000">
        <w:rPr>
          <w:color w:val="222222"/>
          <w:rtl w:val="0"/>
        </w:rPr>
        <w:t xml:space="preserve"> </w:t>
      </w:r>
    </w:p>
    <w:p w:rsidR="00000000" w:rsidDel="00000000" w:rsidP="00000000" w:rsidRDefault="00000000" w:rsidRPr="00000000" w14:paraId="00000042">
      <w:pPr>
        <w:spacing w:after="240" w:line="240" w:lineRule="auto"/>
        <w:rPr>
          <w:color w:val="222222"/>
          <w:highlight w:val="white"/>
        </w:rPr>
      </w:pPr>
      <w:r w:rsidDel="00000000" w:rsidR="00000000" w:rsidRPr="00000000">
        <w:rPr>
          <w:color w:val="222222"/>
          <w:highlight w:val="white"/>
          <w:rtl w:val="0"/>
        </w:rPr>
        <w:t xml:space="preserve">Amelia Hall (2025) ‘Dismantling the bias: Why the racial unconscious bias must be addressed within Early Years Education. - Early Years’, </w:t>
      </w:r>
      <w:r w:rsidDel="00000000" w:rsidR="00000000" w:rsidRPr="00000000">
        <w:rPr>
          <w:i w:val="1"/>
          <w:iCs w:val="1"/>
          <w:color w:val="222222"/>
          <w:highlight w:val="white"/>
          <w:rtl w:val="0"/>
        </w:rPr>
        <w:t xml:space="preserve">Early Years</w:t>
      </w:r>
      <w:r w:rsidDel="00000000" w:rsidR="00000000" w:rsidRPr="00000000">
        <w:rPr>
          <w:color w:val="222222"/>
          <w:highlight w:val="white"/>
          <w:rtl w:val="0"/>
        </w:rPr>
        <w:t xml:space="preserve">, 18 December. Available at: </w:t>
      </w:r>
      <w:hyperlink r:id="rId12">
        <w:r w:rsidDel="00000000" w:rsidR="00000000" w:rsidRPr="00000000">
          <w:rPr>
            <w:color w:val="1155cc"/>
            <w:highlight w:val="white"/>
            <w:u w:val="single"/>
            <w:rtl w:val="0"/>
          </w:rPr>
          <w:t xml:space="preserve">https://blogs.edgehill.ac.uk/earlyyears/dismantling-the-bias-why-the-racial-unconscious-bias-must-be-addressed-within-early-years-education/</w:t>
        </w:r>
      </w:hyperlink>
      <w:r w:rsidDel="00000000" w:rsidR="00000000" w:rsidRPr="00000000">
        <w:rPr>
          <w:color w:val="222222"/>
          <w:highlight w:val="white"/>
          <w:rtl w:val="0"/>
        </w:rPr>
        <w:t xml:space="preserve">.</w:t>
        <w:br w:type="textWrapping"/>
      </w:r>
      <w:r w:rsidDel="00000000" w:rsidR="00000000" w:rsidRPr="00000000">
        <w:rPr>
          <w:color w:val="222222"/>
          <w:highlight w:val="white"/>
          <w:rtl w:val="0"/>
        </w:rPr>
        <w:br w:type="textWrapping"/>
        <w:t xml:space="preserve">Barnard, H. (2018) Poverty in Wales 2018 | Joseph Rowntree Foundation, www.jrf.org.uk. Available at: </w:t>
      </w:r>
      <w:hyperlink r:id="rId13">
        <w:r w:rsidDel="00000000" w:rsidR="00000000" w:rsidRPr="00000000">
          <w:rPr>
            <w:color w:val="1155cc"/>
            <w:highlight w:val="white"/>
            <w:u w:val="single"/>
            <w:rtl w:val="0"/>
          </w:rPr>
          <w:t xml:space="preserve">https://www.jrf.org.uk/poverty-in-wales-201</w:t>
        </w:r>
      </w:hyperlink>
      <w:r w:rsidDel="00000000" w:rsidR="00000000" w:rsidRPr="00000000">
        <w:rPr>
          <w:color w:val="222222"/>
          <w:highlight w:val="white"/>
          <w:rtl w:val="0"/>
        </w:rPr>
        <w:t xml:space="preserve">. </w:t>
      </w:r>
    </w:p>
    <w:p w:rsidR="00000000" w:rsidDel="00000000" w:rsidP="00000000" w:rsidRDefault="00000000" w:rsidRPr="00000000" w14:paraId="00000043">
      <w:pPr>
        <w:spacing w:after="240" w:before="240" w:line="240" w:lineRule="auto"/>
        <w:rPr>
          <w:color w:val="222222"/>
          <w:highlight w:val="white"/>
        </w:rPr>
      </w:pPr>
      <w:r w:rsidDel="00000000" w:rsidR="00000000" w:rsidRPr="00000000">
        <w:rPr>
          <w:color w:val="222222"/>
          <w:highlight w:val="white"/>
          <w:rtl w:val="0"/>
        </w:rPr>
        <w:t xml:space="preserve">Bonfert, A. and Wadhwa, D. (2024) Tracing global trends in education: A tale of old and new gender gaps, World Bank Gender Data Portal. Available at: </w:t>
      </w:r>
      <w:hyperlink r:id="rId14">
        <w:r w:rsidDel="00000000" w:rsidR="00000000" w:rsidRPr="00000000">
          <w:rPr>
            <w:color w:val="1155cc"/>
            <w:highlight w:val="white"/>
            <w:u w:val="single"/>
            <w:rtl w:val="0"/>
          </w:rPr>
          <w:t xml:space="preserve">https://genderdata.worldbank.org/en/data-stories/a-tale-of-old-and-new-gender-gaps</w:t>
        </w:r>
      </w:hyperlink>
      <w:r w:rsidDel="00000000" w:rsidR="00000000" w:rsidRPr="00000000">
        <w:rPr>
          <w:color w:val="222222"/>
          <w:highlight w:val="white"/>
          <w:rtl w:val="0"/>
        </w:rPr>
        <w:t xml:space="preserve">. </w:t>
      </w:r>
    </w:p>
    <w:p w:rsidR="00000000" w:rsidDel="00000000" w:rsidP="00000000" w:rsidRDefault="00000000" w:rsidRPr="00000000" w14:paraId="00000044">
      <w:pPr>
        <w:spacing w:after="240" w:before="240" w:line="240" w:lineRule="auto"/>
        <w:rPr>
          <w:color w:val="222222"/>
          <w:highlight w:val="white"/>
        </w:rPr>
      </w:pPr>
      <w:r w:rsidDel="00000000" w:rsidR="00000000" w:rsidRPr="00000000">
        <w:rPr>
          <w:color w:val="222222"/>
          <w:highlight w:val="white"/>
          <w:rtl w:val="0"/>
        </w:rPr>
        <w:t xml:space="preserve">Chaudry, A. and Wimer, C. (2016) ‘Poverty is Not Just an Indicator: The Relationship Between Income, Poverty, and Child Well-Being’, Academic Pediatrics, 16(3), pp. S23–S29. Available at: </w:t>
      </w:r>
      <w:hyperlink r:id="rId15">
        <w:r w:rsidDel="00000000" w:rsidR="00000000" w:rsidRPr="00000000">
          <w:rPr>
            <w:color w:val="1155cc"/>
            <w:highlight w:val="white"/>
            <w:u w:val="single"/>
            <w:rtl w:val="0"/>
          </w:rPr>
          <w:t xml:space="preserve">https://doi.org/10.1016/j.acap.2015.12.010</w:t>
        </w:r>
      </w:hyperlink>
      <w:r w:rsidDel="00000000" w:rsidR="00000000" w:rsidRPr="00000000">
        <w:rPr>
          <w:color w:val="222222"/>
          <w:highlight w:val="white"/>
          <w:rtl w:val="0"/>
        </w:rPr>
        <w:t xml:space="preserve">. </w:t>
      </w:r>
    </w:p>
    <w:p w:rsidR="00000000" w:rsidDel="00000000" w:rsidP="00000000" w:rsidRDefault="00000000" w:rsidRPr="00000000" w14:paraId="00000045">
      <w:pPr>
        <w:spacing w:after="240" w:line="240" w:lineRule="auto"/>
        <w:rPr>
          <w:color w:val="222222"/>
          <w:highlight w:val="white"/>
        </w:rPr>
      </w:pPr>
      <w:r w:rsidDel="00000000" w:rsidR="00000000" w:rsidRPr="00000000">
        <w:rPr>
          <w:color w:val="222222"/>
          <w:highlight w:val="white"/>
          <w:rtl w:val="0"/>
        </w:rPr>
        <w:t xml:space="preserve">Clark, A. (2022) </w:t>
      </w:r>
      <w:r w:rsidDel="00000000" w:rsidR="00000000" w:rsidRPr="00000000">
        <w:rPr>
          <w:i w:val="1"/>
          <w:iCs w:val="1"/>
          <w:color w:val="222222"/>
          <w:highlight w:val="white"/>
          <w:rtl w:val="0"/>
        </w:rPr>
        <w:t xml:space="preserve">Bridging the digital divide in Wales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Centre for Digital Public Services</w:t>
      </w:r>
      <w:r w:rsidDel="00000000" w:rsidR="00000000" w:rsidRPr="00000000">
        <w:rPr>
          <w:color w:val="222222"/>
          <w:highlight w:val="white"/>
          <w:rtl w:val="0"/>
        </w:rPr>
        <w:t xml:space="preserve">. Digital Landscape Review . Available at: </w:t>
      </w:r>
      <w:hyperlink r:id="rId16">
        <w:r w:rsidDel="00000000" w:rsidR="00000000" w:rsidRPr="00000000">
          <w:rPr>
            <w:color w:val="1155cc"/>
            <w:highlight w:val="white"/>
            <w:u w:val="single"/>
            <w:rtl w:val="0"/>
          </w:rPr>
          <w:t xml:space="preserve">https://digitalpublicservices.gov.wales/bridging-digital-divide-wales</w:t>
        </w:r>
      </w:hyperlink>
      <w:r w:rsidDel="00000000" w:rsidR="00000000" w:rsidRPr="00000000">
        <w:rPr>
          <w:color w:val="222222"/>
          <w:highlight w:val="white"/>
          <w:rtl w:val="0"/>
        </w:rPr>
        <w:t xml:space="preserve">. </w:t>
      </w:r>
    </w:p>
    <w:p w:rsidR="00000000" w:rsidDel="00000000" w:rsidP="00000000" w:rsidRDefault="00000000" w:rsidRPr="00000000" w14:paraId="00000046">
      <w:pPr>
        <w:spacing w:after="240" w:line="240" w:lineRule="auto"/>
        <w:rPr>
          <w:color w:val="222222"/>
          <w:highlight w:val="white"/>
        </w:rPr>
      </w:pPr>
      <w:r w:rsidDel="00000000" w:rsidR="00000000" w:rsidRPr="00000000">
        <w:rPr>
          <w:color w:val="222222"/>
          <w:highlight w:val="white"/>
          <w:rtl w:val="0"/>
        </w:rPr>
        <w:t xml:space="preserve">Dauncey, M. and Morgan, L. (2023) </w:t>
      </w:r>
      <w:r w:rsidDel="00000000" w:rsidR="00000000" w:rsidRPr="00000000">
        <w:rPr>
          <w:i w:val="1"/>
          <w:iCs w:val="1"/>
          <w:color w:val="222222"/>
          <w:highlight w:val="white"/>
          <w:rtl w:val="0"/>
        </w:rPr>
        <w:t xml:space="preserve">Reforming education: the Welsh Government’s mission to improve standards and tackle inequalities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research.senedd.wales</w:t>
      </w:r>
      <w:r w:rsidDel="00000000" w:rsidR="00000000" w:rsidRPr="00000000">
        <w:rPr>
          <w:color w:val="222222"/>
          <w:highlight w:val="white"/>
          <w:rtl w:val="0"/>
        </w:rPr>
        <w:t xml:space="preserve">. Available at: </w:t>
      </w:r>
      <w:hyperlink r:id="rId17">
        <w:r w:rsidDel="00000000" w:rsidR="00000000" w:rsidRPr="00000000">
          <w:rPr>
            <w:color w:val="1155cc"/>
            <w:highlight w:val="white"/>
            <w:u w:val="single"/>
            <w:rtl w:val="0"/>
          </w:rPr>
          <w:t xml:space="preserve">https://research.senedd.wales/research-articles/reforming-education-the-welsh-government-s-mission-to-improve-standards-and-tackle-inequalities/</w:t>
        </w:r>
      </w:hyperlink>
      <w:r w:rsidDel="00000000" w:rsidR="00000000" w:rsidRPr="00000000">
        <w:rPr>
          <w:color w:val="222222"/>
          <w:highlight w:val="white"/>
          <w:rtl w:val="0"/>
        </w:rPr>
        <w:t xml:space="preserve">. </w:t>
      </w:r>
    </w:p>
    <w:p w:rsidR="00000000" w:rsidDel="00000000" w:rsidP="00000000" w:rsidRDefault="00000000" w:rsidRPr="00000000" w14:paraId="00000047">
      <w:pPr>
        <w:spacing w:after="240" w:before="240" w:line="240" w:lineRule="auto"/>
        <w:rPr>
          <w:color w:val="222222"/>
          <w:highlight w:val="white"/>
        </w:rPr>
      </w:pPr>
      <w:r w:rsidDel="00000000" w:rsidR="00000000" w:rsidRPr="00000000">
        <w:rPr>
          <w:color w:val="222222"/>
          <w:highlight w:val="white"/>
          <w:rtl w:val="0"/>
        </w:rPr>
        <w:t xml:space="preserve">Digital Poverty Alliance (2025) Open Letter: Closing the Digital Gender Divide – Digital Poverty Alliance, Digital Poverty Alliance. Available at: </w:t>
      </w:r>
      <w:hyperlink r:id="rId18">
        <w:r w:rsidDel="00000000" w:rsidR="00000000" w:rsidRPr="00000000">
          <w:rPr>
            <w:color w:val="1155cc"/>
            <w:highlight w:val="white"/>
            <w:u w:val="single"/>
            <w:rtl w:val="0"/>
          </w:rPr>
          <w:t xml:space="preserve">https://digitalpovertyalliance.org/news-updates/closing-the-digital-gender-divide/</w:t>
        </w:r>
      </w:hyperlink>
      <w:r w:rsidDel="00000000" w:rsidR="00000000" w:rsidRPr="00000000">
        <w:rPr>
          <w:color w:val="222222"/>
          <w:highlight w:val="white"/>
          <w:rtl w:val="0"/>
        </w:rPr>
        <w:t xml:space="preserve">. </w:t>
      </w:r>
    </w:p>
    <w:p w:rsidR="00000000" w:rsidDel="00000000" w:rsidP="00000000" w:rsidRDefault="00000000" w:rsidRPr="00000000" w14:paraId="00000048">
      <w:pPr>
        <w:spacing w:after="240" w:before="240" w:line="240" w:lineRule="auto"/>
        <w:rPr>
          <w:color w:val="222222"/>
          <w:highlight w:val="white"/>
        </w:rPr>
      </w:pPr>
      <w:r w:rsidDel="00000000" w:rsidR="00000000" w:rsidRPr="00000000">
        <w:rPr>
          <w:color w:val="222222"/>
          <w:highlight w:val="white"/>
          <w:rtl w:val="0"/>
        </w:rPr>
        <w:t xml:space="preserve">EBSCO Information Services (EBSCO) (2023) Gender Disparities in World Education | EBSCO, EBSCO Information Services, Inc. | www.ebsco.com. Available at: </w:t>
      </w:r>
      <w:hyperlink r:id="rId19">
        <w:r w:rsidDel="00000000" w:rsidR="00000000" w:rsidRPr="00000000">
          <w:rPr>
            <w:color w:val="1155cc"/>
            <w:highlight w:val="white"/>
            <w:u w:val="single"/>
            <w:rtl w:val="0"/>
          </w:rPr>
          <w:t xml:space="preserve">https://www.ebsco.com/research-starters/education/gender-disparities-world-education</w:t>
        </w:r>
      </w:hyperlink>
      <w:r w:rsidDel="00000000" w:rsidR="00000000" w:rsidRPr="00000000">
        <w:rPr>
          <w:color w:val="222222"/>
          <w:highlight w:val="white"/>
          <w:rtl w:val="0"/>
        </w:rPr>
        <w:t xml:space="preserve">. </w:t>
      </w:r>
    </w:p>
    <w:p w:rsidR="00000000" w:rsidDel="00000000" w:rsidP="00000000" w:rsidRDefault="00000000" w:rsidRPr="00000000" w14:paraId="00000049">
      <w:pPr>
        <w:spacing w:after="240" w:before="240" w:line="240" w:lineRule="auto"/>
        <w:rPr>
          <w:color w:val="222222"/>
          <w:highlight w:val="white"/>
        </w:rPr>
      </w:pPr>
      <w:r w:rsidDel="00000000" w:rsidR="00000000" w:rsidRPr="00000000">
        <w:rPr>
          <w:color w:val="222222"/>
          <w:highlight w:val="white"/>
          <w:rtl w:val="0"/>
        </w:rPr>
        <w:t xml:space="preserve">Egan, D. (2012) School Effectiveness and Improvement Research, Policy and Practice. Edited by C. Chapman et al. Routledge, pp. 109–124. Available at: </w:t>
      </w:r>
      <w:hyperlink r:id="rId20">
        <w:r w:rsidDel="00000000" w:rsidR="00000000" w:rsidRPr="00000000">
          <w:rPr>
            <w:color w:val="1155cc"/>
            <w:highlight w:val="white"/>
            <w:u w:val="single"/>
            <w:rtl w:val="0"/>
          </w:rPr>
          <w:t xml:space="preserve">https://doi.org/10.4324/9780203136553</w:t>
        </w:r>
      </w:hyperlink>
      <w:r w:rsidDel="00000000" w:rsidR="00000000" w:rsidRPr="00000000">
        <w:rPr>
          <w:color w:val="222222"/>
          <w:highlight w:val="white"/>
          <w:rtl w:val="0"/>
        </w:rPr>
        <w:t xml:space="preserve">. </w:t>
      </w:r>
    </w:p>
    <w:p w:rsidR="00000000" w:rsidDel="00000000" w:rsidP="00000000" w:rsidRDefault="00000000" w:rsidRPr="00000000" w14:paraId="0000004A">
      <w:pPr>
        <w:spacing w:after="240" w:before="240" w:line="240" w:lineRule="auto"/>
        <w:rPr>
          <w:color w:val="222222"/>
          <w:highlight w:val="white"/>
        </w:rPr>
      </w:pPr>
      <w:r w:rsidDel="00000000" w:rsidR="00000000" w:rsidRPr="00000000">
        <w:rPr>
          <w:color w:val="222222"/>
          <w:highlight w:val="white"/>
          <w:rtl w:val="0"/>
        </w:rPr>
        <w:t xml:space="preserve">Egan, D. (2013) POVERTY AND LOW EDUCATIONAL ACHIEVEMENT IN WALES: STUDENT, FAMILY AND COMMUNITY INTERVENTIONS. Available at: </w:t>
      </w:r>
      <w:hyperlink r:id="rId21">
        <w:r w:rsidDel="00000000" w:rsidR="00000000" w:rsidRPr="00000000">
          <w:rPr>
            <w:color w:val="1155cc"/>
            <w:highlight w:val="white"/>
            <w:u w:val="single"/>
            <w:rtl w:val="0"/>
          </w:rPr>
          <w:t xml:space="preserve">https://business.senedd.wales/documents/s14833/CYP4-09-13%20Paper%202%20-%20Professor%20David%20Egan.pdf</w:t>
        </w:r>
      </w:hyperlink>
      <w:r w:rsidDel="00000000" w:rsidR="00000000" w:rsidRPr="00000000">
        <w:rPr>
          <w:color w:val="222222"/>
          <w:highlight w:val="white"/>
          <w:rtl w:val="0"/>
        </w:rPr>
        <w:t xml:space="preserve">. </w:t>
      </w:r>
    </w:p>
    <w:p w:rsidR="00000000" w:rsidDel="00000000" w:rsidP="00000000" w:rsidRDefault="00000000" w:rsidRPr="00000000" w14:paraId="0000004B">
      <w:pPr>
        <w:spacing w:after="240" w:before="240" w:line="240" w:lineRule="auto"/>
        <w:rPr>
          <w:color w:val="222222"/>
          <w:highlight w:val="white"/>
        </w:rPr>
      </w:pPr>
      <w:r w:rsidDel="00000000" w:rsidR="00000000" w:rsidRPr="00000000">
        <w:rPr>
          <w:color w:val="222222"/>
          <w:highlight w:val="white"/>
          <w:rtl w:val="0"/>
        </w:rPr>
        <w:t xml:space="preserve">Egan, D. (2020) ‘Poverty in Education Across the UK’, Bristol University Press. Edited by I. Thompson and G. Ivinson, pp. 87–114. Available at: </w:t>
      </w:r>
      <w:hyperlink r:id="rId22">
        <w:r w:rsidDel="00000000" w:rsidR="00000000" w:rsidRPr="00000000">
          <w:rPr>
            <w:color w:val="1155cc"/>
            <w:highlight w:val="white"/>
            <w:u w:val="single"/>
            <w:rtl w:val="0"/>
          </w:rPr>
          <w:t xml:space="preserve">https://doi.org/10.2307/j.ctv15wxnbp</w:t>
        </w:r>
      </w:hyperlink>
      <w:r w:rsidDel="00000000" w:rsidR="00000000" w:rsidRPr="00000000">
        <w:rPr>
          <w:color w:val="222222"/>
          <w:highlight w:val="white"/>
          <w:rtl w:val="0"/>
        </w:rPr>
        <w:t xml:space="preserve">. </w:t>
      </w:r>
    </w:p>
    <w:p w:rsidR="00000000" w:rsidDel="00000000" w:rsidP="00000000" w:rsidRDefault="00000000" w:rsidRPr="00000000" w14:paraId="0000004C">
      <w:pPr>
        <w:spacing w:after="240" w:before="240" w:line="240" w:lineRule="auto"/>
        <w:rPr>
          <w:color w:val="222222"/>
          <w:highlight w:val="white"/>
        </w:rPr>
      </w:pPr>
      <w:r w:rsidDel="00000000" w:rsidR="00000000" w:rsidRPr="00000000">
        <w:rPr>
          <w:color w:val="222222"/>
          <w:highlight w:val="white"/>
          <w:rtl w:val="0"/>
        </w:rPr>
        <w:t xml:space="preserve">European Institute for Gender Equality (2023) gender inequality, European Institute for Gender Inequality. Available at: </w:t>
      </w:r>
      <w:hyperlink r:id="rId23">
        <w:r w:rsidDel="00000000" w:rsidR="00000000" w:rsidRPr="00000000">
          <w:rPr>
            <w:color w:val="1155cc"/>
            <w:highlight w:val="white"/>
            <w:u w:val="single"/>
            <w:rtl w:val="0"/>
          </w:rPr>
          <w:t xml:space="preserve">https://eige.europa.eu/publications-resources/thesaurus/terms/1329?language_content_entity=en</w:t>
        </w:r>
      </w:hyperlink>
      <w:r w:rsidDel="00000000" w:rsidR="00000000" w:rsidRPr="00000000">
        <w:rPr>
          <w:color w:val="222222"/>
          <w:highlight w:val="white"/>
          <w:rtl w:val="0"/>
        </w:rPr>
        <w:t xml:space="preserve">. </w:t>
      </w:r>
    </w:p>
    <w:p w:rsidR="00000000" w:rsidDel="00000000" w:rsidP="00000000" w:rsidRDefault="00000000" w:rsidRPr="00000000" w14:paraId="0000004D">
      <w:pPr>
        <w:spacing w:after="240" w:before="240" w:line="240" w:lineRule="auto"/>
        <w:rPr>
          <w:color w:val="222222"/>
          <w:highlight w:val="white"/>
        </w:rPr>
      </w:pPr>
      <w:r w:rsidDel="00000000" w:rsidR="00000000" w:rsidRPr="00000000">
        <w:rPr>
          <w:color w:val="222222"/>
          <w:highlight w:val="white"/>
          <w:rtl w:val="0"/>
        </w:rPr>
        <w:t xml:space="preserve">Gender equality | Global Partnership for Education (2023) Global Partnership for Education. Available at: </w:t>
      </w:r>
      <w:hyperlink r:id="rId24">
        <w:r w:rsidDel="00000000" w:rsidR="00000000" w:rsidRPr="00000000">
          <w:rPr>
            <w:color w:val="1155cc"/>
            <w:highlight w:val="white"/>
            <w:u w:val="single"/>
            <w:rtl w:val="0"/>
          </w:rPr>
          <w:t xml:space="preserve">https://www.globalpartnership.org/what-we-do/gender-equality?fbclid=IwAR0PfioFLdrBkLVnMIC6YVwzEc6XqDxTrJf7VnVdjO0XEQl6Jj2s0en7Fs</w:t>
        </w:r>
      </w:hyperlink>
      <w:r w:rsidDel="00000000" w:rsidR="00000000" w:rsidRPr="00000000">
        <w:rPr>
          <w:color w:val="222222"/>
          <w:highlight w:val="white"/>
          <w:rtl w:val="0"/>
        </w:rPr>
        <w:t xml:space="preserve">. </w:t>
      </w:r>
    </w:p>
    <w:p w:rsidR="00000000" w:rsidDel="00000000" w:rsidP="00000000" w:rsidRDefault="00000000" w:rsidRPr="00000000" w14:paraId="0000004E">
      <w:pPr>
        <w:spacing w:after="240" w:before="240" w:line="240" w:lineRule="auto"/>
        <w:rPr>
          <w:color w:val="222222"/>
          <w:highlight w:val="white"/>
        </w:rPr>
      </w:pPr>
      <w:r w:rsidDel="00000000" w:rsidR="00000000" w:rsidRPr="00000000">
        <w:rPr>
          <w:color w:val="222222"/>
          <w:highlight w:val="white"/>
          <w:rtl w:val="0"/>
        </w:rPr>
        <w:t xml:space="preserve">Huddleston, R. (2026) Gender inequality in education, Save the Children UK. Available at: </w:t>
      </w:r>
      <w:hyperlink r:id="rId25">
        <w:r w:rsidDel="00000000" w:rsidR="00000000" w:rsidRPr="00000000">
          <w:rPr>
            <w:color w:val="1155cc"/>
            <w:highlight w:val="white"/>
            <w:u w:val="single"/>
            <w:rtl w:val="0"/>
          </w:rPr>
          <w:t xml:space="preserve">https://www.savethechildren.org.uk/blogs/gender-inequality-in-education</w:t>
        </w:r>
      </w:hyperlink>
      <w:r w:rsidDel="00000000" w:rsidR="00000000" w:rsidRPr="00000000">
        <w:rPr>
          <w:color w:val="222222"/>
          <w:highlight w:val="white"/>
          <w:rtl w:val="0"/>
        </w:rPr>
        <w:t xml:space="preserve">. </w:t>
      </w:r>
    </w:p>
    <w:p w:rsidR="00000000" w:rsidDel="00000000" w:rsidP="00000000" w:rsidRDefault="00000000" w:rsidRPr="00000000" w14:paraId="0000004F">
      <w:pPr>
        <w:spacing w:after="240" w:before="240" w:line="240" w:lineRule="auto"/>
        <w:rPr>
          <w:color w:val="222222"/>
          <w:highlight w:val="white"/>
        </w:rPr>
      </w:pPr>
      <w:r w:rsidDel="00000000" w:rsidR="00000000" w:rsidRPr="00000000">
        <w:rPr>
          <w:color w:val="222222"/>
          <w:highlight w:val="white"/>
          <w:rtl w:val="0"/>
        </w:rPr>
        <w:t xml:space="preserve">Hughes, S. and Davies, G. (2019) ‘Childhood Poverty in Wales and Its Implications for Schools - A Survey of Trainee Teachers’ Perceptions’, Teacher Education Advancement Network Journal, 11(1), pp. 25–36. Available at: </w:t>
      </w:r>
      <w:hyperlink r:id="rId26">
        <w:r w:rsidDel="00000000" w:rsidR="00000000" w:rsidRPr="00000000">
          <w:rPr>
            <w:color w:val="1155cc"/>
            <w:highlight w:val="white"/>
            <w:u w:val="single"/>
            <w:rtl w:val="0"/>
          </w:rPr>
          <w:t xml:space="preserve">https://eric.ed.gov/?id=EJ1268230</w:t>
        </w:r>
      </w:hyperlink>
      <w:r w:rsidDel="00000000" w:rsidR="00000000" w:rsidRPr="00000000">
        <w:rPr>
          <w:color w:val="222222"/>
          <w:highlight w:val="white"/>
          <w:rtl w:val="0"/>
        </w:rPr>
        <w:t xml:space="preserve">. </w:t>
      </w:r>
    </w:p>
    <w:p w:rsidR="00000000" w:rsidDel="00000000" w:rsidP="00000000" w:rsidRDefault="00000000" w:rsidRPr="00000000" w14:paraId="00000050">
      <w:pPr>
        <w:spacing w:after="240" w:before="240" w:line="240" w:lineRule="auto"/>
        <w:rPr>
          <w:color w:val="222222"/>
          <w:highlight w:val="white"/>
        </w:rPr>
      </w:pPr>
      <w:r w:rsidDel="00000000" w:rsidR="00000000" w:rsidRPr="00000000">
        <w:rPr>
          <w:color w:val="222222"/>
          <w:highlight w:val="white"/>
          <w:rtl w:val="0"/>
        </w:rPr>
        <w:t xml:space="preserve">Improving the impact of teachers on pupil achievement in the UK – interim findings (2011) Sutton Trust. Available at: </w:t>
      </w:r>
      <w:hyperlink r:id="rId27">
        <w:r w:rsidDel="00000000" w:rsidR="00000000" w:rsidRPr="00000000">
          <w:rPr>
            <w:color w:val="1155cc"/>
            <w:highlight w:val="white"/>
            <w:u w:val="single"/>
            <w:rtl w:val="0"/>
          </w:rPr>
          <w:t xml:space="preserve">https://www.suttontrust.com/our-research/improving-impact-teachers-pupil-achievement-uk-interim-findings/</w:t>
        </w:r>
      </w:hyperlink>
      <w:r w:rsidDel="00000000" w:rsidR="00000000" w:rsidRPr="00000000">
        <w:rPr>
          <w:color w:val="222222"/>
          <w:highlight w:val="white"/>
          <w:rtl w:val="0"/>
        </w:rPr>
        <w:t xml:space="preserve">. </w:t>
      </w:r>
    </w:p>
    <w:p w:rsidR="00000000" w:rsidDel="00000000" w:rsidP="00000000" w:rsidRDefault="00000000" w:rsidRPr="00000000" w14:paraId="00000051">
      <w:pPr>
        <w:spacing w:after="240" w:before="240" w:line="240" w:lineRule="auto"/>
        <w:rPr>
          <w:color w:val="222222"/>
        </w:rPr>
      </w:pPr>
      <w:r w:rsidDel="00000000" w:rsidR="00000000" w:rsidRPr="00000000">
        <w:rPr>
          <w:color w:val="222222"/>
          <w:rtl w:val="0"/>
        </w:rPr>
        <w:t xml:space="preserve">Llorens, A., Tzovara, A., Bellier, L., Bhaya-Grossman, I., Bidet-Caulet, A., Chang, W.K., Cross, Z.R., Dominguez-Faus, R., Flinker, A., Fonken, Y., Gorenstein, M.A., Holdgraf, C., Hoy, C.W., Ivanova, M.V., Jimenez, R.T., Jun, S., Kam, J.W.Y., Kidd, C., Marcelle, E. and Marciano, D. (2021) ‘Gender bias in academia: A lifetime problem that needs solutions’, Neuron, 109(13), pp. 2047–2074. Available at: </w:t>
      </w:r>
      <w:hyperlink r:id="rId28">
        <w:r w:rsidDel="00000000" w:rsidR="00000000" w:rsidRPr="00000000">
          <w:rPr>
            <w:color w:val="1155cc"/>
            <w:u w:val="single"/>
            <w:rtl w:val="0"/>
          </w:rPr>
          <w:t xml:space="preserve">https://doi.org/10.1016/j.neuron.2021.06.002</w:t>
        </w:r>
      </w:hyperlink>
      <w:r w:rsidDel="00000000" w:rsidR="00000000" w:rsidRPr="00000000">
        <w:rPr>
          <w:color w:val="222222"/>
          <w:rtl w:val="0"/>
        </w:rPr>
        <w:t xml:space="preserve">. </w:t>
      </w:r>
    </w:p>
    <w:p w:rsidR="00000000" w:rsidDel="00000000" w:rsidP="00000000" w:rsidRDefault="00000000" w:rsidRPr="00000000" w14:paraId="00000052">
      <w:pPr>
        <w:spacing w:after="240" w:before="240" w:line="240" w:lineRule="auto"/>
        <w:rPr>
          <w:color w:val="222222"/>
          <w:highlight w:val="white"/>
        </w:rPr>
      </w:pPr>
      <w:r w:rsidDel="00000000" w:rsidR="00000000" w:rsidRPr="00000000">
        <w:rPr>
          <w:color w:val="222222"/>
          <w:highlight w:val="white"/>
          <w:rtl w:val="0"/>
        </w:rPr>
        <w:t xml:space="preserve">Mordehai, L. (2024) Tech in Schools: Harmful or Helpful? - YR Media, YR Media. Available at: </w:t>
      </w:r>
      <w:hyperlink r:id="rId29">
        <w:r w:rsidDel="00000000" w:rsidR="00000000" w:rsidRPr="00000000">
          <w:rPr>
            <w:color w:val="1155cc"/>
            <w:highlight w:val="white"/>
            <w:u w:val="single"/>
            <w:rtl w:val="0"/>
          </w:rPr>
          <w:t xml:space="preserve">https://yr.media/tech/tech-in-schools-harmful-helpful-ipads-chromebooks-screen-time-leah-mordehai</w:t>
        </w:r>
      </w:hyperlink>
      <w:r w:rsidDel="00000000" w:rsidR="00000000" w:rsidRPr="00000000">
        <w:rPr>
          <w:color w:val="222222"/>
          <w:highlight w:val="white"/>
          <w:rtl w:val="0"/>
        </w:rPr>
        <w:t xml:space="preserve">. </w:t>
      </w:r>
    </w:p>
    <w:p w:rsidR="00000000" w:rsidDel="00000000" w:rsidP="00000000" w:rsidRDefault="00000000" w:rsidRPr="00000000" w14:paraId="00000053">
      <w:pPr>
        <w:spacing w:after="240" w:before="240" w:line="240" w:lineRule="auto"/>
        <w:rPr>
          <w:color w:val="222222"/>
          <w:highlight w:val="white"/>
        </w:rPr>
      </w:pPr>
      <w:r w:rsidDel="00000000" w:rsidR="00000000" w:rsidRPr="00000000">
        <w:rPr>
          <w:color w:val="222222"/>
          <w:highlight w:val="white"/>
          <w:rtl w:val="0"/>
        </w:rPr>
        <w:t xml:space="preserve">National Education Union (2024) State of education: child poverty | National Education Union, National Education Union. Available at: </w:t>
      </w:r>
      <w:hyperlink r:id="rId30">
        <w:r w:rsidDel="00000000" w:rsidR="00000000" w:rsidRPr="00000000">
          <w:rPr>
            <w:color w:val="1155cc"/>
            <w:highlight w:val="white"/>
            <w:u w:val="single"/>
            <w:rtl w:val="0"/>
          </w:rPr>
          <w:t xml:space="preserve">https://neu.org.uk/latest/press-releases/state-education-child-poverty</w:t>
        </w:r>
      </w:hyperlink>
      <w:r w:rsidDel="00000000" w:rsidR="00000000" w:rsidRPr="00000000">
        <w:rPr>
          <w:color w:val="222222"/>
          <w:highlight w:val="white"/>
          <w:rtl w:val="0"/>
        </w:rPr>
        <w:t xml:space="preserve">. </w:t>
      </w:r>
    </w:p>
    <w:p w:rsidR="00000000" w:rsidDel="00000000" w:rsidP="00000000" w:rsidRDefault="00000000" w:rsidRPr="00000000" w14:paraId="00000054">
      <w:pPr>
        <w:spacing w:after="240" w:before="240" w:line="240" w:lineRule="auto"/>
        <w:rPr>
          <w:color w:val="222222"/>
          <w:highlight w:val="white"/>
        </w:rPr>
      </w:pPr>
      <w:r w:rsidDel="00000000" w:rsidR="00000000" w:rsidRPr="00000000">
        <w:rPr>
          <w:color w:val="222222"/>
          <w:highlight w:val="white"/>
          <w:rtl w:val="0"/>
        </w:rPr>
        <w:t xml:space="preserve">Nowak, J.K. (2021) ‘Gender Inequality in Education’, Human, Technologies and Quality of Education, 2021, 79. Available at: </w:t>
      </w:r>
      <w:hyperlink r:id="rId31">
        <w:r w:rsidDel="00000000" w:rsidR="00000000" w:rsidRPr="00000000">
          <w:rPr>
            <w:color w:val="1155cc"/>
            <w:highlight w:val="white"/>
            <w:u w:val="single"/>
            <w:rtl w:val="0"/>
          </w:rPr>
          <w:t xml:space="preserve">https://doi.org/10.22364/htqe.2021.31</w:t>
        </w:r>
      </w:hyperlink>
      <w:r w:rsidDel="00000000" w:rsidR="00000000" w:rsidRPr="00000000">
        <w:rPr>
          <w:color w:val="222222"/>
          <w:highlight w:val="white"/>
          <w:rtl w:val="0"/>
        </w:rPr>
        <w:t xml:space="preserve">. </w:t>
      </w:r>
    </w:p>
    <w:p w:rsidR="00000000" w:rsidDel="00000000" w:rsidP="00000000" w:rsidRDefault="00000000" w:rsidRPr="00000000" w14:paraId="00000055">
      <w:pPr>
        <w:spacing w:after="240" w:before="240" w:line="240" w:lineRule="auto"/>
        <w:rPr>
          <w:color w:val="222222"/>
          <w:highlight w:val="white"/>
        </w:rPr>
      </w:pPr>
      <w:r w:rsidDel="00000000" w:rsidR="00000000" w:rsidRPr="00000000">
        <w:rPr>
          <w:color w:val="222222"/>
          <w:highlight w:val="white"/>
          <w:rtl w:val="0"/>
        </w:rPr>
        <w:t xml:space="preserve">OCED (2023) OECD CITY NETWORK ON JOBS AND SKILLS ©OECD 2023 LEED | Good jobs, great places OECD CITY NETWORK ON JOBS AND SKILLS BRIEFING NOTE DIGITAL SKILLS AND DIGITAL INCLUSION. Available at: </w:t>
      </w:r>
      <w:hyperlink r:id="rId32">
        <w:r w:rsidDel="00000000" w:rsidR="00000000" w:rsidRPr="00000000">
          <w:rPr>
            <w:color w:val="1155cc"/>
            <w:highlight w:val="white"/>
            <w:u w:val="single"/>
            <w:rtl w:val="0"/>
          </w:rPr>
          <w:t xml:space="preserve">https://www.oecd.org/content/dam/oecd/en/about/projects/cfe/oecd-city-network-on-jobs-and-skills/Briefing-note-Digital-skills-and-digital-inclusion.pdf</w:t>
        </w:r>
      </w:hyperlink>
      <w:r w:rsidDel="00000000" w:rsidR="00000000" w:rsidRPr="00000000">
        <w:rPr>
          <w:color w:val="222222"/>
          <w:highlight w:val="white"/>
          <w:rtl w:val="0"/>
        </w:rPr>
        <w:t xml:space="preserve">. </w:t>
      </w:r>
    </w:p>
    <w:p w:rsidR="00000000" w:rsidDel="00000000" w:rsidP="00000000" w:rsidRDefault="00000000" w:rsidRPr="00000000" w14:paraId="00000056">
      <w:pPr>
        <w:spacing w:after="240" w:before="240" w:line="240" w:lineRule="auto"/>
        <w:rPr>
          <w:color w:val="222222"/>
          <w:highlight w:val="white"/>
        </w:rPr>
      </w:pPr>
      <w:r w:rsidDel="00000000" w:rsidR="00000000" w:rsidRPr="00000000">
        <w:rPr>
          <w:color w:val="222222"/>
          <w:highlight w:val="white"/>
          <w:rtl w:val="0"/>
        </w:rPr>
        <w:t xml:space="preserve">OECD (2024) Education at a Glance 2024, OECD. Available at: </w:t>
      </w:r>
      <w:hyperlink r:id="rId33">
        <w:r w:rsidDel="00000000" w:rsidR="00000000" w:rsidRPr="00000000">
          <w:rPr>
            <w:color w:val="1155cc"/>
            <w:highlight w:val="white"/>
            <w:u w:val="single"/>
            <w:rtl w:val="0"/>
          </w:rPr>
          <w:t xml:space="preserve">https://www.oecd.org/en/publications/education-at-a-glance-2024_c00cad36-en.html</w:t>
        </w:r>
      </w:hyperlink>
      <w:r w:rsidDel="00000000" w:rsidR="00000000" w:rsidRPr="00000000">
        <w:rPr>
          <w:color w:val="222222"/>
          <w:highlight w:val="white"/>
          <w:rtl w:val="0"/>
        </w:rPr>
        <w:t xml:space="preserve">.</w:t>
      </w:r>
    </w:p>
    <w:p w:rsidR="00000000" w:rsidDel="00000000" w:rsidP="00000000" w:rsidRDefault="00000000" w:rsidRPr="00000000" w14:paraId="00000057">
      <w:pPr>
        <w:spacing w:after="240" w:before="240" w:line="240" w:lineRule="auto"/>
        <w:rPr>
          <w:color w:val="222222"/>
          <w:highlight w:val="white"/>
        </w:rPr>
      </w:pPr>
      <w:r w:rsidDel="00000000" w:rsidR="00000000" w:rsidRPr="00000000">
        <w:rPr>
          <w:color w:val="222222"/>
          <w:highlight w:val="white"/>
          <w:rtl w:val="0"/>
        </w:rPr>
        <w:t xml:space="preserve">OECD (2025) How’s Life for Children in the Digital Age?: Full Report, OECD. Available at: </w:t>
      </w:r>
      <w:hyperlink r:id="rId34">
        <w:r w:rsidDel="00000000" w:rsidR="00000000" w:rsidRPr="00000000">
          <w:rPr>
            <w:color w:val="1155cc"/>
            <w:highlight w:val="white"/>
            <w:u w:val="single"/>
            <w:rtl w:val="0"/>
          </w:rPr>
          <w:t xml:space="preserve">https://www.oecd.org/en/publications/how-s-life-for-children-in-the-digital-age_0854b900-en/full-report.html</w:t>
        </w:r>
      </w:hyperlink>
      <w:r w:rsidDel="00000000" w:rsidR="00000000" w:rsidRPr="00000000">
        <w:rPr>
          <w:color w:val="222222"/>
          <w:highlight w:val="white"/>
          <w:rtl w:val="0"/>
        </w:rPr>
        <w:t xml:space="preserve">. </w:t>
      </w:r>
    </w:p>
    <w:p w:rsidR="00000000" w:rsidDel="00000000" w:rsidP="00000000" w:rsidRDefault="00000000" w:rsidRPr="00000000" w14:paraId="00000058">
      <w:pPr>
        <w:spacing w:after="240" w:before="240" w:line="240" w:lineRule="auto"/>
        <w:rPr>
          <w:color w:val="222222"/>
          <w:highlight w:val="white"/>
        </w:rPr>
      </w:pPr>
      <w:r w:rsidDel="00000000" w:rsidR="00000000" w:rsidRPr="00000000">
        <w:rPr>
          <w:color w:val="222222"/>
          <w:highlight w:val="white"/>
          <w:rtl w:val="0"/>
        </w:rPr>
        <w:t xml:space="preserve">Prasad, C. and Gupta, P. (2020) ‘Educational impact on the society’, International Journal of Novel Research in Education and Learning, 7(1-7). Available at: </w:t>
      </w:r>
      <w:hyperlink r:id="rId35">
        <w:r w:rsidDel="00000000" w:rsidR="00000000" w:rsidRPr="00000000">
          <w:rPr>
            <w:color w:val="1155cc"/>
            <w:highlight w:val="white"/>
            <w:u w:val="single"/>
            <w:rtl w:val="0"/>
          </w:rPr>
          <w:t xml:space="preserve">https://www.noveltyjournals.com/upload/paper/paperpdf-1604924792.pdf</w:t>
        </w:r>
      </w:hyperlink>
      <w:r w:rsidDel="00000000" w:rsidR="00000000" w:rsidRPr="00000000">
        <w:rPr>
          <w:color w:val="222222"/>
          <w:highlight w:val="white"/>
          <w:rtl w:val="0"/>
        </w:rPr>
        <w:t xml:space="preserve">. </w:t>
      </w:r>
    </w:p>
    <w:p w:rsidR="00000000" w:rsidDel="00000000" w:rsidP="00000000" w:rsidRDefault="00000000" w:rsidRPr="00000000" w14:paraId="00000059">
      <w:pPr>
        <w:spacing w:after="240" w:before="240" w:line="240" w:lineRule="auto"/>
        <w:rPr>
          <w:color w:val="222222"/>
          <w:highlight w:val="white"/>
        </w:rPr>
      </w:pPr>
      <w:r w:rsidDel="00000000" w:rsidR="00000000" w:rsidRPr="00000000">
        <w:rPr>
          <w:color w:val="222222"/>
          <w:highlight w:val="white"/>
          <w:rtl w:val="0"/>
        </w:rPr>
        <w:t xml:space="preserve">Rholetter Purdy, E. (2021) Educational Inequality and Social Development | EBSCO, EBSCO Information Services, Inc. | www.ebsco.com. Available at: </w:t>
      </w:r>
      <w:hyperlink r:id="rId36">
        <w:r w:rsidDel="00000000" w:rsidR="00000000" w:rsidRPr="00000000">
          <w:rPr>
            <w:color w:val="1155cc"/>
            <w:highlight w:val="white"/>
            <w:u w:val="single"/>
            <w:rtl w:val="0"/>
          </w:rPr>
          <w:t xml:space="preserve">https://www.ebsco.com/research-starters/education/educational-inequality-and-social-development</w:t>
        </w:r>
      </w:hyperlink>
      <w:r w:rsidDel="00000000" w:rsidR="00000000" w:rsidRPr="00000000">
        <w:rPr>
          <w:color w:val="222222"/>
          <w:highlight w:val="white"/>
          <w:rtl w:val="0"/>
        </w:rPr>
        <w:t xml:space="preserve">. </w:t>
      </w:r>
    </w:p>
    <w:p w:rsidR="00000000" w:rsidDel="00000000" w:rsidP="00000000" w:rsidRDefault="00000000" w:rsidRPr="00000000" w14:paraId="0000005A">
      <w:pPr>
        <w:spacing w:after="240" w:before="240" w:line="240" w:lineRule="auto"/>
        <w:rPr>
          <w:color w:val="222222"/>
          <w:highlight w:val="white"/>
        </w:rPr>
      </w:pPr>
      <w:r w:rsidDel="00000000" w:rsidR="00000000" w:rsidRPr="00000000">
        <w:rPr>
          <w:color w:val="222222"/>
          <w:highlight w:val="white"/>
          <w:rtl w:val="0"/>
        </w:rPr>
        <w:t xml:space="preserve">Turyamureeba, S. (2024) Addressing the Digital Divide in Education: Strategies and Solutions, ResearchGate. unknown. Available at: </w:t>
      </w:r>
      <w:hyperlink r:id="rId37">
        <w:r w:rsidDel="00000000" w:rsidR="00000000" w:rsidRPr="00000000">
          <w:rPr>
            <w:color w:val="1155cc"/>
            <w:highlight w:val="white"/>
            <w:u w:val="single"/>
            <w:rtl w:val="0"/>
          </w:rPr>
          <w:t xml:space="preserve">https://www.researchgate.net/publication/383543919_Addressing_the_Digital_Divide_in_Education_Strategies_and_Solutions</w:t>
        </w:r>
      </w:hyperlink>
      <w:r w:rsidDel="00000000" w:rsidR="00000000" w:rsidRPr="00000000">
        <w:rPr>
          <w:color w:val="222222"/>
          <w:highlight w:val="white"/>
          <w:rtl w:val="0"/>
        </w:rPr>
        <w:t xml:space="preserve">. </w:t>
      </w:r>
    </w:p>
    <w:p w:rsidR="00000000" w:rsidDel="00000000" w:rsidP="00000000" w:rsidRDefault="00000000" w:rsidRPr="00000000" w14:paraId="0000005B">
      <w:pPr>
        <w:spacing w:after="240" w:before="240" w:line="240" w:lineRule="auto"/>
        <w:rPr>
          <w:color w:val="222222"/>
          <w:highlight w:val="white"/>
        </w:rPr>
      </w:pPr>
      <w:r w:rsidDel="00000000" w:rsidR="00000000" w:rsidRPr="00000000">
        <w:rPr>
          <w:color w:val="222222"/>
          <w:highlight w:val="white"/>
          <w:rtl w:val="0"/>
        </w:rPr>
        <w:t xml:space="preserve">UNESCO (2023) 250 Million Children out-of-school: What You Need to Know about UNESCO’s Latest Education Data, Unesco.org. Available at: </w:t>
      </w:r>
      <w:hyperlink r:id="rId38">
        <w:r w:rsidDel="00000000" w:rsidR="00000000" w:rsidRPr="00000000">
          <w:rPr>
            <w:color w:val="1155cc"/>
            <w:highlight w:val="white"/>
            <w:u w:val="single"/>
            <w:rtl w:val="0"/>
          </w:rPr>
          <w:t xml:space="preserve">https://www.unesco.org/en/articles/250-million-children-out-school-what-you-need-know-about-unescos-latest-education-data</w:t>
        </w:r>
      </w:hyperlink>
      <w:r w:rsidDel="00000000" w:rsidR="00000000" w:rsidRPr="00000000">
        <w:rPr>
          <w:color w:val="222222"/>
          <w:highlight w:val="white"/>
          <w:rtl w:val="0"/>
        </w:rPr>
        <w:t xml:space="preserve">. </w:t>
      </w:r>
    </w:p>
    <w:p w:rsidR="00000000" w:rsidDel="00000000" w:rsidP="00000000" w:rsidRDefault="00000000" w:rsidRPr="00000000" w14:paraId="0000005C">
      <w:pPr>
        <w:spacing w:after="240" w:before="240" w:line="240" w:lineRule="auto"/>
        <w:rPr>
          <w:color w:val="222222"/>
          <w:highlight w:val="white"/>
        </w:rPr>
      </w:pPr>
      <w:r w:rsidDel="00000000" w:rsidR="00000000" w:rsidRPr="00000000">
        <w:rPr>
          <w:color w:val="222222"/>
          <w:highlight w:val="white"/>
          <w:rtl w:val="0"/>
        </w:rPr>
        <w:t xml:space="preserve">UNICEF (2023a) Bridging the Gender Digital Divide, UNICEF DATA. Available at: </w:t>
      </w:r>
      <w:hyperlink r:id="rId39">
        <w:r w:rsidDel="00000000" w:rsidR="00000000" w:rsidRPr="00000000">
          <w:rPr>
            <w:color w:val="1155cc"/>
            <w:highlight w:val="white"/>
            <w:u w:val="single"/>
            <w:rtl w:val="0"/>
          </w:rPr>
          <w:t xml:space="preserve">https://data.unicef.org/resources/ictgenderdivide/</w:t>
        </w:r>
      </w:hyperlink>
      <w:r w:rsidDel="00000000" w:rsidR="00000000" w:rsidRPr="00000000">
        <w:rPr>
          <w:color w:val="222222"/>
          <w:highlight w:val="white"/>
          <w:rtl w:val="0"/>
        </w:rPr>
        <w:t xml:space="preserve">. </w:t>
      </w:r>
    </w:p>
    <w:p w:rsidR="00000000" w:rsidDel="00000000" w:rsidP="00000000" w:rsidRDefault="00000000" w:rsidRPr="00000000" w14:paraId="0000005D">
      <w:pPr>
        <w:spacing w:after="240" w:before="240" w:line="240" w:lineRule="auto"/>
        <w:rPr>
          <w:color w:val="222222"/>
          <w:highlight w:val="white"/>
        </w:rPr>
      </w:pPr>
      <w:r w:rsidDel="00000000" w:rsidR="00000000" w:rsidRPr="00000000">
        <w:rPr>
          <w:color w:val="222222"/>
          <w:highlight w:val="white"/>
          <w:rtl w:val="0"/>
        </w:rPr>
        <w:t xml:space="preserve">UNICEF (2023b) Girls’ education, UNICEF. Available at: </w:t>
      </w:r>
      <w:hyperlink r:id="rId40">
        <w:r w:rsidDel="00000000" w:rsidR="00000000" w:rsidRPr="00000000">
          <w:rPr>
            <w:color w:val="1155cc"/>
            <w:highlight w:val="white"/>
            <w:u w:val="single"/>
            <w:rtl w:val="0"/>
          </w:rPr>
          <w:t xml:space="preserve">https://www.unicef.org/education/girls-education</w:t>
        </w:r>
      </w:hyperlink>
      <w:r w:rsidDel="00000000" w:rsidR="00000000" w:rsidRPr="00000000">
        <w:rPr>
          <w:color w:val="222222"/>
          <w:highlight w:val="white"/>
          <w:rtl w:val="0"/>
        </w:rPr>
        <w:t xml:space="preserve">. </w:t>
      </w:r>
    </w:p>
    <w:p w:rsidR="00000000" w:rsidDel="00000000" w:rsidP="00000000" w:rsidRDefault="00000000" w:rsidRPr="00000000" w14:paraId="0000005E">
      <w:pPr>
        <w:spacing w:after="240" w:before="240" w:line="240" w:lineRule="auto"/>
        <w:rPr>
          <w:color w:val="222222"/>
          <w:highlight w:val="white"/>
        </w:rPr>
      </w:pPr>
      <w:r w:rsidDel="00000000" w:rsidR="00000000" w:rsidRPr="00000000">
        <w:rPr>
          <w:color w:val="222222"/>
          <w:highlight w:val="white"/>
          <w:rtl w:val="0"/>
        </w:rPr>
        <w:t xml:space="preserve">United Nations (2024) Goal 4 Department of Economic and Social Affairs. Available at: </w:t>
      </w:r>
      <w:hyperlink r:id="rId41">
        <w:r w:rsidDel="00000000" w:rsidR="00000000" w:rsidRPr="00000000">
          <w:rPr>
            <w:color w:val="1155cc"/>
            <w:highlight w:val="white"/>
            <w:u w:val="single"/>
            <w:rtl w:val="0"/>
          </w:rPr>
          <w:t xml:space="preserve">https://sdgs.un.org/goals/goal4#progress_and_info</w:t>
        </w:r>
      </w:hyperlink>
      <w:r w:rsidDel="00000000" w:rsidR="00000000" w:rsidRPr="00000000">
        <w:rPr>
          <w:color w:val="222222"/>
          <w:highlight w:val="white"/>
          <w:rtl w:val="0"/>
        </w:rPr>
        <w:t xml:space="preserve">. </w:t>
      </w:r>
    </w:p>
    <w:p w:rsidR="00000000" w:rsidDel="00000000" w:rsidP="00000000" w:rsidRDefault="00000000" w:rsidRPr="00000000" w14:paraId="0000005F">
      <w:pPr>
        <w:spacing w:after="240" w:before="240" w:line="240" w:lineRule="auto"/>
        <w:rPr>
          <w:color w:val="222222"/>
          <w:highlight w:val="white"/>
        </w:rPr>
      </w:pPr>
      <w:r w:rsidDel="00000000" w:rsidR="00000000" w:rsidRPr="00000000">
        <w:rPr>
          <w:color w:val="222222"/>
          <w:highlight w:val="white"/>
          <w:rtl w:val="0"/>
        </w:rPr>
        <w:t xml:space="preserve">United Nations (2025a) — SDG Indicators, Un.org. Available at: </w:t>
      </w:r>
      <w:hyperlink r:id="rId42">
        <w:r w:rsidDel="00000000" w:rsidR="00000000" w:rsidRPr="00000000">
          <w:rPr>
            <w:color w:val="1155cc"/>
            <w:highlight w:val="white"/>
            <w:u w:val="single"/>
            <w:rtl w:val="0"/>
          </w:rPr>
          <w:t xml:space="preserve">https://unstats.un.org/sdgs/report/2025/Goal-01/</w:t>
        </w:r>
      </w:hyperlink>
      <w:r w:rsidDel="00000000" w:rsidR="00000000" w:rsidRPr="00000000">
        <w:rPr>
          <w:color w:val="222222"/>
          <w:highlight w:val="white"/>
          <w:rtl w:val="0"/>
        </w:rPr>
        <w:t xml:space="preserve">. </w:t>
      </w:r>
    </w:p>
    <w:p w:rsidR="00000000" w:rsidDel="00000000" w:rsidP="00000000" w:rsidRDefault="00000000" w:rsidRPr="00000000" w14:paraId="00000060">
      <w:pPr>
        <w:spacing w:after="240" w:before="240" w:line="240" w:lineRule="auto"/>
        <w:rPr>
          <w:color w:val="222222"/>
          <w:highlight w:val="white"/>
        </w:rPr>
      </w:pPr>
      <w:r w:rsidDel="00000000" w:rsidR="00000000" w:rsidRPr="00000000">
        <w:rPr>
          <w:color w:val="222222"/>
          <w:highlight w:val="white"/>
          <w:rtl w:val="0"/>
        </w:rPr>
        <w:t xml:space="preserve">United Nations (2025b) Goal 5 Achieve Gender Equality and Empower All Women and Girls. Available at: </w:t>
      </w:r>
      <w:hyperlink r:id="rId43">
        <w:r w:rsidDel="00000000" w:rsidR="00000000" w:rsidRPr="00000000">
          <w:rPr>
            <w:color w:val="1155cc"/>
            <w:highlight w:val="white"/>
            <w:u w:val="single"/>
            <w:rtl w:val="0"/>
          </w:rPr>
          <w:t xml:space="preserve">https://sdgs.un.org/goals/goal5</w:t>
        </w:r>
      </w:hyperlink>
      <w:r w:rsidDel="00000000" w:rsidR="00000000" w:rsidRPr="00000000">
        <w:rPr>
          <w:color w:val="222222"/>
          <w:highlight w:val="white"/>
          <w:rtl w:val="0"/>
        </w:rPr>
        <w:t xml:space="preserve">. </w:t>
      </w:r>
    </w:p>
    <w:p w:rsidR="00000000" w:rsidDel="00000000" w:rsidP="00000000" w:rsidRDefault="00000000" w:rsidRPr="00000000" w14:paraId="00000061">
      <w:pPr>
        <w:spacing w:after="240" w:before="240" w:line="240" w:lineRule="auto"/>
        <w:rPr>
          <w:color w:val="222222"/>
          <w:highlight w:val="white"/>
        </w:rPr>
      </w:pPr>
      <w:r w:rsidDel="00000000" w:rsidR="00000000" w:rsidRPr="00000000">
        <w:rPr>
          <w:color w:val="222222"/>
          <w:highlight w:val="white"/>
          <w:rtl w:val="0"/>
        </w:rPr>
        <w:t xml:space="preserve">United Nations (2025c) Goal 10 Reduce Inequality within and among Countries. Available at: </w:t>
      </w:r>
      <w:hyperlink r:id="rId44">
        <w:r w:rsidDel="00000000" w:rsidR="00000000" w:rsidRPr="00000000">
          <w:rPr>
            <w:color w:val="1155cc"/>
            <w:highlight w:val="white"/>
            <w:u w:val="single"/>
            <w:rtl w:val="0"/>
          </w:rPr>
          <w:t xml:space="preserve">https://sdgs.un.org/goals/goal10</w:t>
        </w:r>
      </w:hyperlink>
      <w:r w:rsidDel="00000000" w:rsidR="00000000" w:rsidRPr="00000000">
        <w:rPr>
          <w:color w:val="222222"/>
          <w:highlight w:val="white"/>
          <w:rtl w:val="0"/>
        </w:rPr>
        <w:t xml:space="preserve">. </w:t>
      </w:r>
    </w:p>
    <w:p w:rsidR="00000000" w:rsidDel="00000000" w:rsidP="00000000" w:rsidRDefault="00000000" w:rsidRPr="00000000" w14:paraId="00000062">
      <w:pPr>
        <w:spacing w:after="240" w:before="240" w:line="240" w:lineRule="auto"/>
        <w:rPr>
          <w:color w:val="222222"/>
          <w:highlight w:val="white"/>
        </w:rPr>
      </w:pPr>
      <w:r w:rsidDel="00000000" w:rsidR="00000000" w:rsidRPr="00000000">
        <w:rPr>
          <w:color w:val="222222"/>
          <w:highlight w:val="white"/>
          <w:rtl w:val="0"/>
        </w:rPr>
        <w:t xml:space="preserve">Van de Werfhorst, H.G., Kessenich, E. and Geven, S. (2022) ‘The digital divide in online education: Inequality in digital readiness of students and schools’, Computers and Education Open, 3(3), p. 100100. Available at: </w:t>
      </w:r>
      <w:hyperlink r:id="rId45">
        <w:r w:rsidDel="00000000" w:rsidR="00000000" w:rsidRPr="00000000">
          <w:rPr>
            <w:color w:val="1155cc"/>
            <w:highlight w:val="white"/>
            <w:u w:val="single"/>
            <w:rtl w:val="0"/>
          </w:rPr>
          <w:t xml:space="preserve">https://doi.org/10.1016/j.caeo.2022.100100</w:t>
        </w:r>
      </w:hyperlink>
      <w:r w:rsidDel="00000000" w:rsidR="00000000" w:rsidRPr="00000000">
        <w:rPr>
          <w:color w:val="222222"/>
          <w:highlight w:val="white"/>
          <w:rtl w:val="0"/>
        </w:rPr>
        <w:t xml:space="preserve">. </w:t>
      </w:r>
    </w:p>
    <w:p w:rsidR="00000000" w:rsidDel="00000000" w:rsidP="00000000" w:rsidRDefault="00000000" w:rsidRPr="00000000" w14:paraId="00000063">
      <w:pPr>
        <w:spacing w:after="240" w:before="240" w:line="240" w:lineRule="auto"/>
        <w:rPr>
          <w:color w:val="222222"/>
          <w:highlight w:val="white"/>
        </w:rPr>
      </w:pPr>
      <w:r w:rsidDel="00000000" w:rsidR="00000000" w:rsidRPr="00000000">
        <w:rPr>
          <w:color w:val="222222"/>
          <w:highlight w:val="white"/>
          <w:rtl w:val="0"/>
        </w:rPr>
        <w:t xml:space="preserve">Welsh Government (2020) Gender Equality in Wales, Welsh Government. Available at: </w:t>
      </w:r>
      <w:hyperlink r:id="rId46">
        <w:r w:rsidDel="00000000" w:rsidR="00000000" w:rsidRPr="00000000">
          <w:rPr>
            <w:color w:val="1155cc"/>
            <w:highlight w:val="white"/>
            <w:u w:val="single"/>
            <w:rtl w:val="0"/>
          </w:rPr>
          <w:t xml:space="preserve">https://www.gov.wales/sites/default/files/publications/2020-11/baseline-evidence-and-research-project-for-gender-equality-in-stem-final-report-infographic-summary.pdf</w:t>
        </w:r>
      </w:hyperlink>
      <w:r w:rsidDel="00000000" w:rsidR="00000000" w:rsidRPr="00000000">
        <w:rPr>
          <w:color w:val="222222"/>
          <w:highlight w:val="white"/>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unicef.org/education/girls-education" TargetMode="External"/><Relationship Id="rId20" Type="http://schemas.openxmlformats.org/officeDocument/2006/relationships/hyperlink" Target="https://doi.org/10.4324/9780203136553" TargetMode="External"/><Relationship Id="rId42" Type="http://schemas.openxmlformats.org/officeDocument/2006/relationships/hyperlink" Target="https://unstats.un.org/sdgs/report/2025/Goal-01/" TargetMode="External"/><Relationship Id="rId41" Type="http://schemas.openxmlformats.org/officeDocument/2006/relationships/hyperlink" Target="https://sdgs.un.org/goals/goal4#progress_and_info" TargetMode="External"/><Relationship Id="rId22" Type="http://schemas.openxmlformats.org/officeDocument/2006/relationships/hyperlink" Target="https://doi.org/10.2307/j.ctv15wxnbp" TargetMode="External"/><Relationship Id="rId44" Type="http://schemas.openxmlformats.org/officeDocument/2006/relationships/hyperlink" Target="https://sdgs.un.org/goals/goal10" TargetMode="External"/><Relationship Id="rId21" Type="http://schemas.openxmlformats.org/officeDocument/2006/relationships/hyperlink" Target="https://business.senedd.wales/documents/s14833/CYP4-09-13%20Paper%202%20-%20Professor%20David%20Egan.pdf" TargetMode="External"/><Relationship Id="rId43" Type="http://schemas.openxmlformats.org/officeDocument/2006/relationships/hyperlink" Target="https://sdgs.un.org/goals/goal5" TargetMode="External"/><Relationship Id="rId24" Type="http://schemas.openxmlformats.org/officeDocument/2006/relationships/hyperlink" Target="https://www.globalpartnership.org/what-we-do/gender-equality?fbclid=IwAR0PfioFLdrBkLVnMIC6YVwzEc6XqDxTrJf7VnVdjO0XEQl6Jj2s0en7Fs" TargetMode="External"/><Relationship Id="rId46" Type="http://schemas.openxmlformats.org/officeDocument/2006/relationships/hyperlink" Target="https://www.gov.wales/sites/default/files/publications/2020-11/baseline-evidence-and-research-project-for-gender-equality-in-stem-final-report-infographic-summary.pdf" TargetMode="External"/><Relationship Id="rId23" Type="http://schemas.openxmlformats.org/officeDocument/2006/relationships/hyperlink" Target="https://eige.europa.eu/publications-resources/thesaurus/terms/1329?language_content_entity=en" TargetMode="External"/><Relationship Id="rId45" Type="http://schemas.openxmlformats.org/officeDocument/2006/relationships/hyperlink" Target="https://doi.org/10.1016/j.caeo.2022.10010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nva.com/design/DAHCzoVtJXE/kGvoIVd1rjFTunx-ujZsFQ/edit?utm_content=DAHCzoVtJXE&amp;utm_campaign=designshare&amp;utm_medium=link2&amp;utm_source=sharebutton" TargetMode="External"/><Relationship Id="rId26" Type="http://schemas.openxmlformats.org/officeDocument/2006/relationships/hyperlink" Target="https://eric.ed.gov/?id=EJ1268230" TargetMode="External"/><Relationship Id="rId25" Type="http://schemas.openxmlformats.org/officeDocument/2006/relationships/hyperlink" Target="https://www.savethechildren.org.uk/blogs/gender-inequality-in-education" TargetMode="External"/><Relationship Id="rId28" Type="http://schemas.openxmlformats.org/officeDocument/2006/relationships/hyperlink" Target="https://doi.org/10.1016/j.neuron.2021.06.002" TargetMode="External"/><Relationship Id="rId27" Type="http://schemas.openxmlformats.org/officeDocument/2006/relationships/hyperlink" Target="https://www.suttontrust.com/our-research/improving-impact-teachers-pupil-achievement-uk-interim-findings/"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yr.media/tech/tech-in-schools-harmful-helpful-ipads-chromebooks-screen-time-leah-mordehai" TargetMode="External"/><Relationship Id="rId7" Type="http://schemas.openxmlformats.org/officeDocument/2006/relationships/hyperlink" Target="https://www.canva.com/design/DAHCU74WncQ/hIX5pfLUcqDfAZuY8zn_2Q/edit?utm_content=DAHCU74WncQ&amp;utm_campaign=designshare&amp;utm_medium=link2&amp;utm_source=sharebutton" TargetMode="External"/><Relationship Id="rId8" Type="http://schemas.openxmlformats.org/officeDocument/2006/relationships/image" Target="media/image1.jpg"/><Relationship Id="rId31" Type="http://schemas.openxmlformats.org/officeDocument/2006/relationships/hyperlink" Target="https://doi.org/10.22364/htqe.2021.31" TargetMode="External"/><Relationship Id="rId30" Type="http://schemas.openxmlformats.org/officeDocument/2006/relationships/hyperlink" Target="https://neu.org.uk/latest/press-releases/state-education-child-poverty" TargetMode="External"/><Relationship Id="rId11" Type="http://schemas.openxmlformats.org/officeDocument/2006/relationships/hyperlink" Target="https://thecrsss.com/index.php/Journal/article/view/2" TargetMode="External"/><Relationship Id="rId33" Type="http://schemas.openxmlformats.org/officeDocument/2006/relationships/hyperlink" Target="https://www.oecd.org/en/publications/education-at-a-glance-2024_c00cad36-en.html" TargetMode="External"/><Relationship Id="rId10" Type="http://schemas.openxmlformats.org/officeDocument/2006/relationships/hyperlink" Target="https://www.sciencedirect.com/topics/psychology/academic-performance" TargetMode="External"/><Relationship Id="rId32" Type="http://schemas.openxmlformats.org/officeDocument/2006/relationships/hyperlink" Target="https://www.oecd.org/content/dam/oecd/en/about/projects/cfe/oecd-city-network-on-jobs-and-skills/Briefing-note-Digital-skills-and-digital-inclusion.pdf" TargetMode="External"/><Relationship Id="rId13" Type="http://schemas.openxmlformats.org/officeDocument/2006/relationships/hyperlink" Target="https://www.jrf.org.uk/poverty-in-wales-201" TargetMode="External"/><Relationship Id="rId35" Type="http://schemas.openxmlformats.org/officeDocument/2006/relationships/hyperlink" Target="https://www.noveltyjournals.com/upload/paper/paperpdf-1604924792.pdf" TargetMode="External"/><Relationship Id="rId12" Type="http://schemas.openxmlformats.org/officeDocument/2006/relationships/hyperlink" Target="https://blogs.edgehill.ac.uk/earlyyears/dismantling-the-bias-why-the-racial-unconscious-bias-must-be-addressed-within-early-years-education/" TargetMode="External"/><Relationship Id="rId34" Type="http://schemas.openxmlformats.org/officeDocument/2006/relationships/hyperlink" Target="https://www.oecd.org/en/publications/how-s-life-for-children-in-the-digital-age_0854b900-en/full-report.html" TargetMode="External"/><Relationship Id="rId15" Type="http://schemas.openxmlformats.org/officeDocument/2006/relationships/hyperlink" Target="https://doi.org/10.1016/j.acap.2015.12.010" TargetMode="External"/><Relationship Id="rId37" Type="http://schemas.openxmlformats.org/officeDocument/2006/relationships/hyperlink" Target="https://www.researchgate.net/publication/383543919_Addressing_the_Digital_Divide_in_Education_Strategies_and_Solutions" TargetMode="External"/><Relationship Id="rId14" Type="http://schemas.openxmlformats.org/officeDocument/2006/relationships/hyperlink" Target="https://genderdata.worldbank.org/en/data-stories/a-tale-of-old-and-new-gender-gaps" TargetMode="External"/><Relationship Id="rId36" Type="http://schemas.openxmlformats.org/officeDocument/2006/relationships/hyperlink" Target="https://www.ebsco.com/research-starters/education/educational-inequality-and-social-development" TargetMode="External"/><Relationship Id="rId17" Type="http://schemas.openxmlformats.org/officeDocument/2006/relationships/hyperlink" Target="https://research.senedd.wales/research-articles/reforming-education-the-welsh-government-s-mission-to-improve-standards-and-tackle-inequalities/" TargetMode="External"/><Relationship Id="rId39" Type="http://schemas.openxmlformats.org/officeDocument/2006/relationships/hyperlink" Target="https://data.unicef.org/resources/ictgenderdivide/" TargetMode="External"/><Relationship Id="rId16" Type="http://schemas.openxmlformats.org/officeDocument/2006/relationships/hyperlink" Target="https://digitalpublicservices.gov.wales/bridging-digital-divide-wales" TargetMode="External"/><Relationship Id="rId38" Type="http://schemas.openxmlformats.org/officeDocument/2006/relationships/hyperlink" Target="https://www.unesco.org/en/articles/250-million-children-out-school-what-you-need-know-about-unescos-latest-education-data" TargetMode="External"/><Relationship Id="rId19" Type="http://schemas.openxmlformats.org/officeDocument/2006/relationships/hyperlink" Target="https://www.ebsco.com/research-starters/education/gender-disparities-world-education" TargetMode="External"/><Relationship Id="rId18" Type="http://schemas.openxmlformats.org/officeDocument/2006/relationships/hyperlink" Target="https://digitalpovertyalliance.org/news-updates/closing-the-digital-gender-div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