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65B488" w14:textId="77777777" w:rsidR="001A5F8D" w:rsidRDefault="001A5F8D" w:rsidP="008D7F70">
      <w:pPr>
        <w:keepNext/>
        <w:keepLines/>
        <w:spacing w:before="240" w:after="0" w:line="360" w:lineRule="auto"/>
        <w:jc w:val="center"/>
        <w:outlineLvl w:val="0"/>
        <w:rPr>
          <w:rFonts w:ascii="Aldhabi" w:eastAsia="Times New Roman" w:hAnsi="Aldhabi" w:cs="Aldhabi"/>
          <w:b/>
          <w:sz w:val="144"/>
          <w:szCs w:val="144"/>
        </w:rPr>
      </w:pPr>
      <w:r>
        <w:rPr>
          <w:rFonts w:ascii="Aldhabi" w:eastAsia="Times New Roman" w:hAnsi="Aldhabi" w:cs="Aldhabi"/>
          <w:b/>
          <w:sz w:val="144"/>
          <w:szCs w:val="144"/>
        </w:rPr>
        <w:t>Academic and</w:t>
      </w:r>
    </w:p>
    <w:p w14:paraId="337EA432" w14:textId="2F7A06DA" w:rsidR="008D7F70" w:rsidRDefault="008D7F70" w:rsidP="008D7F70">
      <w:pPr>
        <w:keepNext/>
        <w:keepLines/>
        <w:spacing w:before="240" w:after="0" w:line="360" w:lineRule="auto"/>
        <w:jc w:val="center"/>
        <w:outlineLvl w:val="0"/>
        <w:rPr>
          <w:rFonts w:ascii="Aldhabi" w:eastAsia="Times New Roman" w:hAnsi="Aldhabi" w:cs="Aldhabi"/>
          <w:b/>
          <w:sz w:val="144"/>
          <w:szCs w:val="144"/>
        </w:rPr>
      </w:pPr>
      <w:r w:rsidRPr="008D7F70">
        <w:rPr>
          <w:rFonts w:ascii="Aldhabi" w:eastAsia="Times New Roman" w:hAnsi="Aldhabi" w:cs="Aldhabi" w:hint="cs"/>
          <w:b/>
          <w:sz w:val="144"/>
          <w:szCs w:val="144"/>
        </w:rPr>
        <w:t>Employability Skills</w:t>
      </w:r>
    </w:p>
    <w:p w14:paraId="2604726A" w14:textId="40EA5F6C" w:rsidR="008D7F70" w:rsidRDefault="008D7F70" w:rsidP="008D7F70">
      <w:pPr>
        <w:keepNext/>
        <w:keepLines/>
        <w:spacing w:before="240" w:after="0" w:line="360" w:lineRule="auto"/>
        <w:jc w:val="center"/>
        <w:outlineLvl w:val="0"/>
        <w:rPr>
          <w:rFonts w:ascii="Times New Roman" w:eastAsia="Times New Roman" w:hAnsi="Times New Roman" w:cs="Times New Roman"/>
          <w:b/>
          <w:sz w:val="28"/>
          <w:szCs w:val="28"/>
        </w:rPr>
      </w:pPr>
      <w:r>
        <w:rPr>
          <w:rFonts w:ascii="Times New Roman" w:eastAsia="Times New Roman" w:hAnsi="Times New Roman" w:cs="Times New Roman"/>
          <w:b/>
          <w:sz w:val="28"/>
          <w:szCs w:val="28"/>
        </w:rPr>
        <w:t>TERM 1</w:t>
      </w:r>
    </w:p>
    <w:p w14:paraId="7A5B78D0" w14:textId="08E9EE09" w:rsidR="008D7F70" w:rsidRPr="008D7F70" w:rsidRDefault="008D7F70" w:rsidP="008D7F70">
      <w:pPr>
        <w:keepNext/>
        <w:keepLines/>
        <w:spacing w:before="240" w:after="0" w:line="360" w:lineRule="auto"/>
        <w:jc w:val="center"/>
        <w:outlineLvl w:val="0"/>
        <w:rPr>
          <w:rFonts w:ascii="Times New Roman" w:eastAsia="Times New Roman" w:hAnsi="Times New Roman" w:cs="Times New Roman"/>
          <w:b/>
          <w:sz w:val="28"/>
          <w:szCs w:val="28"/>
        </w:rPr>
      </w:pPr>
      <w:r>
        <w:rPr>
          <w:rFonts w:ascii="Times New Roman" w:eastAsia="Times New Roman" w:hAnsi="Times New Roman" w:cs="Times New Roman"/>
          <w:b/>
          <w:sz w:val="28"/>
          <w:szCs w:val="28"/>
        </w:rPr>
        <w:t>IOANA COZMA</w:t>
      </w:r>
    </w:p>
    <w:p w14:paraId="00000002" w14:textId="77777777" w:rsidR="00D53B31" w:rsidRDefault="00D53B31" w:rsidP="008D7F7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00000003"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04"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05"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06"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07"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08"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17"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18" w14:textId="77777777" w:rsidR="00D53B31" w:rsidRDefault="009D567F">
      <w:pPr>
        <w:keepNext/>
        <w:keepLines/>
        <w:pBdr>
          <w:top w:val="nil"/>
          <w:left w:val="nil"/>
          <w:bottom w:val="nil"/>
          <w:right w:val="nil"/>
          <w:between w:val="nil"/>
        </w:pBdr>
        <w:spacing w:before="240" w:after="0" w:line="276" w:lineRule="auto"/>
        <w:ind w:left="4032" w:hanging="431"/>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Table of Contents</w:t>
      </w:r>
    </w:p>
    <w:sdt>
      <w:sdtPr>
        <w:id w:val="-522315706"/>
        <w:docPartObj>
          <w:docPartGallery w:val="Table of Contents"/>
          <w:docPartUnique/>
        </w:docPartObj>
      </w:sdtPr>
      <w:sdtEndPr/>
      <w:sdtContent>
        <w:p w14:paraId="00000019" w14:textId="77777777" w:rsidR="00D53B31" w:rsidRDefault="009D567F">
          <w:pPr>
            <w:pBdr>
              <w:top w:val="nil"/>
              <w:left w:val="nil"/>
              <w:bottom w:val="nil"/>
              <w:right w:val="nil"/>
              <w:between w:val="nil"/>
            </w:pBdr>
            <w:tabs>
              <w:tab w:val="left" w:pos="440"/>
              <w:tab w:val="right" w:pos="9350"/>
            </w:tabs>
            <w:spacing w:after="100"/>
            <w:rPr>
              <w:color w:val="000000"/>
            </w:rPr>
          </w:pPr>
          <w:r>
            <w:fldChar w:fldCharType="begin"/>
          </w:r>
          <w:r>
            <w:instrText xml:space="preserve"> TOC \h \u \z </w:instrText>
          </w:r>
          <w:r>
            <w:fldChar w:fldCharType="separate"/>
          </w:r>
          <w:hyperlink w:anchor="_gjdgxs">
            <w:r>
              <w:rPr>
                <w:color w:val="000000"/>
              </w:rPr>
              <w:t>1</w:t>
            </w:r>
            <w:r>
              <w:rPr>
                <w:color w:val="000000"/>
              </w:rPr>
              <w:tab/>
              <w:t>Introduction</w:t>
            </w:r>
            <w:r>
              <w:rPr>
                <w:color w:val="000000"/>
              </w:rPr>
              <w:tab/>
              <w:t>3</w:t>
            </w:r>
          </w:hyperlink>
        </w:p>
        <w:p w14:paraId="0000001A" w14:textId="77777777" w:rsidR="00D53B31" w:rsidRDefault="001A5F8D">
          <w:pPr>
            <w:pBdr>
              <w:top w:val="nil"/>
              <w:left w:val="nil"/>
              <w:bottom w:val="nil"/>
              <w:right w:val="nil"/>
              <w:between w:val="nil"/>
            </w:pBdr>
            <w:tabs>
              <w:tab w:val="left" w:pos="880"/>
              <w:tab w:val="right" w:pos="9350"/>
            </w:tabs>
            <w:spacing w:after="100"/>
            <w:ind w:left="220"/>
            <w:rPr>
              <w:color w:val="000000"/>
            </w:rPr>
          </w:pPr>
          <w:hyperlink w:anchor="_30j0zll">
            <w:r w:rsidR="009D567F">
              <w:rPr>
                <w:color w:val="000000"/>
              </w:rPr>
              <w:t>1.1</w:t>
            </w:r>
            <w:r w:rsidR="009D567F">
              <w:rPr>
                <w:color w:val="000000"/>
              </w:rPr>
              <w:tab/>
              <w:t>Literature Review</w:t>
            </w:r>
            <w:r w:rsidR="009D567F">
              <w:rPr>
                <w:color w:val="000000"/>
              </w:rPr>
              <w:tab/>
              <w:t>3</w:t>
            </w:r>
          </w:hyperlink>
        </w:p>
        <w:p w14:paraId="0000001B" w14:textId="77777777" w:rsidR="00D53B31" w:rsidRDefault="001A5F8D">
          <w:pPr>
            <w:pBdr>
              <w:top w:val="nil"/>
              <w:left w:val="nil"/>
              <w:bottom w:val="nil"/>
              <w:right w:val="nil"/>
              <w:between w:val="nil"/>
            </w:pBdr>
            <w:tabs>
              <w:tab w:val="left" w:pos="880"/>
              <w:tab w:val="right" w:pos="9350"/>
            </w:tabs>
            <w:spacing w:after="100"/>
            <w:ind w:left="220"/>
            <w:rPr>
              <w:color w:val="000000"/>
            </w:rPr>
          </w:pPr>
          <w:hyperlink w:anchor="_1fob9te">
            <w:r w:rsidR="009D567F">
              <w:rPr>
                <w:color w:val="000000"/>
              </w:rPr>
              <w:t>1.2</w:t>
            </w:r>
            <w:r w:rsidR="009D567F">
              <w:rPr>
                <w:color w:val="000000"/>
              </w:rPr>
              <w:tab/>
              <w:t>Skills and Attribute that are valued by employers</w:t>
            </w:r>
            <w:r w:rsidR="009D567F">
              <w:rPr>
                <w:color w:val="000000"/>
              </w:rPr>
              <w:tab/>
              <w:t>6</w:t>
            </w:r>
          </w:hyperlink>
        </w:p>
        <w:p w14:paraId="0000001C" w14:textId="77777777" w:rsidR="00D53B31" w:rsidRDefault="001A5F8D">
          <w:pPr>
            <w:pBdr>
              <w:top w:val="nil"/>
              <w:left w:val="nil"/>
              <w:bottom w:val="nil"/>
              <w:right w:val="nil"/>
              <w:between w:val="nil"/>
            </w:pBdr>
            <w:tabs>
              <w:tab w:val="left" w:pos="880"/>
              <w:tab w:val="right" w:pos="9350"/>
            </w:tabs>
            <w:spacing w:after="100"/>
            <w:ind w:left="220"/>
            <w:rPr>
              <w:color w:val="000000"/>
            </w:rPr>
          </w:pPr>
          <w:hyperlink w:anchor="_3znysh7">
            <w:r w:rsidR="009D567F">
              <w:rPr>
                <w:color w:val="000000"/>
              </w:rPr>
              <w:t>1.3</w:t>
            </w:r>
            <w:r w:rsidR="009D567F">
              <w:rPr>
                <w:color w:val="000000"/>
              </w:rPr>
              <w:tab/>
              <w:t>list of ways employability skills</w:t>
            </w:r>
            <w:r w:rsidR="009D567F">
              <w:rPr>
                <w:color w:val="000000"/>
              </w:rPr>
              <w:tab/>
              <w:t>8</w:t>
            </w:r>
          </w:hyperlink>
        </w:p>
        <w:p w14:paraId="0000001D" w14:textId="77777777" w:rsidR="00D53B31" w:rsidRDefault="001A5F8D">
          <w:pPr>
            <w:pBdr>
              <w:top w:val="nil"/>
              <w:left w:val="nil"/>
              <w:bottom w:val="nil"/>
              <w:right w:val="nil"/>
              <w:between w:val="nil"/>
            </w:pBdr>
            <w:tabs>
              <w:tab w:val="left" w:pos="1320"/>
              <w:tab w:val="right" w:pos="9350"/>
            </w:tabs>
            <w:spacing w:after="100"/>
            <w:ind w:left="440"/>
            <w:rPr>
              <w:color w:val="000000"/>
            </w:rPr>
          </w:pPr>
          <w:hyperlink w:anchor="_2et92p0">
            <w:r w:rsidR="009D567F">
              <w:rPr>
                <w:color w:val="000000"/>
              </w:rPr>
              <w:t>1.3.1</w:t>
            </w:r>
            <w:r w:rsidR="009D567F">
              <w:rPr>
                <w:color w:val="000000"/>
              </w:rPr>
              <w:tab/>
              <w:t>Teamwork Skills</w:t>
            </w:r>
            <w:r w:rsidR="009D567F">
              <w:rPr>
                <w:color w:val="000000"/>
              </w:rPr>
              <w:tab/>
              <w:t>8</w:t>
            </w:r>
          </w:hyperlink>
        </w:p>
        <w:p w14:paraId="0000001E" w14:textId="77777777" w:rsidR="00D53B31" w:rsidRDefault="001A5F8D">
          <w:pPr>
            <w:pBdr>
              <w:top w:val="nil"/>
              <w:left w:val="nil"/>
              <w:bottom w:val="nil"/>
              <w:right w:val="nil"/>
              <w:between w:val="nil"/>
            </w:pBdr>
            <w:tabs>
              <w:tab w:val="left" w:pos="1320"/>
              <w:tab w:val="right" w:pos="9350"/>
            </w:tabs>
            <w:spacing w:after="100"/>
            <w:ind w:left="440"/>
            <w:rPr>
              <w:color w:val="000000"/>
            </w:rPr>
          </w:pPr>
          <w:hyperlink w:anchor="_tyjcwt">
            <w:r w:rsidR="009D567F">
              <w:rPr>
                <w:color w:val="000000"/>
              </w:rPr>
              <w:t>1.3.2</w:t>
            </w:r>
            <w:r w:rsidR="009D567F">
              <w:rPr>
                <w:color w:val="000000"/>
              </w:rPr>
              <w:tab/>
              <w:t>Problem Solving Skills</w:t>
            </w:r>
            <w:r w:rsidR="009D567F">
              <w:rPr>
                <w:color w:val="000000"/>
              </w:rPr>
              <w:tab/>
              <w:t>8</w:t>
            </w:r>
          </w:hyperlink>
        </w:p>
        <w:p w14:paraId="0000001F" w14:textId="77777777" w:rsidR="00D53B31" w:rsidRDefault="001A5F8D">
          <w:pPr>
            <w:pBdr>
              <w:top w:val="nil"/>
              <w:left w:val="nil"/>
              <w:bottom w:val="nil"/>
              <w:right w:val="nil"/>
              <w:between w:val="nil"/>
            </w:pBdr>
            <w:tabs>
              <w:tab w:val="left" w:pos="1320"/>
              <w:tab w:val="right" w:pos="9350"/>
            </w:tabs>
            <w:spacing w:after="100"/>
            <w:ind w:left="440"/>
            <w:rPr>
              <w:color w:val="000000"/>
            </w:rPr>
          </w:pPr>
          <w:hyperlink w:anchor="_3dy6vkm">
            <w:r w:rsidR="009D567F">
              <w:rPr>
                <w:color w:val="000000"/>
              </w:rPr>
              <w:t>1.3.3</w:t>
            </w:r>
            <w:r w:rsidR="009D567F">
              <w:rPr>
                <w:color w:val="000000"/>
              </w:rPr>
              <w:tab/>
              <w:t>Planning and organizations</w:t>
            </w:r>
            <w:r w:rsidR="009D567F">
              <w:rPr>
                <w:color w:val="000000"/>
              </w:rPr>
              <w:tab/>
              <w:t>8</w:t>
            </w:r>
          </w:hyperlink>
        </w:p>
        <w:p w14:paraId="00000020" w14:textId="77777777" w:rsidR="00D53B31" w:rsidRDefault="001A5F8D">
          <w:pPr>
            <w:pBdr>
              <w:top w:val="nil"/>
              <w:left w:val="nil"/>
              <w:bottom w:val="nil"/>
              <w:right w:val="nil"/>
              <w:between w:val="nil"/>
            </w:pBdr>
            <w:tabs>
              <w:tab w:val="left" w:pos="1320"/>
              <w:tab w:val="right" w:pos="9350"/>
            </w:tabs>
            <w:spacing w:after="100"/>
            <w:ind w:left="440"/>
            <w:rPr>
              <w:color w:val="000000"/>
            </w:rPr>
          </w:pPr>
          <w:hyperlink w:anchor="_1t3h5sf">
            <w:r w:rsidR="009D567F">
              <w:rPr>
                <w:color w:val="000000"/>
              </w:rPr>
              <w:t>1.3.4</w:t>
            </w:r>
            <w:r w:rsidR="009D567F">
              <w:rPr>
                <w:color w:val="000000"/>
              </w:rPr>
              <w:tab/>
              <w:t>Taking up new hobbies</w:t>
            </w:r>
            <w:r w:rsidR="009D567F">
              <w:rPr>
                <w:color w:val="000000"/>
              </w:rPr>
              <w:tab/>
              <w:t>8</w:t>
            </w:r>
          </w:hyperlink>
        </w:p>
        <w:p w14:paraId="00000021" w14:textId="77777777" w:rsidR="00D53B31" w:rsidRDefault="001A5F8D">
          <w:pPr>
            <w:pBdr>
              <w:top w:val="nil"/>
              <w:left w:val="nil"/>
              <w:bottom w:val="nil"/>
              <w:right w:val="nil"/>
              <w:between w:val="nil"/>
            </w:pBdr>
            <w:tabs>
              <w:tab w:val="left" w:pos="880"/>
              <w:tab w:val="right" w:pos="9350"/>
            </w:tabs>
            <w:spacing w:after="100"/>
            <w:ind w:left="220"/>
            <w:rPr>
              <w:color w:val="000000"/>
            </w:rPr>
          </w:pPr>
          <w:hyperlink w:anchor="_4d34og8">
            <w:r w:rsidR="009D567F">
              <w:rPr>
                <w:color w:val="000000"/>
              </w:rPr>
              <w:t>1.4</w:t>
            </w:r>
            <w:r w:rsidR="009D567F">
              <w:rPr>
                <w:color w:val="000000"/>
              </w:rPr>
              <w:tab/>
              <w:t>Conclusion</w:t>
            </w:r>
            <w:r w:rsidR="009D567F">
              <w:rPr>
                <w:color w:val="000000"/>
              </w:rPr>
              <w:tab/>
              <w:t>9</w:t>
            </w:r>
          </w:hyperlink>
        </w:p>
        <w:p w14:paraId="00000022" w14:textId="77777777" w:rsidR="00D53B31" w:rsidRDefault="001A5F8D">
          <w:pPr>
            <w:pBdr>
              <w:top w:val="nil"/>
              <w:left w:val="nil"/>
              <w:bottom w:val="nil"/>
              <w:right w:val="nil"/>
              <w:between w:val="nil"/>
            </w:pBdr>
            <w:tabs>
              <w:tab w:val="left" w:pos="880"/>
              <w:tab w:val="right" w:pos="9350"/>
            </w:tabs>
            <w:spacing w:after="100"/>
            <w:ind w:left="220"/>
            <w:rPr>
              <w:color w:val="000000"/>
            </w:rPr>
          </w:pPr>
          <w:hyperlink w:anchor="_2s8eyo1">
            <w:r w:rsidR="009D567F">
              <w:rPr>
                <w:color w:val="000000"/>
              </w:rPr>
              <w:t>1.5</w:t>
            </w:r>
            <w:r w:rsidR="009D567F">
              <w:rPr>
                <w:color w:val="000000"/>
              </w:rPr>
              <w:tab/>
              <w:t>Recommendation</w:t>
            </w:r>
            <w:r w:rsidR="009D567F">
              <w:rPr>
                <w:color w:val="000000"/>
              </w:rPr>
              <w:tab/>
              <w:t>9</w:t>
            </w:r>
          </w:hyperlink>
        </w:p>
        <w:p w14:paraId="00000023" w14:textId="77777777" w:rsidR="00D53B31" w:rsidRDefault="001A5F8D">
          <w:pPr>
            <w:pBdr>
              <w:top w:val="nil"/>
              <w:left w:val="nil"/>
              <w:bottom w:val="nil"/>
              <w:right w:val="nil"/>
              <w:between w:val="nil"/>
            </w:pBdr>
            <w:tabs>
              <w:tab w:val="left" w:pos="440"/>
              <w:tab w:val="right" w:pos="9350"/>
            </w:tabs>
            <w:spacing w:after="100"/>
            <w:rPr>
              <w:color w:val="000000"/>
            </w:rPr>
          </w:pPr>
          <w:hyperlink w:anchor="_17dp8vu">
            <w:r w:rsidR="009D567F">
              <w:rPr>
                <w:color w:val="000000"/>
              </w:rPr>
              <w:t>2</w:t>
            </w:r>
            <w:r w:rsidR="009D567F">
              <w:rPr>
                <w:color w:val="000000"/>
              </w:rPr>
              <w:tab/>
              <w:t>References</w:t>
            </w:r>
            <w:r w:rsidR="009D567F">
              <w:rPr>
                <w:color w:val="000000"/>
              </w:rPr>
              <w:tab/>
              <w:t>10</w:t>
            </w:r>
          </w:hyperlink>
        </w:p>
        <w:p w14:paraId="00000024" w14:textId="77777777" w:rsidR="00D53B31" w:rsidRDefault="009D567F">
          <w:pPr>
            <w:spacing w:line="276" w:lineRule="auto"/>
          </w:pPr>
          <w:r>
            <w:fldChar w:fldCharType="end"/>
          </w:r>
        </w:p>
      </w:sdtContent>
    </w:sdt>
    <w:p w14:paraId="00000025"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6"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7"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8"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9"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A"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B"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C"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D"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E"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2F"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30"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31"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32" w14:textId="77777777" w:rsidR="00D53B31" w:rsidRDefault="009D567F">
      <w:pPr>
        <w:pStyle w:val="Heading1"/>
        <w:numPr>
          <w:ilvl w:val="0"/>
          <w:numId w:val="4"/>
        </w:numPr>
      </w:pPr>
      <w:bookmarkStart w:id="0" w:name="_gjdgxs" w:colFirst="0" w:colLast="0"/>
      <w:bookmarkEnd w:id="0"/>
      <w:r>
        <w:t xml:space="preserve">Introduction </w:t>
      </w:r>
    </w:p>
    <w:p w14:paraId="00000033"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first discusses important issues in the literature on graduate employability, with an emphasis on recognizing what the employability of students is and then examines how institutions for higher education (HEIs) meet the employability and perceived need of employers.</w:t>
      </w:r>
    </w:p>
    <w:p w14:paraId="00000034"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focused on the qualitative area of study in order to examine the opinions of employees, HEIs, recruiting organizations, working people, learners and students on the employability of graduates. The work discusses what they believe enhances the employability of students and their own interactions. The final component of the qualitative analysis takes into consideration the experiences of some HEI members interested in the case studies</w:t>
      </w:r>
    </w:p>
    <w:p w14:paraId="00000035"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In spite of</w:t>
      </w:r>
      <w:proofErr w:type="gramEnd"/>
      <w:r>
        <w:rPr>
          <w:rFonts w:ascii="Times New Roman" w:eastAsia="Times New Roman" w:hAnsi="Times New Roman" w:cs="Times New Roman"/>
          <w:color w:val="000000"/>
          <w:sz w:val="24"/>
          <w:szCs w:val="24"/>
        </w:rPr>
        <w:t xml:space="preserve"> the UK policy Stressing the importance of HEIs to graduate jobs, and the presence of good practice indicators of employers' and Health Insurance relationships, this mechanism is nevertheless subject to significant difficulties and obstacles. The research begins by discussing forms in which employers and HEIs should collaborate to enhance employability of students.</w:t>
      </w:r>
    </w:p>
    <w:p w14:paraId="00000036" w14:textId="77777777" w:rsidR="00D53B31" w:rsidRDefault="009D567F">
      <w:pPr>
        <w:pStyle w:val="Heading2"/>
        <w:numPr>
          <w:ilvl w:val="1"/>
          <w:numId w:val="4"/>
        </w:numPr>
      </w:pPr>
      <w:bookmarkStart w:id="1" w:name="_30j0zll" w:colFirst="0" w:colLast="0"/>
      <w:bookmarkEnd w:id="1"/>
      <w:r>
        <w:t xml:space="preserve">Literature Review </w:t>
      </w:r>
    </w:p>
    <w:p w14:paraId="00000037"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many years, the idea and interpretation of employability has been questioned, but concern has grown in the past decade, graduate employability. As the need to encourage employability of students has increased various studies detailed breakdowns and taxonomies of different skills and qualities required to facilitate employability for students such as core qualifications; primary qualifications; popular competences; transferable competences; basic competences; practical expertise; expertise for life; standardized competencies and business ability.</w:t>
      </w:r>
    </w:p>
    <w:p w14:paraId="00000038"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According to Harvey et al (1997 quoted in Holden and Jameson, 2002), most employers are searching for innovative graduates who can use higher-level skills such as 'research, critique, interpretation and multi-layered contact to allow creative collaboration to catalyze their organization 's transition.</w:t>
      </w:r>
    </w:p>
    <w:p w14:paraId="00000039"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1998 National institute of Adult Continuing Education (NIACE). Arguing that employability is best understood as a societal system and stressing that only one-person concern is to neglect essential facets. For the idea. Of the understanding of the term. Therefore, NIACE considers that employability is a more </w:t>
      </w:r>
      <w:proofErr w:type="gramStart"/>
      <w:r>
        <w:rPr>
          <w:rFonts w:ascii="Times New Roman" w:eastAsia="Times New Roman" w:hAnsi="Times New Roman" w:cs="Times New Roman"/>
          <w:color w:val="000000"/>
          <w:sz w:val="24"/>
          <w:szCs w:val="24"/>
        </w:rPr>
        <w:t>fairly shared</w:t>
      </w:r>
      <w:proofErr w:type="gramEnd"/>
      <w:r>
        <w:rPr>
          <w:rFonts w:ascii="Times New Roman" w:eastAsia="Times New Roman" w:hAnsi="Times New Roman" w:cs="Times New Roman"/>
          <w:color w:val="000000"/>
          <w:sz w:val="24"/>
          <w:szCs w:val="24"/>
        </w:rPr>
        <w:t xml:space="preserve"> responsibility:</w:t>
      </w:r>
    </w:p>
    <w:p w14:paraId="0000003A" w14:textId="77777777" w:rsidR="00D53B31" w:rsidRDefault="009D567F">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individuals would choose to acknowledge the implications of their decisions</w:t>
      </w:r>
    </w:p>
    <w:p w14:paraId="0000003B" w14:textId="77777777" w:rsidR="00D53B31" w:rsidRDefault="009D567F">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Companies who instill common values and expectations as well as influencing habits in their employability and customer service. (Employees decide in several ways what determines employability). Employers are particularly responsible for improving employee employability for business rather than altruistic purposes</w:t>
      </w:r>
    </w:p>
    <w:p w14:paraId="0000003C" w14:textId="77777777" w:rsidR="00D53B31" w:rsidRDefault="009D567F">
      <w:pPr>
        <w:numPr>
          <w:ilvl w:val="0"/>
          <w:numId w:val="2"/>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public institutions that have a responsibility to ensure that any person can operate schools, partners, universities, support organizations, state and national government departments.</w:t>
      </w:r>
    </w:p>
    <w:p w14:paraId="0000003D" w14:textId="77777777" w:rsidR="00D53B31" w:rsidRDefault="009D567F">
      <w:pPr>
        <w:pBdr>
          <w:top w:val="nil"/>
          <w:left w:val="nil"/>
          <w:bottom w:val="nil"/>
          <w:right w:val="nil"/>
          <w:between w:val="nil"/>
        </w:pBdr>
        <w:spacing w:line="360" w:lineRule="auto"/>
        <w:ind w:firstLine="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NIACE emphasized the relative essence of the employability principle and emphasized the strong contextuality of other behaviors and beliefs. For instance, what are the correct values in foreign exchange trading might be less so in healthcare.</w:t>
      </w:r>
    </w:p>
    <w:p w14:paraId="0000003E"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literature indicates that companies want students who will adjust their talents to their organizational community and improve the enterprise to engage in creative teamwork. Employers support logical thought as well (reflection) because creativity and expectation and leading progress are important (Harvey et al, 1997; Little 2001 in the 2002 edition of Lees). </w:t>
      </w:r>
    </w:p>
    <w:p w14:paraId="0000003F"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Various companies expect students with specific skills. One respects the intellectual and insightful qualities, which are essential to a positive learning experience. But employers are constantly stressing the need for students to show a variety of skills that will enable them to work in a global world, be creative and competitive in diverse countries, in multi-cultural teams and have good language skills.</w:t>
      </w:r>
    </w:p>
    <w:p w14:paraId="00000040"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United Kingdom's Statement (2009), the UKCES does not want to be over-definitional. </w:t>
      </w:r>
      <w:proofErr w:type="gramStart"/>
      <w:r>
        <w:rPr>
          <w:rFonts w:ascii="Times New Roman" w:eastAsia="Times New Roman" w:hAnsi="Times New Roman" w:cs="Times New Roman"/>
          <w:color w:val="000000"/>
          <w:sz w:val="24"/>
          <w:szCs w:val="24"/>
        </w:rPr>
        <w:t>There's</w:t>
      </w:r>
      <w:proofErr w:type="gramEnd"/>
      <w:r>
        <w:rPr>
          <w:rFonts w:ascii="Times New Roman" w:eastAsia="Times New Roman" w:hAnsi="Times New Roman" w:cs="Times New Roman"/>
          <w:color w:val="000000"/>
          <w:sz w:val="24"/>
          <w:szCs w:val="24"/>
        </w:rPr>
        <w:t xml:space="preserve"> a lot of good: both of them overlap. Irrespective of how employability abilities are described, these capabilities are the same obstacles for individuals to grow. Essentially, the UKCES states that while there are many employability concepts, many are very similar in reality. </w:t>
      </w:r>
      <w:r>
        <w:rPr>
          <w:rFonts w:ascii="Times New Roman" w:eastAsia="Times New Roman" w:hAnsi="Times New Roman" w:cs="Times New Roman"/>
          <w:color w:val="000000"/>
          <w:sz w:val="24"/>
          <w:szCs w:val="24"/>
        </w:rPr>
        <w:lastRenderedPageBreak/>
        <w:t>The biggest concern is the production of appropriate strategies to encourage and improve employability of individuals, highlighted by the writers of the UKCES study.</w:t>
      </w:r>
    </w:p>
    <w:p w14:paraId="00000041"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SCRE Center article in this paper outlines the principle in employability of the UKCES. The concept of skills and qualities of graduate employability embraced by the UKCES and contemporary concepts emphasize the development of skills that ensure and maintain the work of a person and that allow him to succeed </w:t>
      </w:r>
      <w:proofErr w:type="gramStart"/>
      <w:r>
        <w:rPr>
          <w:rFonts w:ascii="Times New Roman" w:eastAsia="Times New Roman" w:hAnsi="Times New Roman" w:cs="Times New Roman"/>
          <w:color w:val="000000"/>
          <w:sz w:val="24"/>
          <w:szCs w:val="24"/>
        </w:rPr>
        <w:t>in a given</w:t>
      </w:r>
      <w:proofErr w:type="gramEnd"/>
      <w:r>
        <w:rPr>
          <w:rFonts w:ascii="Times New Roman" w:eastAsia="Times New Roman" w:hAnsi="Times New Roman" w:cs="Times New Roman"/>
          <w:color w:val="000000"/>
          <w:sz w:val="24"/>
          <w:szCs w:val="24"/>
        </w:rPr>
        <w:t xml:space="preserve"> job. That requires the ability to apply and industry relevant know-how, expertise and behaviors for employers. That is checked out by the current surveys of the needs and activities of employers.</w:t>
      </w:r>
    </w:p>
    <w:p w14:paraId="00000042"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literature suggested that the development of employability qualities and abilities in HEIs would need to be incorporated into the Knight and Yorke program and claimed that the students would have a right to HEI interactions that build up knowledge, skills, self-theory and contemplation. In action, HEI strategies in order to encourage the qualities and characteristics of employer in students vary encouragement for job choices and jobs searching, creation of employability as part of research programs.</w:t>
      </w:r>
    </w:p>
    <w:p w14:paraId="00000043"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UKCES (2009a) and the CBI (2009) universities have provided a variety of case studies of HEI employability initiatives. In addition, case studies illustrate how certain colleges change the </w:t>
      </w:r>
      <w:proofErr w:type="gramStart"/>
      <w:r>
        <w:rPr>
          <w:rFonts w:ascii="Times New Roman" w:eastAsia="Times New Roman" w:hAnsi="Times New Roman" w:cs="Times New Roman"/>
          <w:color w:val="000000"/>
          <w:sz w:val="24"/>
          <w:szCs w:val="24"/>
        </w:rPr>
        <w:t>manner in which</w:t>
      </w:r>
      <w:proofErr w:type="gramEnd"/>
      <w:r>
        <w:rPr>
          <w:rFonts w:ascii="Times New Roman" w:eastAsia="Times New Roman" w:hAnsi="Times New Roman" w:cs="Times New Roman"/>
          <w:color w:val="000000"/>
          <w:sz w:val="24"/>
          <w:szCs w:val="24"/>
        </w:rPr>
        <w:t xml:space="preserve"> instruction is conducted, by including practical experience, to incorporate employability’s into the curriculum. Such case studies are mostly concise, but others include impact measures, such as graduation and confidence development.</w:t>
      </w:r>
    </w:p>
    <w:p w14:paraId="00000044"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is no evaluative support for a long-term impact on employability of students in many case studies. That also occurs when universities </w:t>
      </w:r>
      <w:proofErr w:type="gramStart"/>
      <w:r>
        <w:rPr>
          <w:rFonts w:ascii="Times New Roman" w:eastAsia="Times New Roman" w:hAnsi="Times New Roman" w:cs="Times New Roman"/>
          <w:color w:val="000000"/>
          <w:sz w:val="24"/>
          <w:szCs w:val="24"/>
        </w:rPr>
        <w:t>don't</w:t>
      </w:r>
      <w:proofErr w:type="gramEnd"/>
      <w:r>
        <w:rPr>
          <w:rFonts w:ascii="Times New Roman" w:eastAsia="Times New Roman" w:hAnsi="Times New Roman" w:cs="Times New Roman"/>
          <w:color w:val="000000"/>
          <w:sz w:val="24"/>
          <w:szCs w:val="24"/>
        </w:rPr>
        <w:t xml:space="preserve"> have long-term assessments or minimal records. Several case studies by the CBI also </w:t>
      </w:r>
      <w:proofErr w:type="gramStart"/>
      <w:r>
        <w:rPr>
          <w:rFonts w:ascii="Times New Roman" w:eastAsia="Times New Roman" w:hAnsi="Times New Roman" w:cs="Times New Roman"/>
          <w:color w:val="000000"/>
          <w:sz w:val="24"/>
          <w:szCs w:val="24"/>
        </w:rPr>
        <w:t>had an effect on</w:t>
      </w:r>
      <w:proofErr w:type="gramEnd"/>
      <w:r>
        <w:rPr>
          <w:rFonts w:ascii="Times New Roman" w:eastAsia="Times New Roman" w:hAnsi="Times New Roman" w:cs="Times New Roman"/>
          <w:color w:val="000000"/>
          <w:sz w:val="24"/>
          <w:szCs w:val="24"/>
        </w:rPr>
        <w:t xml:space="preserve"> the destinations for graduates. For instance, HESA has the most reliable academic record in the world and, according to the destination figures, the University of Surrey is consistently in the top three university companies in order to recruit or research its graduates within six months of graduation.</w:t>
      </w:r>
    </w:p>
    <w:p w14:paraId="00000045"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Harper Adams University College announced that, within a six-month duration of completion of their degrees in 2006/2007 99% of their students who graduated from full time courses were working or further </w:t>
      </w:r>
      <w:proofErr w:type="gramStart"/>
      <w:r>
        <w:rPr>
          <w:rFonts w:ascii="Times New Roman" w:eastAsia="Times New Roman" w:hAnsi="Times New Roman" w:cs="Times New Roman"/>
          <w:color w:val="000000"/>
          <w:sz w:val="24"/>
          <w:szCs w:val="24"/>
        </w:rPr>
        <w:t>researched, and</w:t>
      </w:r>
      <w:proofErr w:type="gramEnd"/>
      <w:r>
        <w:rPr>
          <w:rFonts w:ascii="Times New Roman" w:eastAsia="Times New Roman" w:hAnsi="Times New Roman" w:cs="Times New Roman"/>
          <w:color w:val="000000"/>
          <w:sz w:val="24"/>
          <w:szCs w:val="24"/>
        </w:rPr>
        <w:t xml:space="preserve"> credited that to their ASPIRE curriculum. Clearly, employability is more critical than work securing, such as making a positive contribution to the </w:t>
      </w:r>
      <w:r>
        <w:rPr>
          <w:rFonts w:ascii="Times New Roman" w:eastAsia="Times New Roman" w:hAnsi="Times New Roman" w:cs="Times New Roman"/>
          <w:color w:val="000000"/>
          <w:sz w:val="24"/>
          <w:szCs w:val="24"/>
        </w:rPr>
        <w:lastRenderedPageBreak/>
        <w:t>business, environment and community, but these examples are representative of the added benefit their courses and programs offer.</w:t>
      </w:r>
    </w:p>
    <w:p w14:paraId="00000046"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Although comparatively few of these studies suggest that job placements can be especially successful, long-term analyses of the effectiveness and effects of HEI hiring initiatives suggest. Analyze by Hall et al (2009). Overall, in a competitive team environment, the placement year also offers students opportunities for self-development and professional success and these attributes are vital to employability.</w:t>
      </w:r>
    </w:p>
    <w:p w14:paraId="00000047" w14:textId="77777777" w:rsidR="00D53B31" w:rsidRDefault="009D567F">
      <w:pPr>
        <w:pStyle w:val="Heading2"/>
        <w:numPr>
          <w:ilvl w:val="1"/>
          <w:numId w:val="4"/>
        </w:numPr>
      </w:pPr>
      <w:bookmarkStart w:id="2" w:name="_1fob9te" w:colFirst="0" w:colLast="0"/>
      <w:bookmarkEnd w:id="2"/>
      <w:r>
        <w:t xml:space="preserve">Skills and Attribute that are valued by employers </w:t>
      </w:r>
    </w:p>
    <w:p w14:paraId="00000048" w14:textId="77777777" w:rsidR="00D53B31" w:rsidRDefault="009D567F">
      <w:pPr>
        <w:pBdr>
          <w:top w:val="nil"/>
          <w:left w:val="nil"/>
          <w:bottom w:val="nil"/>
          <w:right w:val="nil"/>
          <w:between w:val="nil"/>
        </w:pBdr>
        <w:spacing w:line="360" w:lineRule="auto"/>
        <w:ind w:firstLine="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scoping interviews with employer and HEI entities showed that there are characteristics, abilities and expertise and elements of analytical competence that are needed for </w:t>
      </w:r>
      <w:proofErr w:type="gramStart"/>
      <w:r>
        <w:rPr>
          <w:rFonts w:ascii="Times New Roman" w:eastAsia="Times New Roman" w:hAnsi="Times New Roman" w:cs="Times New Roman"/>
          <w:color w:val="000000"/>
          <w:sz w:val="24"/>
          <w:szCs w:val="24"/>
        </w:rPr>
        <w:t>particular positions</w:t>
      </w:r>
      <w:proofErr w:type="gramEnd"/>
      <w:r>
        <w:rPr>
          <w:rFonts w:ascii="Times New Roman" w:eastAsia="Times New Roman" w:hAnsi="Times New Roman" w:cs="Times New Roman"/>
          <w:color w:val="000000"/>
          <w:sz w:val="24"/>
          <w:szCs w:val="24"/>
        </w:rPr>
        <w:t>. In addition, transferable capacity combinations were often found to be especially important</w:t>
      </w:r>
    </w:p>
    <w:p w14:paraId="00000049" w14:textId="77777777" w:rsidR="00D53B31" w:rsidRDefault="009D567F">
      <w:pPr>
        <w:numPr>
          <w:ilvl w:val="0"/>
          <w:numId w:val="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 xml:space="preserve">Team working </w:t>
      </w:r>
    </w:p>
    <w:p w14:paraId="0000004A" w14:textId="77777777" w:rsidR="00D53B31" w:rsidRDefault="009D567F">
      <w:pPr>
        <w:numPr>
          <w:ilvl w:val="0"/>
          <w:numId w:val="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 xml:space="preserve">problem Solving </w:t>
      </w:r>
    </w:p>
    <w:p w14:paraId="0000004B" w14:textId="77777777" w:rsidR="00D53B31" w:rsidRDefault="009D567F">
      <w:pPr>
        <w:numPr>
          <w:ilvl w:val="0"/>
          <w:numId w:val="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 xml:space="preserve">Self-Management </w:t>
      </w:r>
    </w:p>
    <w:p w14:paraId="0000004C" w14:textId="77777777" w:rsidR="00D53B31" w:rsidRDefault="009D567F">
      <w:pPr>
        <w:numPr>
          <w:ilvl w:val="0"/>
          <w:numId w:val="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Knowledge of the business</w:t>
      </w:r>
    </w:p>
    <w:p w14:paraId="0000004D" w14:textId="77777777" w:rsidR="00D53B31" w:rsidRDefault="009D567F">
      <w:pPr>
        <w:numPr>
          <w:ilvl w:val="0"/>
          <w:numId w:val="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 xml:space="preserve">Leadership Skills where necessary </w:t>
      </w:r>
    </w:p>
    <w:p w14:paraId="0000004E" w14:textId="77777777" w:rsidR="00D53B31" w:rsidRDefault="009D567F">
      <w:pPr>
        <w:numPr>
          <w:ilvl w:val="0"/>
          <w:numId w:val="3"/>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Good interpersonal and communication skills</w:t>
      </w:r>
    </w:p>
    <w:p w14:paraId="0000004F" w14:textId="77777777" w:rsidR="00D53B31" w:rsidRDefault="009D567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One comparison to the UKCES study was that employers and their members felt that precise concepts of employability were less important than an accepted emphasis on how to improve employability skills and qualities </w:t>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t>Employers and graduates have been particularly effective in improving these transferable skills when they have job experience, internships and extracurricular experiences at universities. Many businessmen and almost all students who participated in the study felt they wanted a degree for other work vacancies, but they little improved the employability of a candidate.</w:t>
      </w:r>
    </w:p>
    <w:p w14:paraId="00000050"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51"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52"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53" w14:textId="77777777" w:rsidR="00D53B31" w:rsidRDefault="009D567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(Royal Navy Officer).</w:t>
      </w:r>
    </w:p>
    <w:p w14:paraId="00000054"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You will be qualified to be a Royal Navy Officer if you have these qualities. There are frequent improvements on the technological side of things. We see high intelligence and applicants need to get at least 100 UCAS points this is not many, but it indicates that they have a brain and are able to respond to technological shift</w:t>
      </w:r>
    </w:p>
    <w:p w14:paraId="00000055"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last boat I was on was designed in the sixties during my training. The next boat I am going on will be more academic, and because of my professional experience I will </w:t>
      </w:r>
      <w:proofErr w:type="gramStart"/>
      <w:r>
        <w:rPr>
          <w:rFonts w:ascii="Times New Roman" w:eastAsia="Times New Roman" w:hAnsi="Times New Roman" w:cs="Times New Roman"/>
          <w:color w:val="000000"/>
          <w:sz w:val="24"/>
          <w:szCs w:val="24"/>
        </w:rPr>
        <w:t>definitely gravitate</w:t>
      </w:r>
      <w:proofErr w:type="gramEnd"/>
      <w:r>
        <w:rPr>
          <w:rFonts w:ascii="Times New Roman" w:eastAsia="Times New Roman" w:hAnsi="Times New Roman" w:cs="Times New Roman"/>
          <w:color w:val="000000"/>
          <w:sz w:val="24"/>
          <w:szCs w:val="24"/>
        </w:rPr>
        <w:t xml:space="preserve"> towards that. The human being is very appropriate and the sort of individual to be found can be modified and this is seen by the fact this we achieve in running submarines, aircraft, Royal Marines and Royal Navy all over the world.</w:t>
      </w:r>
    </w:p>
    <w:p w14:paraId="00000056" w14:textId="77777777" w:rsidR="00D53B31" w:rsidRDefault="009D567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(Bank Graduates)</w:t>
      </w:r>
    </w:p>
    <w:p w14:paraId="00000057"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people with whom I work, who are </w:t>
      </w:r>
      <w:proofErr w:type="gramStart"/>
      <w:r>
        <w:rPr>
          <w:rFonts w:ascii="Times New Roman" w:eastAsia="Times New Roman" w:hAnsi="Times New Roman" w:cs="Times New Roman"/>
          <w:color w:val="000000"/>
          <w:sz w:val="24"/>
          <w:szCs w:val="24"/>
        </w:rPr>
        <w:t>really good</w:t>
      </w:r>
      <w:proofErr w:type="gramEnd"/>
      <w:r>
        <w:rPr>
          <w:rFonts w:ascii="Times New Roman" w:eastAsia="Times New Roman" w:hAnsi="Times New Roman" w:cs="Times New Roman"/>
          <w:color w:val="000000"/>
          <w:sz w:val="24"/>
          <w:szCs w:val="24"/>
        </w:rPr>
        <w:t xml:space="preserve"> at the job with a "less experience" than me. I would like to say: you know you have graduated and you are brought to these departments where you have individuals that served for much longer than you, did not get the same degrees as you do. You come from university with some cockiness.</w:t>
      </w:r>
    </w:p>
    <w:p w14:paraId="00000058"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But it does not mean they know less than you, because they were not to a higher education institution. They know a lot better because during the three years you have spent thinking of your fellow students and doing an examination so many times they worked and found out exactly what I learned more in the first six months than I did in three years at university.</w:t>
      </w:r>
    </w:p>
    <w:p w14:paraId="00000059" w14:textId="77777777" w:rsidR="00D53B31" w:rsidRDefault="009D567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(Multinational Bank Recruiting)</w:t>
      </w:r>
    </w:p>
    <w:p w14:paraId="0000005A"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Larger employers add special emphasis to interviews and initial assessment centers to help showcase applicants who have the requisite incentive and skill. The more general capabilities are tested in particular by means of role plays, lectures and other collaborative events. In some cases, follow-up seminars and meetings have been held in related ways to sustain and develop recent hired graduates' abilities. We want people who want to work with this bank to learn even more about us instead of just applying for all the banks. </w:t>
      </w:r>
      <w:proofErr w:type="gramStart"/>
      <w:r>
        <w:rPr>
          <w:rFonts w:ascii="Times New Roman" w:eastAsia="Times New Roman" w:hAnsi="Times New Roman" w:cs="Times New Roman"/>
          <w:color w:val="000000"/>
          <w:sz w:val="24"/>
          <w:szCs w:val="24"/>
        </w:rPr>
        <w:t>It's</w:t>
      </w:r>
      <w:proofErr w:type="gramEnd"/>
      <w:r>
        <w:rPr>
          <w:rFonts w:ascii="Times New Roman" w:eastAsia="Times New Roman" w:hAnsi="Times New Roman" w:cs="Times New Roman"/>
          <w:color w:val="000000"/>
          <w:sz w:val="24"/>
          <w:szCs w:val="24"/>
        </w:rPr>
        <w:t xml:space="preserve"> the lighter credentials too. I believe that </w:t>
      </w:r>
      <w:proofErr w:type="gramStart"/>
      <w:r>
        <w:rPr>
          <w:rFonts w:ascii="Times New Roman" w:eastAsia="Times New Roman" w:hAnsi="Times New Roman" w:cs="Times New Roman"/>
          <w:color w:val="000000"/>
          <w:sz w:val="24"/>
          <w:szCs w:val="24"/>
        </w:rPr>
        <w:t>it's</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lastRenderedPageBreak/>
        <w:t xml:space="preserve">the added opportunity to function, especially in global banking, with this desire. </w:t>
      </w:r>
      <w:proofErr w:type="gramStart"/>
      <w:r>
        <w:rPr>
          <w:rFonts w:ascii="Times New Roman" w:eastAsia="Times New Roman" w:hAnsi="Times New Roman" w:cs="Times New Roman"/>
          <w:color w:val="000000"/>
          <w:sz w:val="24"/>
          <w:szCs w:val="24"/>
        </w:rPr>
        <w:t>It's</w:t>
      </w:r>
      <w:proofErr w:type="gramEnd"/>
      <w:r>
        <w:rPr>
          <w:rFonts w:ascii="Times New Roman" w:eastAsia="Times New Roman" w:hAnsi="Times New Roman" w:cs="Times New Roman"/>
          <w:color w:val="000000"/>
          <w:sz w:val="24"/>
          <w:szCs w:val="24"/>
        </w:rPr>
        <w:t xml:space="preserve"> really long, so it's very hard work and you just have to try to do it as soon as possible.</w:t>
      </w:r>
    </w:p>
    <w:p w14:paraId="0000005B"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Many employers highlighted the rising value of hiring workers with 'essential and assessment skills,' such as in manufacturing, where insufficient data sets meant that safety risks needed to be evaluated. Training and operation of the evaluation center to fulfill those criteria have again been planned.</w:t>
      </w:r>
    </w:p>
    <w:p w14:paraId="0000005C" w14:textId="77777777" w:rsidR="00D53B31" w:rsidRDefault="009D567F">
      <w:pPr>
        <w:pStyle w:val="Heading2"/>
        <w:numPr>
          <w:ilvl w:val="1"/>
          <w:numId w:val="4"/>
        </w:numPr>
      </w:pPr>
      <w:bookmarkStart w:id="3" w:name="_3znysh7" w:colFirst="0" w:colLast="0"/>
      <w:bookmarkEnd w:id="3"/>
      <w:r>
        <w:t xml:space="preserve">list of ways employability skills </w:t>
      </w:r>
    </w:p>
    <w:p w14:paraId="0000005D" w14:textId="77777777" w:rsidR="00D53B31" w:rsidRDefault="009D567F">
      <w:pPr>
        <w:pStyle w:val="Heading3"/>
        <w:numPr>
          <w:ilvl w:val="2"/>
          <w:numId w:val="4"/>
        </w:numPr>
      </w:pPr>
      <w:bookmarkStart w:id="4" w:name="_2et92p0" w:colFirst="0" w:colLast="0"/>
      <w:bookmarkEnd w:id="4"/>
      <w:r>
        <w:t xml:space="preserve">Teamwork Skills </w:t>
      </w:r>
    </w:p>
    <w:p w14:paraId="0000005E"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develop your employability skills, you will be able to show that you are not only able to work best on your own but also as a squad. It is vital for many businesses to partner with others to ensure you can get on as a team. You can show excellent listening abilities, listen skills and perform different positions within a team by improving the leadership skills.</w:t>
      </w:r>
    </w:p>
    <w:p w14:paraId="0000005F" w14:textId="77777777" w:rsidR="00D53B31" w:rsidRDefault="009D567F">
      <w:pPr>
        <w:pStyle w:val="Heading3"/>
        <w:numPr>
          <w:ilvl w:val="2"/>
          <w:numId w:val="4"/>
        </w:numPr>
      </w:pPr>
      <w:bookmarkStart w:id="5" w:name="_tyjcwt" w:colFirst="0" w:colLast="0"/>
      <w:bookmarkEnd w:id="5"/>
      <w:r>
        <w:t xml:space="preserve">Problem Solving Skills </w:t>
      </w:r>
    </w:p>
    <w:p w14:paraId="00000060"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Most businesses expect that you can fix problems when doing research. Through improving your problem-solving capabilities, you can show managers that you can work on your own and that you can display commitment to ensure that the assignments you have been assigned are accomplished on time.</w:t>
      </w:r>
    </w:p>
    <w:p w14:paraId="00000061" w14:textId="77777777" w:rsidR="00D53B31" w:rsidRDefault="009D567F">
      <w:pPr>
        <w:pStyle w:val="Heading3"/>
        <w:numPr>
          <w:ilvl w:val="2"/>
          <w:numId w:val="4"/>
        </w:numPr>
      </w:pPr>
      <w:bookmarkStart w:id="6" w:name="_3dy6vkm" w:colFirst="0" w:colLast="0"/>
      <w:bookmarkEnd w:id="6"/>
      <w:r>
        <w:t>Planning and organizations</w:t>
      </w:r>
    </w:p>
    <w:p w14:paraId="00000062" w14:textId="77777777" w:rsidR="00D53B31" w:rsidRDefault="009D567F">
      <w:pPr>
        <w:pBdr>
          <w:top w:val="nil"/>
          <w:left w:val="nil"/>
          <w:bottom w:val="nil"/>
          <w:right w:val="nil"/>
          <w:between w:val="nil"/>
        </w:pBdr>
        <w:spacing w:line="36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You may develop your employability skills by arranging and coordinating activities. That is because a lot of activities need to be planned in several businesses. That can be a challenging thing and so </w:t>
      </w:r>
      <w:proofErr w:type="gramStart"/>
      <w:r>
        <w:rPr>
          <w:rFonts w:ascii="Times New Roman" w:eastAsia="Times New Roman" w:hAnsi="Times New Roman" w:cs="Times New Roman"/>
          <w:color w:val="000000"/>
          <w:sz w:val="24"/>
          <w:szCs w:val="24"/>
        </w:rPr>
        <w:t>it's</w:t>
      </w:r>
      <w:proofErr w:type="gramEnd"/>
      <w:r>
        <w:rPr>
          <w:rFonts w:ascii="Times New Roman" w:eastAsia="Times New Roman" w:hAnsi="Times New Roman" w:cs="Times New Roman"/>
          <w:color w:val="000000"/>
          <w:sz w:val="24"/>
          <w:szCs w:val="24"/>
        </w:rPr>
        <w:t xml:space="preserve"> amazing. Corporate skills reflect that managers are committed to doing their work to the finish. This is also a test of </w:t>
      </w:r>
      <w:proofErr w:type="gramStart"/>
      <w:r>
        <w:rPr>
          <w:rFonts w:ascii="Times New Roman" w:eastAsia="Times New Roman" w:hAnsi="Times New Roman" w:cs="Times New Roman"/>
          <w:color w:val="000000"/>
          <w:sz w:val="24"/>
          <w:szCs w:val="24"/>
        </w:rPr>
        <w:t>competence, because</w:t>
      </w:r>
      <w:proofErr w:type="gramEnd"/>
      <w:r>
        <w:rPr>
          <w:rFonts w:ascii="Times New Roman" w:eastAsia="Times New Roman" w:hAnsi="Times New Roman" w:cs="Times New Roman"/>
          <w:color w:val="000000"/>
          <w:sz w:val="24"/>
          <w:szCs w:val="24"/>
        </w:rPr>
        <w:t xml:space="preserve"> you ought to ensure that you are able to provide specific orders and think critically.</w:t>
      </w:r>
    </w:p>
    <w:p w14:paraId="00000063" w14:textId="77777777" w:rsidR="00D53B31" w:rsidRDefault="009D567F">
      <w:pPr>
        <w:pStyle w:val="Heading3"/>
        <w:numPr>
          <w:ilvl w:val="2"/>
          <w:numId w:val="4"/>
        </w:numPr>
      </w:pPr>
      <w:bookmarkStart w:id="7" w:name="_1t3h5sf" w:colFirst="0" w:colLast="0"/>
      <w:bookmarkEnd w:id="7"/>
      <w:r>
        <w:t>Taking up new hobbies</w:t>
      </w:r>
    </w:p>
    <w:p w14:paraId="00000064" w14:textId="77777777" w:rsidR="00D53B31" w:rsidRDefault="009D567F">
      <w:pPr>
        <w:pBdr>
          <w:top w:val="nil"/>
          <w:left w:val="nil"/>
          <w:bottom w:val="nil"/>
          <w:right w:val="nil"/>
          <w:between w:val="nil"/>
        </w:pBdr>
        <w:spacing w:line="360" w:lineRule="auto"/>
        <w:ind w:firstLine="57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New activities reflect the dedication and the engagement of employers that will become evident through your work. Once you start a new hobby, employers will demonstrate that you are able to gain a new experience and offer up more spare time to do something useful. During work interviews, what you want to do in your spare time will also be questioned. Talking about your </w:t>
      </w:r>
      <w:r>
        <w:rPr>
          <w:rFonts w:ascii="Times New Roman" w:eastAsia="Times New Roman" w:hAnsi="Times New Roman" w:cs="Times New Roman"/>
          <w:color w:val="000000"/>
          <w:sz w:val="24"/>
          <w:szCs w:val="24"/>
        </w:rPr>
        <w:lastRenderedPageBreak/>
        <w:t xml:space="preserve">interests and ideas of them can be a wonderful source of discussion and can allow you to communicate more easily to the person who is interviewing you. </w:t>
      </w:r>
    </w:p>
    <w:p w14:paraId="00000065" w14:textId="77777777" w:rsidR="00D53B31" w:rsidRDefault="00D53B3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66" w14:textId="77777777" w:rsidR="00D53B31" w:rsidRDefault="009D567F">
      <w:pPr>
        <w:pStyle w:val="Heading2"/>
        <w:numPr>
          <w:ilvl w:val="1"/>
          <w:numId w:val="4"/>
        </w:numPr>
      </w:pPr>
      <w:bookmarkStart w:id="8" w:name="_4d34og8" w:colFirst="0" w:colLast="0"/>
      <w:bookmarkEnd w:id="8"/>
      <w:r>
        <w:t>Conclusion</w:t>
      </w:r>
    </w:p>
    <w:p w14:paraId="00000067" w14:textId="77777777" w:rsidR="00D53B31" w:rsidRDefault="009D567F">
      <w:pPr>
        <w:pBdr>
          <w:top w:val="nil"/>
          <w:left w:val="nil"/>
          <w:bottom w:val="nil"/>
          <w:right w:val="nil"/>
          <w:between w:val="nil"/>
        </w:pBdr>
        <w:spacing w:line="360" w:lineRule="auto"/>
        <w:ind w:firstLine="57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Although the ranking for employability variations remain, it is widely understood what attributes, features, talents and experience in general and for graduates </w:t>
      </w:r>
      <w:proofErr w:type="gramStart"/>
      <w:r>
        <w:rPr>
          <w:rFonts w:ascii="Times New Roman" w:eastAsia="Times New Roman" w:hAnsi="Times New Roman" w:cs="Times New Roman"/>
          <w:color w:val="000000"/>
          <w:sz w:val="24"/>
          <w:szCs w:val="24"/>
        </w:rPr>
        <w:t>in particular represent</w:t>
      </w:r>
      <w:proofErr w:type="gramEnd"/>
      <w:r>
        <w:rPr>
          <w:rFonts w:ascii="Times New Roman" w:eastAsia="Times New Roman" w:hAnsi="Times New Roman" w:cs="Times New Roman"/>
          <w:color w:val="000000"/>
          <w:sz w:val="24"/>
          <w:szCs w:val="24"/>
        </w:rPr>
        <w:t xml:space="preserve"> employability. Employers expect graduates from their degrees to have professional and disciplinary competencies, but need graduates to show their different competencies and qualities including coordination, collaboration, leadership, analytical reasoning, troubleshooting and also management skills and ability Specific definitions are arguably less significant than accepted strategies which promote transferable skills and features to allow graduates to find adequate jobs, to improve their work and thus to contribute to the success of their organizations and society.</w:t>
      </w:r>
    </w:p>
    <w:p w14:paraId="00000068" w14:textId="77777777" w:rsidR="00D53B31" w:rsidRDefault="009D567F">
      <w:pPr>
        <w:pStyle w:val="Heading2"/>
        <w:numPr>
          <w:ilvl w:val="1"/>
          <w:numId w:val="4"/>
        </w:numPr>
      </w:pPr>
      <w:bookmarkStart w:id="9" w:name="_2s8eyo1" w:colFirst="0" w:colLast="0"/>
      <w:bookmarkEnd w:id="9"/>
      <w:r>
        <w:t xml:space="preserve">Recommendation </w:t>
      </w:r>
    </w:p>
    <w:p w14:paraId="00000069" w14:textId="77777777" w:rsidR="00D53B31" w:rsidRDefault="009D567F">
      <w:pPr>
        <w:pBdr>
          <w:top w:val="nil"/>
          <w:left w:val="nil"/>
          <w:bottom w:val="nil"/>
          <w:right w:val="nil"/>
          <w:between w:val="nil"/>
        </w:pBdr>
        <w:spacing w:line="360" w:lineRule="auto"/>
        <w:ind w:firstLine="57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Government will recognize aspects in which employability skills and qualities are expressed and encouraged in funding structures such as the Study Excellence Process (REF). Until now, funding mechanisms have not put employability at the forefront of the strategy and strategic planning of </w:t>
      </w:r>
      <w:proofErr w:type="gramStart"/>
      <w:r>
        <w:rPr>
          <w:rFonts w:ascii="Times New Roman" w:eastAsia="Times New Roman" w:hAnsi="Times New Roman" w:cs="Times New Roman"/>
          <w:color w:val="000000"/>
          <w:sz w:val="24"/>
          <w:szCs w:val="24"/>
        </w:rPr>
        <w:t>universities</w:t>
      </w:r>
      <w:proofErr w:type="gramEnd"/>
      <w:r>
        <w:rPr>
          <w:rFonts w:ascii="Times New Roman" w:eastAsia="Times New Roman" w:hAnsi="Times New Roman" w:cs="Times New Roman"/>
          <w:color w:val="000000"/>
          <w:sz w:val="24"/>
          <w:szCs w:val="24"/>
        </w:rPr>
        <w:t xml:space="preserve"> and this seems to have definitely affected their behavior. </w:t>
      </w:r>
    </w:p>
    <w:p w14:paraId="0000006A" w14:textId="77777777" w:rsidR="00D53B31" w:rsidRDefault="009D567F">
      <w:pPr>
        <w:pBdr>
          <w:top w:val="nil"/>
          <w:left w:val="nil"/>
          <w:bottom w:val="nil"/>
          <w:right w:val="nil"/>
          <w:between w:val="nil"/>
        </w:pBdr>
        <w:spacing w:line="360" w:lineRule="auto"/>
        <w:ind w:firstLine="576"/>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Funding sources will promote an internal climate that respects workplace skills. Part of the profile of REF in 2013 is anticipated to represent the demonstrable economic, financial, public policy, cultural and quality of life benefits of analysis. Perhaps this could be balanced by a counter calculation of the demonstrated results of the actions by HEIs to improve the employability of graduates. Within the strategic and professional / departmental level preparation for HEIs it will require improving academic employability skills and qualities. Throughout their mission objectives, learning and educational strategies, course structure, planning plans and realistic advice, universities should encourage employability skills and attributes</w:t>
      </w:r>
    </w:p>
    <w:p w14:paraId="0000006B" w14:textId="77777777" w:rsidR="00D53B31" w:rsidRDefault="00D53B31">
      <w:pPr>
        <w:pBdr>
          <w:top w:val="nil"/>
          <w:left w:val="nil"/>
          <w:bottom w:val="nil"/>
          <w:right w:val="nil"/>
          <w:between w:val="nil"/>
        </w:pBdr>
        <w:spacing w:line="360" w:lineRule="auto"/>
        <w:ind w:firstLine="576"/>
        <w:jc w:val="both"/>
        <w:rPr>
          <w:rFonts w:ascii="Times New Roman" w:eastAsia="Times New Roman" w:hAnsi="Times New Roman" w:cs="Times New Roman"/>
          <w:color w:val="000000"/>
          <w:sz w:val="24"/>
          <w:szCs w:val="24"/>
        </w:rPr>
      </w:pPr>
    </w:p>
    <w:p w14:paraId="0000006C" w14:textId="77777777" w:rsidR="00D53B31" w:rsidRDefault="00D53B31">
      <w:pPr>
        <w:pBdr>
          <w:top w:val="nil"/>
          <w:left w:val="nil"/>
          <w:bottom w:val="nil"/>
          <w:right w:val="nil"/>
          <w:between w:val="nil"/>
        </w:pBdr>
        <w:spacing w:line="360" w:lineRule="auto"/>
        <w:ind w:firstLine="576"/>
        <w:jc w:val="both"/>
        <w:rPr>
          <w:rFonts w:ascii="Times New Roman" w:eastAsia="Times New Roman" w:hAnsi="Times New Roman" w:cs="Times New Roman"/>
          <w:color w:val="000000"/>
          <w:sz w:val="24"/>
          <w:szCs w:val="24"/>
        </w:rPr>
      </w:pPr>
    </w:p>
    <w:p w14:paraId="0000006D" w14:textId="77777777" w:rsidR="00D53B31" w:rsidRDefault="00D53B31">
      <w:pPr>
        <w:pBdr>
          <w:top w:val="nil"/>
          <w:left w:val="nil"/>
          <w:bottom w:val="nil"/>
          <w:right w:val="nil"/>
          <w:between w:val="nil"/>
        </w:pBdr>
        <w:spacing w:line="360" w:lineRule="auto"/>
        <w:ind w:firstLine="576"/>
        <w:jc w:val="both"/>
        <w:rPr>
          <w:rFonts w:ascii="Times New Roman" w:eastAsia="Times New Roman" w:hAnsi="Times New Roman" w:cs="Times New Roman"/>
          <w:color w:val="000000"/>
          <w:sz w:val="24"/>
          <w:szCs w:val="24"/>
        </w:rPr>
      </w:pPr>
    </w:p>
    <w:p w14:paraId="0000006E" w14:textId="77777777" w:rsidR="00D53B31" w:rsidRDefault="00D53B31">
      <w:pPr>
        <w:pBdr>
          <w:top w:val="nil"/>
          <w:left w:val="nil"/>
          <w:bottom w:val="nil"/>
          <w:right w:val="nil"/>
          <w:between w:val="nil"/>
        </w:pBdr>
        <w:spacing w:line="360" w:lineRule="auto"/>
        <w:ind w:firstLine="576"/>
        <w:jc w:val="both"/>
        <w:rPr>
          <w:rFonts w:ascii="Times New Roman" w:eastAsia="Times New Roman" w:hAnsi="Times New Roman" w:cs="Times New Roman"/>
          <w:color w:val="000000"/>
          <w:sz w:val="24"/>
          <w:szCs w:val="24"/>
        </w:rPr>
      </w:pPr>
    </w:p>
    <w:p w14:paraId="0000006F" w14:textId="77777777" w:rsidR="00D53B31" w:rsidRDefault="009D567F">
      <w:pPr>
        <w:pStyle w:val="Heading1"/>
        <w:numPr>
          <w:ilvl w:val="0"/>
          <w:numId w:val="4"/>
        </w:numPr>
      </w:pPr>
      <w:bookmarkStart w:id="10" w:name="_17dp8vu" w:colFirst="0" w:colLast="0"/>
      <w:bookmarkEnd w:id="10"/>
      <w:r>
        <w:t>References</w:t>
      </w:r>
    </w:p>
    <w:p w14:paraId="00000070" w14:textId="77777777" w:rsidR="00D53B31" w:rsidRDefault="009D567F">
      <w:pPr>
        <w:numPr>
          <w:ilvl w:val="0"/>
          <w:numId w:val="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Indeed.com. 2020. [online] Available at: &lt;https://www.indeed.com/career-advice/finding-a-job/employability-skills&gt; [Accessed 5 August 2020].</w:t>
      </w:r>
    </w:p>
    <w:p w14:paraId="00000071" w14:textId="77777777" w:rsidR="00D53B31" w:rsidRDefault="009D567F">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Griffin, M. and </w:t>
      </w:r>
      <w:proofErr w:type="spellStart"/>
      <w:r>
        <w:rPr>
          <w:rFonts w:ascii="Times New Roman" w:eastAsia="Times New Roman" w:hAnsi="Times New Roman" w:cs="Times New Roman"/>
          <w:color w:val="000000"/>
          <w:sz w:val="24"/>
          <w:szCs w:val="24"/>
        </w:rPr>
        <w:t>Annulis</w:t>
      </w:r>
      <w:proofErr w:type="spellEnd"/>
      <w:r>
        <w:rPr>
          <w:rFonts w:ascii="Times New Roman" w:eastAsia="Times New Roman" w:hAnsi="Times New Roman" w:cs="Times New Roman"/>
          <w:color w:val="000000"/>
          <w:sz w:val="24"/>
          <w:szCs w:val="24"/>
        </w:rPr>
        <w:t>, H., 2013. Employability skills in practice: the case of manufacturing education in Mississippi. International Journal of Training and Development, 17(3), pp.221-232.</w:t>
      </w:r>
    </w:p>
    <w:p w14:paraId="00000072" w14:textId="77777777" w:rsidR="00D53B31" w:rsidRDefault="00D53B31">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p>
    <w:p w14:paraId="00000073" w14:textId="77777777" w:rsidR="00D53B31" w:rsidRDefault="009D567F">
      <w:pPr>
        <w:numPr>
          <w:ilvl w:val="0"/>
          <w:numId w:val="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Careerwise.minnstate.edu. 2020. Employability Skills | Minnesota State Career wise. [online] Available at: &lt;https://careerwise.minnstate.edu/careers/employability-skills.html&gt; [Accessed 7 August 2020].</w:t>
      </w:r>
    </w:p>
    <w:p w14:paraId="00000074" w14:textId="77777777" w:rsidR="00D53B31" w:rsidRDefault="009D567F">
      <w:pPr>
        <w:numPr>
          <w:ilvl w:val="0"/>
          <w:numId w:val="1"/>
        </w:num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The Balance Careers. 2020. Important Employability Skills for Workplace Success. [online] Available at: &lt;https://www.thebalancecareers.com/employability-skills-list-and-examples-4143571&gt; [Accessed 7 August 2020].</w:t>
      </w:r>
    </w:p>
    <w:p w14:paraId="00000075" w14:textId="77777777" w:rsidR="00D53B31" w:rsidRDefault="009D567F">
      <w:pPr>
        <w:numPr>
          <w:ilvl w:val="0"/>
          <w:numId w:val="1"/>
        </w:numPr>
        <w:pBdr>
          <w:top w:val="nil"/>
          <w:left w:val="nil"/>
          <w:bottom w:val="nil"/>
          <w:right w:val="nil"/>
          <w:between w:val="nil"/>
        </w:pBdr>
        <w:spacing w:line="360" w:lineRule="auto"/>
        <w:jc w:val="both"/>
        <w:rPr>
          <w:color w:val="000000"/>
          <w:sz w:val="24"/>
          <w:szCs w:val="24"/>
        </w:rPr>
      </w:pPr>
      <w:proofErr w:type="spellStart"/>
      <w:r>
        <w:rPr>
          <w:rFonts w:ascii="Times New Roman" w:eastAsia="Times New Roman" w:hAnsi="Times New Roman" w:cs="Times New Roman"/>
          <w:color w:val="000000"/>
          <w:sz w:val="24"/>
          <w:szCs w:val="24"/>
        </w:rPr>
        <w:t>Haasler</w:t>
      </w:r>
      <w:proofErr w:type="spellEnd"/>
      <w:r>
        <w:rPr>
          <w:rFonts w:ascii="Times New Roman" w:eastAsia="Times New Roman" w:hAnsi="Times New Roman" w:cs="Times New Roman"/>
          <w:color w:val="000000"/>
          <w:sz w:val="24"/>
          <w:szCs w:val="24"/>
        </w:rPr>
        <w:t>, S., 2013. Employability skills and the notion of ‘self’. International Journal of Training and Development, 17(3), pp.233-243.</w:t>
      </w:r>
    </w:p>
    <w:p w14:paraId="00000076" w14:textId="77777777" w:rsidR="00D53B31" w:rsidRDefault="009D567F">
      <w:pPr>
        <w:numPr>
          <w:ilvl w:val="0"/>
          <w:numId w:val="1"/>
        </w:numPr>
        <w:pBdr>
          <w:top w:val="nil"/>
          <w:left w:val="nil"/>
          <w:bottom w:val="nil"/>
          <w:right w:val="nil"/>
          <w:between w:val="nil"/>
        </w:pBdr>
        <w:spacing w:line="360" w:lineRule="auto"/>
        <w:jc w:val="both"/>
        <w:rPr>
          <w:color w:val="000000"/>
          <w:sz w:val="24"/>
          <w:szCs w:val="24"/>
        </w:rPr>
      </w:pPr>
      <w:proofErr w:type="spellStart"/>
      <w:r>
        <w:rPr>
          <w:rFonts w:ascii="Times New Roman" w:eastAsia="Times New Roman" w:hAnsi="Times New Roman" w:cs="Times New Roman"/>
          <w:color w:val="000000"/>
          <w:sz w:val="24"/>
          <w:szCs w:val="24"/>
        </w:rPr>
        <w:t>Hendrawan</w:t>
      </w:r>
      <w:proofErr w:type="spellEnd"/>
      <w:r>
        <w:rPr>
          <w:rFonts w:ascii="Times New Roman" w:eastAsia="Times New Roman" w:hAnsi="Times New Roman" w:cs="Times New Roman"/>
          <w:color w:val="000000"/>
          <w:sz w:val="24"/>
          <w:szCs w:val="24"/>
        </w:rPr>
        <w:t xml:space="preserve">, R. and </w:t>
      </w:r>
      <w:proofErr w:type="spellStart"/>
      <w:r>
        <w:rPr>
          <w:rFonts w:ascii="Times New Roman" w:eastAsia="Times New Roman" w:hAnsi="Times New Roman" w:cs="Times New Roman"/>
          <w:color w:val="000000"/>
          <w:sz w:val="24"/>
          <w:szCs w:val="24"/>
        </w:rPr>
        <w:t>Daryanto</w:t>
      </w:r>
      <w:proofErr w:type="spellEnd"/>
      <w:r>
        <w:rPr>
          <w:rFonts w:ascii="Times New Roman" w:eastAsia="Times New Roman" w:hAnsi="Times New Roman" w:cs="Times New Roman"/>
          <w:color w:val="000000"/>
          <w:sz w:val="24"/>
          <w:szCs w:val="24"/>
        </w:rPr>
        <w:t>, D., 2019. Employability skills: Industry perspective and achievement of student of employability skills. Journal of Physics: Conference Series, 1402, p.022049.</w:t>
      </w:r>
    </w:p>
    <w:p w14:paraId="00000077" w14:textId="77777777" w:rsidR="00D53B31" w:rsidRDefault="009D567F">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Carnegie, S., Done, J., McMillan, K., McMillan, K. and </w:t>
      </w:r>
      <w:proofErr w:type="spellStart"/>
      <w:r>
        <w:rPr>
          <w:rFonts w:ascii="Times New Roman" w:eastAsia="Times New Roman" w:hAnsi="Times New Roman" w:cs="Times New Roman"/>
          <w:color w:val="000000"/>
          <w:sz w:val="24"/>
          <w:szCs w:val="24"/>
        </w:rPr>
        <w:t>Trought</w:t>
      </w:r>
      <w:proofErr w:type="spellEnd"/>
      <w:r>
        <w:rPr>
          <w:rFonts w:ascii="Times New Roman" w:eastAsia="Times New Roman" w:hAnsi="Times New Roman" w:cs="Times New Roman"/>
          <w:color w:val="000000"/>
          <w:sz w:val="24"/>
          <w:szCs w:val="24"/>
        </w:rPr>
        <w:t>, F., n.d. Developing Your Skills.</w:t>
      </w:r>
    </w:p>
    <w:p w14:paraId="00000078" w14:textId="77777777" w:rsidR="00D53B31" w:rsidRDefault="009D567F">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Larsen, C., Rand, S., Schmid, A. and Dean, A., 2018. Developing Skills </w:t>
      </w:r>
      <w:proofErr w:type="gramStart"/>
      <w:r>
        <w:rPr>
          <w:rFonts w:ascii="Times New Roman" w:eastAsia="Times New Roman" w:hAnsi="Times New Roman" w:cs="Times New Roman"/>
          <w:color w:val="000000"/>
          <w:sz w:val="24"/>
          <w:szCs w:val="24"/>
        </w:rPr>
        <w:t>In</w:t>
      </w:r>
      <w:proofErr w:type="gramEnd"/>
      <w:r>
        <w:rPr>
          <w:rFonts w:ascii="Times New Roman" w:eastAsia="Times New Roman" w:hAnsi="Times New Roman" w:cs="Times New Roman"/>
          <w:color w:val="000000"/>
          <w:sz w:val="24"/>
          <w:szCs w:val="24"/>
        </w:rPr>
        <w:t xml:space="preserve"> A Changing World Of Work. Augsburg: Rainer </w:t>
      </w:r>
      <w:proofErr w:type="spellStart"/>
      <w:r>
        <w:rPr>
          <w:rFonts w:ascii="Times New Roman" w:eastAsia="Times New Roman" w:hAnsi="Times New Roman" w:cs="Times New Roman"/>
          <w:color w:val="000000"/>
          <w:sz w:val="24"/>
          <w:szCs w:val="24"/>
        </w:rPr>
        <w:t>Hampp</w:t>
      </w:r>
      <w:proofErr w:type="spellEnd"/>
      <w:r>
        <w:rPr>
          <w:rFonts w:ascii="Times New Roman" w:eastAsia="Times New Roman" w:hAnsi="Times New Roman" w:cs="Times New Roman"/>
          <w:color w:val="000000"/>
          <w:sz w:val="24"/>
          <w:szCs w:val="24"/>
        </w:rPr>
        <w:t xml:space="preserve"> Verlag.</w:t>
      </w:r>
    </w:p>
    <w:p w14:paraId="00000079" w14:textId="77777777" w:rsidR="00D53B31" w:rsidRDefault="00D53B31"/>
    <w:p w14:paraId="0000007A" w14:textId="77777777" w:rsidR="00D53B31" w:rsidRDefault="00D53B31">
      <w:pPr>
        <w:pStyle w:val="Heading2"/>
      </w:pPr>
    </w:p>
    <w:sectPr w:rsidR="00D53B31">
      <w:footerReference w:type="default" r:id="rId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B7E83" w14:textId="77777777" w:rsidR="009D567F" w:rsidRDefault="009D567F" w:rsidP="008D7F70">
      <w:pPr>
        <w:spacing w:after="0" w:line="240" w:lineRule="auto"/>
      </w:pPr>
      <w:r>
        <w:separator/>
      </w:r>
    </w:p>
  </w:endnote>
  <w:endnote w:type="continuationSeparator" w:id="0">
    <w:p w14:paraId="649B04AA" w14:textId="77777777" w:rsidR="009D567F" w:rsidRDefault="009D567F" w:rsidP="008D7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ldhabi">
    <w:altName w:val="Aldhabi"/>
    <w:charset w:val="B2"/>
    <w:family w:val="auto"/>
    <w:pitch w:val="variable"/>
    <w:sig w:usb0="80002007" w:usb1="80000000" w:usb2="00000008" w:usb3="00000000" w:csb0="0000004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2146225"/>
      <w:docPartObj>
        <w:docPartGallery w:val="Page Numbers (Bottom of Page)"/>
        <w:docPartUnique/>
      </w:docPartObj>
    </w:sdtPr>
    <w:sdtEndPr>
      <w:rPr>
        <w:noProof/>
      </w:rPr>
    </w:sdtEndPr>
    <w:sdtContent>
      <w:p w14:paraId="1EC42F98" w14:textId="4F5AC3DD" w:rsidR="008D7F70" w:rsidRDefault="008D7F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1CE0B6" w14:textId="77777777" w:rsidR="008D7F70" w:rsidRDefault="008D7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E0AAF1" w14:textId="77777777" w:rsidR="009D567F" w:rsidRDefault="009D567F" w:rsidP="008D7F70">
      <w:pPr>
        <w:spacing w:after="0" w:line="240" w:lineRule="auto"/>
      </w:pPr>
      <w:r>
        <w:separator/>
      </w:r>
    </w:p>
  </w:footnote>
  <w:footnote w:type="continuationSeparator" w:id="0">
    <w:p w14:paraId="6741137F" w14:textId="77777777" w:rsidR="009D567F" w:rsidRDefault="009D567F" w:rsidP="008D7F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02734F"/>
    <w:multiLevelType w:val="multilevel"/>
    <w:tmpl w:val="F364FD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F621089"/>
    <w:multiLevelType w:val="multilevel"/>
    <w:tmpl w:val="231892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793332E"/>
    <w:multiLevelType w:val="multilevel"/>
    <w:tmpl w:val="6784974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32367B5"/>
    <w:multiLevelType w:val="multilevel"/>
    <w:tmpl w:val="9000D8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3E26BE2"/>
    <w:multiLevelType w:val="multilevel"/>
    <w:tmpl w:val="FCC221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B31"/>
    <w:rsid w:val="001A5F8D"/>
    <w:rsid w:val="008D7F70"/>
    <w:rsid w:val="009D567F"/>
    <w:rsid w:val="00D53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DE543"/>
  <w15:docId w15:val="{5E17B67E-CC07-4A26-90A9-6D58CEBBF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ind w:left="432" w:hanging="432"/>
      <w:jc w:val="both"/>
      <w:outlineLvl w:val="0"/>
    </w:pPr>
    <w:rPr>
      <w:rFonts w:ascii="Times New Roman" w:eastAsia="Times New Roman" w:hAnsi="Times New Roman" w:cs="Times New Roman"/>
      <w:b/>
      <w:color w:val="000000"/>
      <w:sz w:val="32"/>
      <w:szCs w:val="32"/>
    </w:rPr>
  </w:style>
  <w:style w:type="paragraph" w:styleId="Heading2">
    <w:name w:val="heading 2"/>
    <w:basedOn w:val="Normal"/>
    <w:next w:val="Normal"/>
    <w:uiPriority w:val="9"/>
    <w:unhideWhenUsed/>
    <w:qFormat/>
    <w:pPr>
      <w:keepNext/>
      <w:keepLines/>
      <w:spacing w:before="40" w:after="0" w:line="360" w:lineRule="auto"/>
      <w:ind w:left="576" w:hanging="576"/>
      <w:outlineLvl w:val="1"/>
    </w:pPr>
    <w:rPr>
      <w:rFonts w:ascii="Times New Roman" w:eastAsia="Times New Roman" w:hAnsi="Times New Roman" w:cs="Times New Roman"/>
      <w:b/>
      <w:color w:val="000000"/>
      <w:sz w:val="28"/>
      <w:szCs w:val="28"/>
    </w:rPr>
  </w:style>
  <w:style w:type="paragraph" w:styleId="Heading3">
    <w:name w:val="heading 3"/>
    <w:basedOn w:val="Normal"/>
    <w:next w:val="Normal"/>
    <w:uiPriority w:val="9"/>
    <w:unhideWhenUsed/>
    <w:qFormat/>
    <w:pPr>
      <w:keepNext/>
      <w:keepLines/>
      <w:spacing w:before="40" w:after="0" w:line="360" w:lineRule="auto"/>
      <w:ind w:left="720" w:hanging="720"/>
      <w:outlineLvl w:val="2"/>
    </w:pPr>
    <w:rPr>
      <w:rFonts w:ascii="Times New Roman" w:eastAsia="Times New Roman" w:hAnsi="Times New Roman" w:cs="Times New Roman"/>
      <w:b/>
      <w:color w:val="000000"/>
      <w:sz w:val="24"/>
      <w:szCs w:val="24"/>
    </w:rPr>
  </w:style>
  <w:style w:type="paragraph" w:styleId="Heading4">
    <w:name w:val="heading 4"/>
    <w:basedOn w:val="Normal"/>
    <w:next w:val="Normal"/>
    <w:uiPriority w:val="9"/>
    <w:semiHidden/>
    <w:unhideWhenUsed/>
    <w:qFormat/>
    <w:pPr>
      <w:keepNext/>
      <w:keepLines/>
      <w:spacing w:before="40" w:after="0"/>
      <w:ind w:left="864" w:hanging="864"/>
      <w:outlineLvl w:val="3"/>
    </w:pPr>
    <w:rPr>
      <w:i/>
      <w:color w:val="2F5496"/>
    </w:rPr>
  </w:style>
  <w:style w:type="paragraph" w:styleId="Heading5">
    <w:name w:val="heading 5"/>
    <w:basedOn w:val="Normal"/>
    <w:next w:val="Normal"/>
    <w:uiPriority w:val="9"/>
    <w:semiHidden/>
    <w:unhideWhenUsed/>
    <w:qFormat/>
    <w:pPr>
      <w:keepNext/>
      <w:keepLines/>
      <w:spacing w:before="40" w:after="0"/>
      <w:ind w:left="1008" w:hanging="1008"/>
      <w:outlineLvl w:val="4"/>
    </w:pPr>
    <w:rPr>
      <w:color w:val="2F5496"/>
    </w:rPr>
  </w:style>
  <w:style w:type="paragraph" w:styleId="Heading6">
    <w:name w:val="heading 6"/>
    <w:basedOn w:val="Normal"/>
    <w:next w:val="Normal"/>
    <w:uiPriority w:val="9"/>
    <w:semiHidden/>
    <w:unhideWhenUsed/>
    <w:qFormat/>
    <w:pPr>
      <w:keepNext/>
      <w:keepLines/>
      <w:spacing w:before="40" w:after="0"/>
      <w:ind w:left="1152" w:hanging="1152"/>
      <w:outlineLvl w:val="5"/>
    </w:pPr>
    <w:rPr>
      <w:color w:val="1F38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8D7F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F70"/>
  </w:style>
  <w:style w:type="paragraph" w:styleId="Footer">
    <w:name w:val="footer"/>
    <w:basedOn w:val="Normal"/>
    <w:link w:val="FooterChar"/>
    <w:uiPriority w:val="99"/>
    <w:unhideWhenUsed/>
    <w:rsid w:val="008D7F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F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10</Pages>
  <Words>2508</Words>
  <Characters>14298</Characters>
  <Application>Microsoft Office Word</Application>
  <DocSecurity>0</DocSecurity>
  <Lines>119</Lines>
  <Paragraphs>33</Paragraphs>
  <ScaleCrop>false</ScaleCrop>
  <Company/>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Maria</cp:lastModifiedBy>
  <cp:revision>3</cp:revision>
  <dcterms:created xsi:type="dcterms:W3CDTF">2020-08-19T20:15:00Z</dcterms:created>
  <dcterms:modified xsi:type="dcterms:W3CDTF">2020-08-20T18:23:00Z</dcterms:modified>
</cp:coreProperties>
</file>