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773ACF6" w14:textId="77777777" w:rsidR="0086599B" w:rsidRDefault="00803C8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Abul </w:t>
            </w:r>
            <w:proofErr w:type="spellStart"/>
            <w:r>
              <w:rPr>
                <w:rFonts w:ascii="Arial" w:eastAsia="Times New Roman" w:hAnsi="Arial" w:cs="Times New Roman"/>
                <w:b/>
                <w:color w:val="auto"/>
                <w:sz w:val="20"/>
                <w:szCs w:val="20"/>
                <w:lang w:val="en-AU"/>
              </w:rPr>
              <w:t>Fozol</w:t>
            </w:r>
            <w:proofErr w:type="spellEnd"/>
            <w:r>
              <w:rPr>
                <w:rFonts w:ascii="Arial" w:eastAsia="Times New Roman" w:hAnsi="Arial" w:cs="Times New Roman"/>
                <w:b/>
                <w:color w:val="auto"/>
                <w:sz w:val="20"/>
                <w:szCs w:val="20"/>
                <w:lang w:val="en-AU"/>
              </w:rPr>
              <w:t xml:space="preserve"> Oliullah</w:t>
            </w:r>
          </w:p>
          <w:p w14:paraId="702169B4" w14:textId="6F094158" w:rsidR="00803C8B" w:rsidRPr="00330917" w:rsidRDefault="00803C8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2226836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AF6F301" w:rsidR="0086599B" w:rsidRPr="00330917" w:rsidRDefault="00803C8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33BF74D" w:rsidR="0086599B" w:rsidRPr="00330917" w:rsidRDefault="00803C8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2DBBD02" w:rsidR="0086599B" w:rsidRPr="00330917" w:rsidRDefault="007E4A5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Giulia </w:t>
            </w:r>
            <w:proofErr w:type="spellStart"/>
            <w:r>
              <w:rPr>
                <w:rFonts w:ascii="Arial" w:eastAsia="Times New Roman" w:hAnsi="Arial" w:cs="Times New Roman"/>
                <w:b/>
                <w:color w:val="auto"/>
                <w:sz w:val="20"/>
                <w:szCs w:val="20"/>
                <w:lang w:val="en-AU"/>
              </w:rPr>
              <w:t>Chifari</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9FAD06F" w14:textId="66CF0F6E" w:rsidR="00803C8B" w:rsidRPr="00803C8B" w:rsidRDefault="00803C8B" w:rsidP="00803C8B">
            <w:pPr>
              <w:spacing w:after="0" w:line="240" w:lineRule="auto"/>
              <w:jc w:val="both"/>
              <w:rPr>
                <w:rFonts w:ascii="Arial" w:eastAsia="Times New Roman" w:hAnsi="Arial" w:cs="Times New Roman"/>
                <w:bCs/>
                <w:color w:val="auto"/>
                <w:sz w:val="20"/>
                <w:szCs w:val="20"/>
                <w14:ligatures w14:val="standardContextual"/>
              </w:rPr>
            </w:pPr>
            <w:r w:rsidRPr="00803C8B">
              <w:rPr>
                <w:rFonts w:ascii="Arial" w:hAnsi="Arial"/>
                <w14:ligatures w14:val="standardContextual"/>
              </w:rPr>
              <w:t>This is a reflective journal entry based on my placement experience at Premier Inn Hotel, Loughborough</w:t>
            </w:r>
            <w:r w:rsidR="007E4A58">
              <w:rPr>
                <w:rFonts w:ascii="Arial" w:hAnsi="Arial"/>
                <w14:ligatures w14:val="standardContextual"/>
              </w:rPr>
              <w:t>.</w:t>
            </w:r>
            <w:r w:rsidRPr="00803C8B">
              <w:rPr>
                <w:rFonts w:ascii="Arial" w:hAnsi="Arial"/>
                <w14:ligatures w14:val="standardContextual"/>
              </w:rPr>
              <w:t xml:space="preserve"> This reflection writing will be done following the Gibbs reflection model. This model provides six steps to complete a reflection along with guiding in developing an action plan (</w:t>
            </w:r>
            <w:proofErr w:type="spellStart"/>
            <w:r w:rsidRPr="00803C8B">
              <w:rPr>
                <w:rFonts w:ascii="Arial" w:hAnsi="Arial"/>
                <w14:ligatures w14:val="standardContextual"/>
              </w:rPr>
              <w:t>Adeani</w:t>
            </w:r>
            <w:proofErr w:type="spellEnd"/>
            <w:r w:rsidRPr="00803C8B">
              <w:rPr>
                <w:rFonts w:ascii="Arial" w:hAnsi="Arial"/>
                <w14:ligatures w14:val="standardContextual"/>
              </w:rPr>
              <w:t xml:space="preserve"> </w:t>
            </w:r>
            <w:r w:rsidRPr="00803C8B">
              <w:rPr>
                <w:rFonts w:ascii="Arial" w:hAnsi="Arial"/>
                <w:i/>
                <w:iCs/>
                <w14:ligatures w14:val="standardContextual"/>
              </w:rPr>
              <w:t>et al.,</w:t>
            </w:r>
            <w:r w:rsidRPr="00803C8B">
              <w:rPr>
                <w:rFonts w:ascii="Arial" w:hAnsi="Arial"/>
                <w14:ligatures w14:val="standardContextual"/>
              </w:rPr>
              <w:t xml:space="preserve"> 2020). </w:t>
            </w:r>
          </w:p>
          <w:p w14:paraId="561B1634" w14:textId="77777777" w:rsidR="00803C8B" w:rsidRPr="00803C8B" w:rsidRDefault="00803C8B" w:rsidP="00803C8B">
            <w:pPr>
              <w:keepNext/>
              <w:keepLines/>
              <w:spacing w:after="0" w:line="360" w:lineRule="auto"/>
              <w:jc w:val="both"/>
              <w:outlineLvl w:val="1"/>
              <w:rPr>
                <w:rFonts w:ascii="Arial" w:eastAsiaTheme="majorEastAsia" w:hAnsi="Arial" w:cstheme="majorBidi"/>
                <w:b/>
                <w:kern w:val="2"/>
                <w:szCs w:val="26"/>
                <w14:ligatures w14:val="standardContextual"/>
              </w:rPr>
            </w:pPr>
            <w:r w:rsidRPr="00803C8B">
              <w:rPr>
                <w:rFonts w:ascii="Arial" w:eastAsiaTheme="majorEastAsia" w:hAnsi="Arial" w:cstheme="majorBidi"/>
                <w:b/>
                <w:kern w:val="2"/>
                <w:szCs w:val="26"/>
                <w14:ligatures w14:val="standardContextual"/>
              </w:rPr>
              <w:t>Description of Tasks and Responsibilities</w:t>
            </w:r>
          </w:p>
          <w:p w14:paraId="682FA799" w14:textId="77777777" w:rsidR="00803C8B" w:rsidRPr="00803C8B" w:rsidRDefault="00803C8B" w:rsidP="00803C8B">
            <w:pPr>
              <w:spacing w:line="360" w:lineRule="auto"/>
              <w:jc w:val="both"/>
              <w:rPr>
                <w:rFonts w:ascii="Arial" w:hAnsi="Arial"/>
                <w14:ligatures w14:val="standardContextual"/>
              </w:rPr>
            </w:pPr>
            <w:r w:rsidRPr="00803C8B">
              <w:rPr>
                <w:rFonts w:ascii="Arial" w:hAnsi="Arial"/>
                <w14:ligatures w14:val="standardContextual"/>
              </w:rPr>
              <w:t xml:space="preserve">My placement at Premier Inn. Loughborough was in the housekeeping department. I had the opportunity to undertake and experience diverse tasks, roles, and responsibilities of hotel facility management. I gained practical knowledge from this placement offer. My core responsibilities mine were to ensure cleanliness and maintain orderliness within the hotel. This kind of job responsibilities includes replenishing amenities, cleaning guest rooms, vacuuming corridors, greeting guests, and ensuring the tidiness of the public areas (Raghubalan and Raghubalan, 2016). I also was engaged in such kind of activities but additionally, I worked in the laundry room. My duty was to sort the towels and linens through the operation of washing machines and dryers. </w:t>
            </w:r>
          </w:p>
          <w:p w14:paraId="073D8934" w14:textId="77777777" w:rsidR="00803C8B" w:rsidRPr="00803C8B" w:rsidRDefault="00803C8B" w:rsidP="00803C8B">
            <w:pPr>
              <w:spacing w:line="360" w:lineRule="auto"/>
              <w:jc w:val="both"/>
              <w:rPr>
                <w:rFonts w:ascii="Arial" w:hAnsi="Arial"/>
                <w14:ligatures w14:val="standardContextual"/>
              </w:rPr>
            </w:pPr>
            <w:proofErr w:type="gramStart"/>
            <w:r w:rsidRPr="00803C8B">
              <w:rPr>
                <w:rFonts w:ascii="Arial" w:hAnsi="Arial"/>
                <w14:ligatures w14:val="standardContextual"/>
              </w:rPr>
              <w:t>All of</w:t>
            </w:r>
            <w:proofErr w:type="gramEnd"/>
            <w:r w:rsidRPr="00803C8B">
              <w:rPr>
                <w:rFonts w:ascii="Arial" w:hAnsi="Arial"/>
                <w14:ligatures w14:val="standardContextual"/>
              </w:rPr>
              <w:t xml:space="preserve"> these tasks were meant to ensure guest satisfaction and intensify the guest service experience. In the hospitality industry cleanliness is deemed to be paramount in retaining guest satisfaction and maintaining hotel reputation (Casado, 2012). Therefore, I needed to pay attention to every detail to ensure immaculateness. The aim was to create an enjoyable and comfortable environment to spend quality time. </w:t>
            </w:r>
          </w:p>
          <w:p w14:paraId="5EC54397" w14:textId="77777777" w:rsidR="00803C8B" w:rsidRPr="00803C8B" w:rsidRDefault="00803C8B" w:rsidP="00803C8B">
            <w:pPr>
              <w:keepNext/>
              <w:keepLines/>
              <w:spacing w:after="0" w:line="360" w:lineRule="auto"/>
              <w:jc w:val="both"/>
              <w:outlineLvl w:val="1"/>
              <w:rPr>
                <w:rFonts w:ascii="Arial" w:eastAsiaTheme="majorEastAsia" w:hAnsi="Arial" w:cstheme="majorBidi"/>
                <w:b/>
                <w:kern w:val="2"/>
                <w:szCs w:val="26"/>
                <w14:ligatures w14:val="standardContextual"/>
              </w:rPr>
            </w:pPr>
            <w:r w:rsidRPr="00803C8B">
              <w:rPr>
                <w:rFonts w:ascii="Arial" w:eastAsiaTheme="majorEastAsia" w:hAnsi="Arial" w:cstheme="majorBidi"/>
                <w:b/>
                <w:kern w:val="2"/>
                <w:szCs w:val="26"/>
                <w14:ligatures w14:val="standardContextual"/>
              </w:rPr>
              <w:t>Reflection on Feelings and Emotions</w:t>
            </w:r>
          </w:p>
          <w:p w14:paraId="50BEDE6E" w14:textId="77777777" w:rsidR="00803C8B" w:rsidRPr="00803C8B" w:rsidRDefault="00803C8B" w:rsidP="00803C8B">
            <w:pPr>
              <w:spacing w:line="360" w:lineRule="auto"/>
              <w:jc w:val="both"/>
              <w:rPr>
                <w:rFonts w:ascii="Arial" w:hAnsi="Arial"/>
                <w14:ligatures w14:val="standardContextual"/>
              </w:rPr>
            </w:pPr>
            <w:r w:rsidRPr="00803C8B">
              <w:rPr>
                <w:rFonts w:ascii="Arial" w:hAnsi="Arial"/>
                <w14:ligatures w14:val="standardContextual"/>
              </w:rPr>
              <w:t xml:space="preserve">The placement was a new experience for me which overflowed my feelings in different ways. For instance, sometimes I felt, excited, on the contrary, I experienced, challenges and satisfaction. The work environment nature was </w:t>
            </w:r>
            <w:proofErr w:type="gramStart"/>
            <w:r w:rsidRPr="00803C8B">
              <w:rPr>
                <w:rFonts w:ascii="Arial" w:hAnsi="Arial"/>
                <w14:ligatures w14:val="standardContextual"/>
              </w:rPr>
              <w:t>fast-paced</w:t>
            </w:r>
            <w:proofErr w:type="gramEnd"/>
            <w:r w:rsidRPr="00803C8B">
              <w:rPr>
                <w:rFonts w:ascii="Arial" w:hAnsi="Arial"/>
                <w14:ligatures w14:val="standardContextual"/>
              </w:rPr>
              <w:t xml:space="preserve">. However, as time passed, I became accustomed to the procedures and routine. I realised the significance of teamwork and efficiency in meeting deadlines. </w:t>
            </w:r>
          </w:p>
          <w:p w14:paraId="25AC160E" w14:textId="308FD3F7" w:rsidR="0086599B" w:rsidRPr="007E4A58" w:rsidRDefault="00803C8B" w:rsidP="007E4A58">
            <w:pPr>
              <w:spacing w:line="360" w:lineRule="auto"/>
              <w:jc w:val="both"/>
              <w:rPr>
                <w:rFonts w:ascii="Arial" w:hAnsi="Arial"/>
                <w14:ligatures w14:val="standardContextual"/>
              </w:rPr>
            </w:pPr>
            <w:r w:rsidRPr="00803C8B">
              <w:rPr>
                <w:rFonts w:ascii="Arial" w:hAnsi="Arial"/>
                <w14:ligatures w14:val="standardContextual"/>
              </w:rPr>
              <w:t xml:space="preserve">The major challenge that I encountered was meeting the timeline. At first, it was difficult for me but with the progress of work, I learned to manage the work in time. I learned to prioritise the task based on the intensity of urgency. </w:t>
            </w: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1EE7308B" w14:textId="77777777" w:rsidR="005F689A" w:rsidRDefault="005F689A" w:rsidP="005F689A"/>
    <w:p w14:paraId="15CA57DA" w14:textId="77777777" w:rsidR="007E4A58" w:rsidRPr="007E4A58" w:rsidRDefault="007E4A58" w:rsidP="007E4A58"/>
    <w:p w14:paraId="20528EC4" w14:textId="77777777" w:rsidR="007E4A58" w:rsidRPr="007E4A58" w:rsidRDefault="007E4A58" w:rsidP="007E4A58"/>
    <w:p w14:paraId="020A1B9D" w14:textId="77777777" w:rsidR="007E4A58" w:rsidRPr="007E4A58" w:rsidRDefault="007E4A58" w:rsidP="007E4A58"/>
    <w:p w14:paraId="0D1CD442" w14:textId="77777777" w:rsidR="007E4A58" w:rsidRPr="007E4A58" w:rsidRDefault="007E4A58" w:rsidP="007E4A58"/>
    <w:p w14:paraId="0E5EF1BF" w14:textId="77777777" w:rsidR="007E4A58" w:rsidRPr="007E4A58" w:rsidRDefault="007E4A58" w:rsidP="007E4A58"/>
    <w:p w14:paraId="49BB3FA1" w14:textId="77777777" w:rsidR="007E4A58" w:rsidRPr="007E4A58" w:rsidRDefault="007E4A58" w:rsidP="007E4A58"/>
    <w:p w14:paraId="1A228F0C" w14:textId="77777777" w:rsidR="007E4A58" w:rsidRPr="007E4A58" w:rsidRDefault="007E4A58" w:rsidP="007E4A58"/>
    <w:p w14:paraId="539DE3C5" w14:textId="77777777" w:rsidR="007E4A58" w:rsidRPr="007E4A58" w:rsidRDefault="007E4A58" w:rsidP="007E4A58"/>
    <w:p w14:paraId="5A738B12" w14:textId="77777777" w:rsidR="007E4A58" w:rsidRPr="007E4A58" w:rsidRDefault="007E4A58" w:rsidP="007E4A58"/>
    <w:p w14:paraId="465354BD" w14:textId="77777777" w:rsidR="007E4A58" w:rsidRPr="007E4A58" w:rsidRDefault="007E4A58" w:rsidP="007E4A58"/>
    <w:p w14:paraId="7C47C49A" w14:textId="77777777" w:rsidR="007E4A58" w:rsidRPr="007E4A58" w:rsidRDefault="007E4A58" w:rsidP="007E4A58"/>
    <w:p w14:paraId="1DF92E24" w14:textId="77777777" w:rsidR="007E4A58" w:rsidRPr="007E4A58" w:rsidRDefault="007E4A58" w:rsidP="007E4A58"/>
    <w:p w14:paraId="73B47A2D" w14:textId="77777777" w:rsidR="007E4A58" w:rsidRPr="007E4A58" w:rsidRDefault="007E4A58" w:rsidP="007E4A58"/>
    <w:p w14:paraId="794B255E" w14:textId="77777777" w:rsidR="007E4A58" w:rsidRPr="007E4A58" w:rsidRDefault="007E4A58" w:rsidP="007E4A58"/>
    <w:p w14:paraId="4910AA41" w14:textId="77777777" w:rsidR="007E4A58" w:rsidRPr="007E4A58" w:rsidRDefault="007E4A58" w:rsidP="007E4A58"/>
    <w:p w14:paraId="4F1ADFE3" w14:textId="77777777" w:rsidR="007E4A58" w:rsidRPr="007E4A58" w:rsidRDefault="007E4A58" w:rsidP="007E4A58"/>
    <w:p w14:paraId="471F38DB" w14:textId="6FA7FDF0" w:rsidR="007E4A58" w:rsidRDefault="007E4A58" w:rsidP="007E4A58">
      <w:pPr>
        <w:tabs>
          <w:tab w:val="left" w:pos="8680"/>
        </w:tabs>
      </w:pPr>
      <w:r>
        <w:tab/>
      </w:r>
    </w:p>
    <w:p w14:paraId="05A2712E" w14:textId="13D50EDD" w:rsidR="007E4A58" w:rsidRPr="007E4A58" w:rsidRDefault="007E4A58" w:rsidP="007E4A58">
      <w:pPr>
        <w:tabs>
          <w:tab w:val="left" w:pos="8680"/>
        </w:tabs>
        <w:sectPr w:rsidR="007E4A58" w:rsidRPr="007E4A58" w:rsidSect="00AD1F84">
          <w:pgSz w:w="11906" w:h="16838"/>
          <w:pgMar w:top="720" w:right="720" w:bottom="720" w:left="720" w:header="709" w:footer="709" w:gutter="0"/>
          <w:cols w:space="708"/>
          <w:docGrid w:linePitch="360"/>
        </w:sectPr>
      </w:pPr>
      <w:r>
        <w:tab/>
      </w: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Default="001749FD" w:rsidP="008358ED">
      <w:pPr>
        <w:rPr>
          <w:rFonts w:asciiTheme="minorBidi" w:eastAsia="Carlito" w:hAnsiTheme="minorBidi"/>
          <w:b/>
          <w:color w:val="auto"/>
          <w:sz w:val="22"/>
          <w:lang w:val="en-US"/>
        </w:rPr>
      </w:pPr>
      <w:r w:rsidRPr="00FF51C8">
        <w:rPr>
          <w:rFonts w:asciiTheme="minorBidi" w:eastAsia="Carlito" w:hAnsiTheme="minorBidi"/>
          <w:b/>
          <w:color w:val="auto"/>
          <w:sz w:val="22"/>
          <w:lang w:val="en-US"/>
        </w:rPr>
        <w:t>Contribution to Overall Module Assessment: 25%</w:t>
      </w:r>
    </w:p>
    <w:p w14:paraId="78DD74C1" w14:textId="77777777" w:rsidR="00803C8B" w:rsidRPr="00FF51C8" w:rsidRDefault="00803C8B" w:rsidP="008358ED">
      <w:pPr>
        <w:rPr>
          <w:rFonts w:asciiTheme="minorBidi" w:hAnsiTheme="minorBidi"/>
          <w:b/>
          <w:bCs/>
          <w:sz w:val="22"/>
        </w:rPr>
      </w:pPr>
    </w:p>
    <w:p w14:paraId="41A1E8FA" w14:textId="77777777" w:rsidR="00803C8B" w:rsidRPr="00803C8B" w:rsidRDefault="00803C8B" w:rsidP="00803C8B">
      <w:pPr>
        <w:widowControl w:val="0"/>
        <w:autoSpaceDE w:val="0"/>
        <w:autoSpaceDN w:val="0"/>
        <w:spacing w:after="0" w:line="240" w:lineRule="auto"/>
        <w:jc w:val="both"/>
        <w:rPr>
          <w:rFonts w:asciiTheme="minorBidi" w:eastAsia="Carlito" w:hAnsiTheme="minorBidi"/>
          <w:b/>
          <w:bCs/>
          <w:color w:val="000000"/>
          <w:sz w:val="28"/>
          <w:szCs w:val="28"/>
          <w:lang w:val="en-US"/>
          <w14:ligatures w14:val="standardContextual"/>
        </w:rPr>
      </w:pPr>
      <w:r w:rsidRPr="00803C8B">
        <w:rPr>
          <w:rFonts w:asciiTheme="minorBidi" w:hAnsiTheme="minorBidi"/>
          <w:b/>
          <w:bCs/>
          <w:sz w:val="28"/>
          <w:szCs w:val="24"/>
          <w14:ligatures w14:val="standardContextual"/>
        </w:rPr>
        <w:t>Component Two:</w:t>
      </w:r>
      <w:r w:rsidRPr="00803C8B">
        <w:rPr>
          <w:rFonts w:asciiTheme="minorHAnsi" w:hAnsiTheme="minorHAnsi"/>
          <w:noProof/>
          <w:lang w:eastAsia="en-GB"/>
          <w14:ligatures w14:val="standardContextual"/>
        </w:rPr>
        <w:t xml:space="preserve"> </w:t>
      </w:r>
      <w:r w:rsidRPr="00803C8B">
        <w:rPr>
          <w:rFonts w:asciiTheme="minorBidi" w:eastAsia="Carlito" w:hAnsiTheme="minorBidi"/>
          <w:b/>
          <w:bCs/>
          <w:color w:val="000000"/>
          <w:sz w:val="28"/>
          <w:szCs w:val="28"/>
          <w:lang w:val="en-US"/>
          <w14:ligatures w14:val="standardContextual"/>
        </w:rPr>
        <w:t xml:space="preserve">Health and Safety Guide </w:t>
      </w:r>
    </w:p>
    <w:p w14:paraId="7B739F1A" w14:textId="77777777" w:rsidR="00803C8B" w:rsidRPr="00803C8B" w:rsidRDefault="00803C8B" w:rsidP="00803C8B">
      <w:pPr>
        <w:spacing w:line="360" w:lineRule="auto"/>
        <w:jc w:val="both"/>
        <w:rPr>
          <w:rFonts w:ascii="Arial" w:hAnsi="Arial"/>
          <w:shd w:val="clear" w:color="auto" w:fill="FFFFFF"/>
          <w:lang w:val="en-US"/>
          <w14:ligatures w14:val="standardContextual"/>
        </w:rPr>
      </w:pPr>
    </w:p>
    <w:p w14:paraId="1DAB91F2" w14:textId="77777777" w:rsidR="00803C8B" w:rsidRPr="00803C8B" w:rsidRDefault="00803C8B" w:rsidP="00803C8B">
      <w:pPr>
        <w:spacing w:line="360" w:lineRule="auto"/>
        <w:jc w:val="both"/>
        <w:rPr>
          <w:rFonts w:ascii="Arial" w:hAnsi="Arial"/>
          <w:shd w:val="clear" w:color="auto" w:fill="FFFFFF"/>
          <w:lang w:val="en-US"/>
          <w14:ligatures w14:val="standardContextual"/>
        </w:rPr>
      </w:pPr>
      <w:r w:rsidRPr="00803C8B">
        <w:rPr>
          <w:rFonts w:ascii="Arial" w:hAnsi="Arial"/>
          <w:shd w:val="clear" w:color="auto" w:fill="FFFFFF"/>
          <w:lang w:val="en-US"/>
          <w14:ligatures w14:val="standardContextual"/>
        </w:rPr>
        <w:t xml:space="preserve">It is paramount to ensure the health and safety of the housekeeping staff to ensure a secure and productive work environment (Chandrasekar, 2011). The following guide is designed to thorough procedures and information to reduce potential workplace hazards during room cleaning as a part of the duty of the housekeeping department. </w:t>
      </w:r>
    </w:p>
    <w:tbl>
      <w:tblPr>
        <w:tblStyle w:val="TableGrid1"/>
        <w:tblW w:w="0" w:type="auto"/>
        <w:tblInd w:w="0" w:type="dxa"/>
        <w:tblLook w:val="04A0" w:firstRow="1" w:lastRow="0" w:firstColumn="1" w:lastColumn="0" w:noHBand="0" w:noVBand="1"/>
      </w:tblPr>
      <w:tblGrid>
        <w:gridCol w:w="2065"/>
        <w:gridCol w:w="12609"/>
      </w:tblGrid>
      <w:tr w:rsidR="00803C8B" w:rsidRPr="00803C8B" w14:paraId="09B4DF6B" w14:textId="77777777" w:rsidTr="00787238">
        <w:tc>
          <w:tcPr>
            <w:tcW w:w="2065" w:type="dxa"/>
            <w:tcBorders>
              <w:top w:val="single" w:sz="4" w:space="0" w:color="auto"/>
              <w:left w:val="single" w:sz="4" w:space="0" w:color="auto"/>
              <w:bottom w:val="single" w:sz="4" w:space="0" w:color="auto"/>
              <w:right w:val="single" w:sz="4" w:space="0" w:color="auto"/>
            </w:tcBorders>
            <w:hideMark/>
          </w:tcPr>
          <w:p w14:paraId="5A0AC129"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shd w:val="clear" w:color="auto" w:fill="FFFFFF"/>
                <w:lang w:val="en-US"/>
              </w:rPr>
              <w:t>Identification</w:t>
            </w:r>
          </w:p>
        </w:tc>
        <w:tc>
          <w:tcPr>
            <w:tcW w:w="12609" w:type="dxa"/>
            <w:tcBorders>
              <w:top w:val="single" w:sz="4" w:space="0" w:color="auto"/>
              <w:left w:val="single" w:sz="4" w:space="0" w:color="auto"/>
              <w:bottom w:val="single" w:sz="4" w:space="0" w:color="auto"/>
              <w:right w:val="single" w:sz="4" w:space="0" w:color="auto"/>
            </w:tcBorders>
            <w:hideMark/>
          </w:tcPr>
          <w:p w14:paraId="69A13056"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noProof/>
              </w:rPr>
              <w:drawing>
                <wp:anchor distT="0" distB="0" distL="114300" distR="114300" simplePos="0" relativeHeight="251660288" behindDoc="0" locked="0" layoutInCell="1" allowOverlap="1" wp14:anchorId="471E70CE" wp14:editId="75DA62C1">
                  <wp:simplePos x="0" y="0"/>
                  <wp:positionH relativeFrom="margin">
                    <wp:posOffset>1057275</wp:posOffset>
                  </wp:positionH>
                  <wp:positionV relativeFrom="page">
                    <wp:posOffset>1249045</wp:posOffset>
                  </wp:positionV>
                  <wp:extent cx="5650865" cy="805180"/>
                  <wp:effectExtent l="38100" t="0" r="102235" b="13970"/>
                  <wp:wrapTopAndBottom/>
                  <wp:docPr id="1950489527"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r w:rsidRPr="00803C8B">
              <w:rPr>
                <w:rFonts w:ascii="Arial" w:hAnsi="Arial"/>
                <w:shd w:val="clear" w:color="auto" w:fill="FFFFFF"/>
                <w:lang w:val="en-US"/>
              </w:rPr>
              <w:t xml:space="preserve">Before starting to develop a plan, it is necessary to identify the possible risks that may arise and hamper the overall process. Potential risk if occurs holds the probability of dissatisfying the guest and loss of reputation (). Therefore, it is necessary to identify the possible risks that may arise at the time of cleaning.  the possible risks that may arise </w:t>
            </w:r>
            <w:proofErr w:type="spellStart"/>
            <w:r w:rsidRPr="00803C8B">
              <w:rPr>
                <w:rFonts w:ascii="Arial" w:hAnsi="Arial"/>
                <w:shd w:val="clear" w:color="auto" w:fill="FFFFFF"/>
                <w:lang w:val="en-US"/>
              </w:rPr>
              <w:t>the</w:t>
            </w:r>
            <w:proofErr w:type="spellEnd"/>
            <w:r w:rsidRPr="00803C8B">
              <w:rPr>
                <w:rFonts w:ascii="Arial" w:hAnsi="Arial"/>
                <w:shd w:val="clear" w:color="auto" w:fill="FFFFFF"/>
                <w:lang w:val="en-US"/>
              </w:rPr>
              <w:t xml:space="preserve"> are risk of ergonomic strains, exposure to hazardous chemicals, slippery floors, and lifting heavy cleaning tools or objects (Oluoch, 2015). </w:t>
            </w:r>
          </w:p>
          <w:p w14:paraId="67C84967" w14:textId="77777777" w:rsidR="00803C8B" w:rsidRPr="00803C8B" w:rsidRDefault="00803C8B" w:rsidP="00803C8B">
            <w:pPr>
              <w:spacing w:line="360" w:lineRule="auto"/>
              <w:jc w:val="center"/>
              <w:rPr>
                <w:rFonts w:ascii="Arial" w:hAnsi="Arial"/>
                <w:shd w:val="clear" w:color="auto" w:fill="FFFFFF"/>
                <w:lang w:val="en-US"/>
              </w:rPr>
            </w:pPr>
            <w:r w:rsidRPr="00803C8B">
              <w:rPr>
                <w:rFonts w:ascii="Arial" w:hAnsi="Arial"/>
                <w:shd w:val="clear" w:color="auto" w:fill="FFFFFF"/>
                <w:lang w:val="en-US"/>
              </w:rPr>
              <w:t>Figure 01: List of potential objects (Developed by the Author).</w:t>
            </w:r>
          </w:p>
        </w:tc>
      </w:tr>
      <w:tr w:rsidR="00803C8B" w:rsidRPr="00803C8B" w14:paraId="176C2BB1" w14:textId="77777777" w:rsidTr="00787238">
        <w:tc>
          <w:tcPr>
            <w:tcW w:w="2065" w:type="dxa"/>
            <w:tcBorders>
              <w:top w:val="single" w:sz="4" w:space="0" w:color="auto"/>
              <w:left w:val="single" w:sz="4" w:space="0" w:color="auto"/>
              <w:bottom w:val="single" w:sz="4" w:space="0" w:color="auto"/>
              <w:right w:val="single" w:sz="4" w:space="0" w:color="auto"/>
            </w:tcBorders>
            <w:hideMark/>
          </w:tcPr>
          <w:p w14:paraId="7AEBCE08"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shd w:val="clear" w:color="auto" w:fill="FFFFFF"/>
                <w:lang w:val="en-US"/>
              </w:rPr>
              <w:t>Precautions</w:t>
            </w:r>
          </w:p>
        </w:tc>
        <w:tc>
          <w:tcPr>
            <w:tcW w:w="12609" w:type="dxa"/>
            <w:tcBorders>
              <w:top w:val="single" w:sz="4" w:space="0" w:color="auto"/>
              <w:left w:val="single" w:sz="4" w:space="0" w:color="auto"/>
              <w:bottom w:val="single" w:sz="4" w:space="0" w:color="auto"/>
              <w:right w:val="single" w:sz="4" w:space="0" w:color="auto"/>
            </w:tcBorders>
            <w:hideMark/>
          </w:tcPr>
          <w:p w14:paraId="434BF1A8"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shd w:val="clear" w:color="auto" w:fill="FFFFFF"/>
                <w:lang w:val="en-US"/>
              </w:rPr>
              <w:t xml:space="preserve">The precautions following the health and safety rules and regulations can be as follows – </w:t>
            </w:r>
          </w:p>
          <w:tbl>
            <w:tblPr>
              <w:tblStyle w:val="TableGrid1"/>
              <w:tblW w:w="0" w:type="auto"/>
              <w:tblInd w:w="0" w:type="dxa"/>
              <w:tblLook w:val="04A0" w:firstRow="1" w:lastRow="0" w:firstColumn="1" w:lastColumn="0" w:noHBand="0" w:noVBand="1"/>
            </w:tblPr>
            <w:tblGrid>
              <w:gridCol w:w="12305"/>
            </w:tblGrid>
            <w:tr w:rsidR="00803C8B" w:rsidRPr="00803C8B" w14:paraId="66835077" w14:textId="77777777" w:rsidTr="00787238">
              <w:trPr>
                <w:trHeight w:val="2042"/>
              </w:trPr>
              <w:tc>
                <w:tcPr>
                  <w:tcW w:w="12305" w:type="dxa"/>
                  <w:tcBorders>
                    <w:top w:val="single" w:sz="4" w:space="0" w:color="auto"/>
                    <w:left w:val="single" w:sz="4" w:space="0" w:color="auto"/>
                    <w:bottom w:val="single" w:sz="4" w:space="0" w:color="auto"/>
                    <w:right w:val="single" w:sz="4" w:space="0" w:color="auto"/>
                  </w:tcBorders>
                </w:tcPr>
                <w:p w14:paraId="53829179"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noProof/>
                    </w:rPr>
                    <w:lastRenderedPageBreak/>
                    <w:drawing>
                      <wp:anchor distT="0" distB="0" distL="114300" distR="114300" simplePos="0" relativeHeight="251661312" behindDoc="0" locked="0" layoutInCell="1" allowOverlap="1" wp14:anchorId="560B70BC" wp14:editId="0FF0C86C">
                        <wp:simplePos x="0" y="0"/>
                        <wp:positionH relativeFrom="page">
                          <wp:posOffset>6664325</wp:posOffset>
                        </wp:positionH>
                        <wp:positionV relativeFrom="page">
                          <wp:posOffset>47625</wp:posOffset>
                        </wp:positionV>
                        <wp:extent cx="1139190" cy="760730"/>
                        <wp:effectExtent l="0" t="0" r="0" b="0"/>
                        <wp:wrapSquare wrapText="bothSides"/>
                        <wp:docPr id="653815767" name="Picture 14" descr="1,900+ Housekeeping Staff With Masks Stock Photos, Pictu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900+ Housekeeping Staff With Masks Stock Photos, Picture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139190" cy="760730"/>
                                </a:xfrm>
                                <a:prstGeom prst="rect">
                                  <a:avLst/>
                                </a:prstGeom>
                                <a:noFill/>
                              </pic:spPr>
                            </pic:pic>
                          </a:graphicData>
                        </a:graphic>
                        <wp14:sizeRelH relativeFrom="margin">
                          <wp14:pctWidth>0</wp14:pctWidth>
                        </wp14:sizeRelH>
                        <wp14:sizeRelV relativeFrom="margin">
                          <wp14:pctHeight>0</wp14:pctHeight>
                        </wp14:sizeRelV>
                      </wp:anchor>
                    </w:drawing>
                  </w:r>
                  <w:r w:rsidRPr="00803C8B">
                    <w:rPr>
                      <w:rFonts w:ascii="Arial" w:hAnsi="Arial"/>
                      <w:shd w:val="clear" w:color="auto" w:fill="FFFFFF"/>
                      <w:lang w:val="en-US"/>
                    </w:rPr>
                    <w:t xml:space="preserve">Encourage employees to wear appropriate gear or suits that will ensure personal protection. For </w:t>
                  </w:r>
                  <w:proofErr w:type="gramStart"/>
                  <w:r w:rsidRPr="00803C8B">
                    <w:rPr>
                      <w:rFonts w:ascii="Arial" w:hAnsi="Arial"/>
                      <w:shd w:val="clear" w:color="auto" w:fill="FFFFFF"/>
                      <w:lang w:val="en-US"/>
                    </w:rPr>
                    <w:t>instance</w:t>
                  </w:r>
                  <w:proofErr w:type="gramEnd"/>
                  <w:r w:rsidRPr="00803C8B">
                    <w:rPr>
                      <w:rFonts w:ascii="Arial" w:hAnsi="Arial"/>
                      <w:shd w:val="clear" w:color="auto" w:fill="FFFFFF"/>
                      <w:lang w:val="en-US"/>
                    </w:rPr>
                    <w:t xml:space="preserve"> gloves, eye-protection glasses, closed-toe shoes. This will help to </w:t>
                  </w:r>
                  <w:proofErr w:type="spellStart"/>
                  <w:r w:rsidRPr="00803C8B">
                    <w:rPr>
                      <w:rFonts w:ascii="Arial" w:hAnsi="Arial"/>
                      <w:shd w:val="clear" w:color="auto" w:fill="FFFFFF"/>
                      <w:lang w:val="en-US"/>
                    </w:rPr>
                    <w:t>minimise</w:t>
                  </w:r>
                  <w:proofErr w:type="spellEnd"/>
                  <w:r w:rsidRPr="00803C8B">
                    <w:rPr>
                      <w:rFonts w:ascii="Arial" w:hAnsi="Arial"/>
                      <w:shd w:val="clear" w:color="auto" w:fill="FFFFFF"/>
                      <w:lang w:val="en-US"/>
                    </w:rPr>
                    <w:t xml:space="preserve"> the exposure towards chemicals and terminate the risk of possible injury. </w:t>
                  </w:r>
                </w:p>
                <w:p w14:paraId="5313A7D2" w14:textId="77777777" w:rsidR="00803C8B" w:rsidRPr="00803C8B" w:rsidRDefault="00803C8B" w:rsidP="00803C8B">
                  <w:pPr>
                    <w:spacing w:line="360" w:lineRule="auto"/>
                    <w:jc w:val="both"/>
                    <w:rPr>
                      <w:rFonts w:ascii="Arial" w:hAnsi="Arial"/>
                      <w:shd w:val="clear" w:color="auto" w:fill="FFFFFF"/>
                      <w:lang w:val="en-US"/>
                    </w:rPr>
                  </w:pPr>
                </w:p>
                <w:p w14:paraId="341A0D77" w14:textId="77777777" w:rsidR="00803C8B" w:rsidRPr="00803C8B" w:rsidRDefault="00803C8B" w:rsidP="00803C8B">
                  <w:pPr>
                    <w:spacing w:line="360" w:lineRule="auto"/>
                    <w:jc w:val="right"/>
                    <w:rPr>
                      <w:rFonts w:ascii="Arial" w:hAnsi="Arial"/>
                      <w:shd w:val="clear" w:color="auto" w:fill="FFFFFF"/>
                      <w:lang w:val="en-US"/>
                    </w:rPr>
                  </w:pPr>
                  <w:r w:rsidRPr="00803C8B">
                    <w:rPr>
                      <w:rFonts w:ascii="Arial" w:hAnsi="Arial"/>
                      <w:shd w:val="clear" w:color="auto" w:fill="FFFFFF"/>
                      <w:lang w:val="en-US"/>
                    </w:rPr>
                    <w:t>Figure 02: PPE of Cleaning staff (iStock, 2023).</w:t>
                  </w:r>
                </w:p>
              </w:tc>
            </w:tr>
            <w:tr w:rsidR="00803C8B" w:rsidRPr="00803C8B" w14:paraId="43D28229" w14:textId="77777777" w:rsidTr="00787238">
              <w:trPr>
                <w:trHeight w:val="1682"/>
              </w:trPr>
              <w:tc>
                <w:tcPr>
                  <w:tcW w:w="12305" w:type="dxa"/>
                  <w:tcBorders>
                    <w:top w:val="single" w:sz="4" w:space="0" w:color="auto"/>
                    <w:left w:val="single" w:sz="4" w:space="0" w:color="auto"/>
                    <w:bottom w:val="single" w:sz="4" w:space="0" w:color="auto"/>
                    <w:right w:val="single" w:sz="4" w:space="0" w:color="auto"/>
                  </w:tcBorders>
                </w:tcPr>
                <w:p w14:paraId="56B2D4F3"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noProof/>
                    </w:rPr>
                    <w:drawing>
                      <wp:anchor distT="0" distB="0" distL="114300" distR="114300" simplePos="0" relativeHeight="251662336" behindDoc="0" locked="0" layoutInCell="1" allowOverlap="1" wp14:anchorId="23458ED5" wp14:editId="3E8552AD">
                        <wp:simplePos x="0" y="0"/>
                        <wp:positionH relativeFrom="page">
                          <wp:posOffset>6801485</wp:posOffset>
                        </wp:positionH>
                        <wp:positionV relativeFrom="page">
                          <wp:posOffset>2540</wp:posOffset>
                        </wp:positionV>
                        <wp:extent cx="946785" cy="689610"/>
                        <wp:effectExtent l="0" t="0" r="0" b="0"/>
                        <wp:wrapSquare wrapText="bothSides"/>
                        <wp:docPr id="1688526442" name="Picture 13" descr="OSHA Sign - CAUTION Wet Floor Sign - Facil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SHA Sign - CAUTION Wet Floor Sign - Facilities"/>
                                <pic:cNvPicPr>
                                  <a:picLocks noChangeAspect="1" noChangeArrowheads="1"/>
                                </pic:cNvPicPr>
                              </pic:nvPicPr>
                              <pic:blipFill>
                                <a:blip r:embed="rId14" cstate="print">
                                  <a:extLst>
                                    <a:ext uri="{28A0092B-C50C-407E-A947-70E740481C1C}">
                                      <a14:useLocalDpi xmlns:a14="http://schemas.microsoft.com/office/drawing/2010/main" val="0"/>
                                    </a:ext>
                                  </a:extLst>
                                </a:blip>
                                <a:srcRect l="2597" t="15211" r="2409" b="15584"/>
                                <a:stretch>
                                  <a:fillRect/>
                                </a:stretch>
                              </pic:blipFill>
                              <pic:spPr bwMode="auto">
                                <a:xfrm>
                                  <a:off x="0" y="0"/>
                                  <a:ext cx="946785" cy="689610"/>
                                </a:xfrm>
                                <a:prstGeom prst="rect">
                                  <a:avLst/>
                                </a:prstGeom>
                                <a:noFill/>
                              </pic:spPr>
                            </pic:pic>
                          </a:graphicData>
                        </a:graphic>
                        <wp14:sizeRelH relativeFrom="margin">
                          <wp14:pctWidth>0</wp14:pctWidth>
                        </wp14:sizeRelH>
                        <wp14:sizeRelV relativeFrom="margin">
                          <wp14:pctHeight>0</wp14:pctHeight>
                        </wp14:sizeRelV>
                      </wp:anchor>
                    </w:drawing>
                  </w:r>
                  <w:r w:rsidRPr="00803C8B">
                    <w:rPr>
                      <w:rFonts w:ascii="Arial" w:hAnsi="Arial"/>
                      <w:shd w:val="clear" w:color="auto" w:fill="FFFFFF"/>
                      <w:lang w:val="en-US"/>
                    </w:rPr>
                    <w:t>Use caution signs or boards when the floors are wet to avoid any uncertain incidents. It should be ensured in immediate practice and need to be used at the beginning of the cleaning activity.</w:t>
                  </w:r>
                </w:p>
                <w:p w14:paraId="25A04173" w14:textId="77777777" w:rsidR="00803C8B" w:rsidRPr="00803C8B" w:rsidRDefault="00803C8B" w:rsidP="00803C8B">
                  <w:pPr>
                    <w:spacing w:line="360" w:lineRule="auto"/>
                    <w:jc w:val="both"/>
                    <w:rPr>
                      <w:rFonts w:ascii="Arial" w:hAnsi="Arial"/>
                      <w:shd w:val="clear" w:color="auto" w:fill="FFFFFF"/>
                      <w:lang w:val="en-US"/>
                    </w:rPr>
                  </w:pPr>
                </w:p>
                <w:p w14:paraId="0FFBA415" w14:textId="77777777" w:rsidR="00803C8B" w:rsidRPr="00803C8B" w:rsidRDefault="00803C8B" w:rsidP="00803C8B">
                  <w:pPr>
                    <w:spacing w:line="360" w:lineRule="auto"/>
                    <w:jc w:val="right"/>
                    <w:rPr>
                      <w:rFonts w:ascii="Arial" w:hAnsi="Arial"/>
                      <w:shd w:val="clear" w:color="auto" w:fill="FFFFFF"/>
                      <w:lang w:val="en-US"/>
                    </w:rPr>
                  </w:pPr>
                  <w:r w:rsidRPr="00803C8B">
                    <w:rPr>
                      <w:rFonts w:ascii="Arial" w:hAnsi="Arial"/>
                      <w:shd w:val="clear" w:color="auto" w:fill="FFFFFF"/>
                      <w:lang w:val="en-US"/>
                    </w:rPr>
                    <w:t>Figure 03: Wet floor caution (iStock, 2023).</w:t>
                  </w:r>
                </w:p>
              </w:tc>
            </w:tr>
            <w:tr w:rsidR="00803C8B" w:rsidRPr="00803C8B" w14:paraId="6A086159" w14:textId="77777777" w:rsidTr="00787238">
              <w:trPr>
                <w:trHeight w:val="428"/>
              </w:trPr>
              <w:tc>
                <w:tcPr>
                  <w:tcW w:w="12305" w:type="dxa"/>
                  <w:tcBorders>
                    <w:top w:val="single" w:sz="4" w:space="0" w:color="auto"/>
                    <w:left w:val="single" w:sz="4" w:space="0" w:color="auto"/>
                    <w:bottom w:val="single" w:sz="4" w:space="0" w:color="auto"/>
                    <w:right w:val="single" w:sz="4" w:space="0" w:color="auto"/>
                  </w:tcBorders>
                  <w:hideMark/>
                </w:tcPr>
                <w:p w14:paraId="7DD83223"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shd w:val="clear" w:color="auto" w:fill="FFFFFF"/>
                      <w:lang w:val="en-US"/>
                    </w:rPr>
                    <w:t xml:space="preserve">Ensure the lifting of heavy objects or cleaning tools with proper tools and avoid overexertion. For instance, to avoid overexertion use of mechanical aids can be </w:t>
                  </w:r>
                  <w:proofErr w:type="spellStart"/>
                  <w:r w:rsidRPr="00803C8B">
                    <w:rPr>
                      <w:rFonts w:ascii="Arial" w:hAnsi="Arial"/>
                      <w:shd w:val="clear" w:color="auto" w:fill="FFFFFF"/>
                      <w:lang w:val="en-US"/>
                    </w:rPr>
                    <w:t>utilised</w:t>
                  </w:r>
                  <w:proofErr w:type="spellEnd"/>
                  <w:r w:rsidRPr="00803C8B">
                    <w:rPr>
                      <w:rFonts w:ascii="Arial" w:hAnsi="Arial"/>
                      <w:shd w:val="clear" w:color="auto" w:fill="FFFFFF"/>
                      <w:lang w:val="en-US"/>
                    </w:rPr>
                    <w:t xml:space="preserve">. Use of lifting belts at the time of necessary, trolleys etc. can make the lifting activity easier. </w:t>
                  </w:r>
                </w:p>
              </w:tc>
            </w:tr>
            <w:tr w:rsidR="00803C8B" w:rsidRPr="00803C8B" w14:paraId="2877652C" w14:textId="77777777" w:rsidTr="00787238">
              <w:trPr>
                <w:trHeight w:val="411"/>
              </w:trPr>
              <w:tc>
                <w:tcPr>
                  <w:tcW w:w="12305" w:type="dxa"/>
                  <w:tcBorders>
                    <w:top w:val="single" w:sz="4" w:space="0" w:color="auto"/>
                    <w:left w:val="single" w:sz="4" w:space="0" w:color="auto"/>
                    <w:bottom w:val="single" w:sz="4" w:space="0" w:color="auto"/>
                    <w:right w:val="single" w:sz="4" w:space="0" w:color="auto"/>
                  </w:tcBorders>
                  <w:hideMark/>
                </w:tcPr>
                <w:p w14:paraId="5E8B7E41"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shd w:val="clear" w:color="auto" w:fill="FFFFFF"/>
                      <w:lang w:val="en-US"/>
                    </w:rPr>
                    <w:t>Provide the time to take a break during work to avoid fatigue and tiredness. This will ensure focus on work (Reese, 2018).</w:t>
                  </w:r>
                </w:p>
              </w:tc>
            </w:tr>
          </w:tbl>
          <w:p w14:paraId="07710F7F" w14:textId="77777777" w:rsidR="00803C8B" w:rsidRPr="00803C8B" w:rsidRDefault="00803C8B" w:rsidP="00803C8B">
            <w:pPr>
              <w:spacing w:line="360" w:lineRule="auto"/>
              <w:jc w:val="both"/>
              <w:rPr>
                <w:rFonts w:ascii="Arial" w:hAnsi="Arial"/>
                <w:shd w:val="clear" w:color="auto" w:fill="FFFFFF"/>
                <w:lang w:val="en-US"/>
              </w:rPr>
            </w:pPr>
          </w:p>
        </w:tc>
      </w:tr>
      <w:tr w:rsidR="00803C8B" w:rsidRPr="00803C8B" w14:paraId="1E06B87C" w14:textId="77777777" w:rsidTr="00787238">
        <w:tc>
          <w:tcPr>
            <w:tcW w:w="2065" w:type="dxa"/>
            <w:tcBorders>
              <w:top w:val="single" w:sz="4" w:space="0" w:color="auto"/>
              <w:left w:val="single" w:sz="4" w:space="0" w:color="auto"/>
              <w:bottom w:val="single" w:sz="4" w:space="0" w:color="auto"/>
              <w:right w:val="single" w:sz="4" w:space="0" w:color="auto"/>
            </w:tcBorders>
            <w:hideMark/>
          </w:tcPr>
          <w:p w14:paraId="2BD4F3C1"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shd w:val="clear" w:color="auto" w:fill="FFFFFF"/>
                <w:lang w:val="en-US"/>
              </w:rPr>
              <w:lastRenderedPageBreak/>
              <w:t>Procedures</w:t>
            </w:r>
          </w:p>
        </w:tc>
        <w:tc>
          <w:tcPr>
            <w:tcW w:w="12609" w:type="dxa"/>
            <w:tcBorders>
              <w:top w:val="single" w:sz="4" w:space="0" w:color="auto"/>
              <w:left w:val="single" w:sz="4" w:space="0" w:color="auto"/>
              <w:bottom w:val="single" w:sz="4" w:space="0" w:color="auto"/>
              <w:right w:val="single" w:sz="4" w:space="0" w:color="auto"/>
            </w:tcBorders>
            <w:hideMark/>
          </w:tcPr>
          <w:p w14:paraId="2397ED69"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noProof/>
              </w:rPr>
              <w:drawing>
                <wp:anchor distT="0" distB="0" distL="114300" distR="114300" simplePos="0" relativeHeight="251659264" behindDoc="0" locked="0" layoutInCell="1" allowOverlap="1" wp14:anchorId="1BC193C3" wp14:editId="6C4E5C4E">
                  <wp:simplePos x="0" y="0"/>
                  <wp:positionH relativeFrom="margin">
                    <wp:align>center</wp:align>
                  </wp:positionH>
                  <wp:positionV relativeFrom="paragraph">
                    <wp:posOffset>985520</wp:posOffset>
                  </wp:positionV>
                  <wp:extent cx="4726940" cy="561975"/>
                  <wp:effectExtent l="0" t="0" r="0" b="0"/>
                  <wp:wrapTopAndBottom/>
                  <wp:docPr id="947759593" name="Picture 1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759593" name="Picture 12" descr="A close-up of a sig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t="10947" b="10226"/>
                          <a:stretch>
                            <a:fillRect/>
                          </a:stretch>
                        </pic:blipFill>
                        <pic:spPr bwMode="auto">
                          <a:xfrm>
                            <a:off x="0" y="0"/>
                            <a:ext cx="4726940" cy="561975"/>
                          </a:xfrm>
                          <a:prstGeom prst="rect">
                            <a:avLst/>
                          </a:prstGeom>
                          <a:noFill/>
                        </pic:spPr>
                      </pic:pic>
                    </a:graphicData>
                  </a:graphic>
                  <wp14:sizeRelH relativeFrom="page">
                    <wp14:pctWidth>0</wp14:pctWidth>
                  </wp14:sizeRelH>
                  <wp14:sizeRelV relativeFrom="page">
                    <wp14:pctHeight>0</wp14:pctHeight>
                  </wp14:sizeRelV>
                </wp:anchor>
              </w:drawing>
            </w:r>
            <w:r w:rsidRPr="00803C8B">
              <w:rPr>
                <w:rFonts w:ascii="Arial" w:hAnsi="Arial"/>
                <w:shd w:val="clear" w:color="auto" w:fill="FFFFFF"/>
                <w:lang w:val="en-US"/>
              </w:rPr>
              <w:t>The identified procedures are five steps. First, prepare the cleaning supplies and ensure that all the dangerous chemicals are labelled properly. The second step is to ensure room entry etiquette. Make sure to knock before entering and inform any immediate safety concerns. Then start the cleaning process using proper PPE. While cleaning the floor with mop stand a wet sig and set a non-slippery mat.</w:t>
            </w:r>
          </w:p>
          <w:p w14:paraId="167B94C3" w14:textId="77777777" w:rsidR="00803C8B" w:rsidRPr="00803C8B" w:rsidRDefault="00803C8B" w:rsidP="00803C8B">
            <w:pPr>
              <w:spacing w:line="360" w:lineRule="auto"/>
              <w:jc w:val="center"/>
              <w:rPr>
                <w:rFonts w:ascii="Arial" w:hAnsi="Arial"/>
                <w:shd w:val="clear" w:color="auto" w:fill="FFFFFF"/>
                <w:lang w:val="en-US"/>
              </w:rPr>
            </w:pPr>
            <w:r w:rsidRPr="00803C8B">
              <w:rPr>
                <w:rFonts w:ascii="Arial" w:hAnsi="Arial"/>
                <w:shd w:val="clear" w:color="auto" w:fill="FFFFFF"/>
                <w:lang w:val="en-US"/>
              </w:rPr>
              <w:t>Figure 03: Procedures (Developed by the Autor).</w:t>
            </w:r>
          </w:p>
        </w:tc>
      </w:tr>
      <w:tr w:rsidR="00803C8B" w:rsidRPr="00803C8B" w14:paraId="2C4F1B4A" w14:textId="77777777" w:rsidTr="00787238">
        <w:tc>
          <w:tcPr>
            <w:tcW w:w="2065" w:type="dxa"/>
            <w:tcBorders>
              <w:top w:val="single" w:sz="4" w:space="0" w:color="auto"/>
              <w:left w:val="single" w:sz="4" w:space="0" w:color="auto"/>
              <w:bottom w:val="single" w:sz="4" w:space="0" w:color="auto"/>
              <w:right w:val="single" w:sz="4" w:space="0" w:color="auto"/>
            </w:tcBorders>
            <w:hideMark/>
          </w:tcPr>
          <w:p w14:paraId="02E03701"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shd w:val="clear" w:color="auto" w:fill="FFFFFF"/>
                <w:lang w:val="en-US"/>
              </w:rPr>
              <w:lastRenderedPageBreak/>
              <w:t>Equipment</w:t>
            </w:r>
          </w:p>
        </w:tc>
        <w:tc>
          <w:tcPr>
            <w:tcW w:w="12609" w:type="dxa"/>
            <w:tcBorders>
              <w:top w:val="single" w:sz="4" w:space="0" w:color="auto"/>
              <w:left w:val="single" w:sz="4" w:space="0" w:color="auto"/>
              <w:bottom w:val="single" w:sz="4" w:space="0" w:color="auto"/>
              <w:right w:val="single" w:sz="4" w:space="0" w:color="auto"/>
            </w:tcBorders>
            <w:hideMark/>
          </w:tcPr>
          <w:p w14:paraId="6EAADF8D" w14:textId="77777777" w:rsidR="00803C8B" w:rsidRPr="00803C8B" w:rsidRDefault="00803C8B" w:rsidP="00803C8B">
            <w:pPr>
              <w:spacing w:line="360" w:lineRule="auto"/>
              <w:jc w:val="both"/>
              <w:rPr>
                <w:rFonts w:ascii="Arial" w:hAnsi="Arial"/>
                <w:shd w:val="clear" w:color="auto" w:fill="FFFFFF"/>
                <w:lang w:val="en-US"/>
              </w:rPr>
            </w:pPr>
            <w:r w:rsidRPr="00803C8B">
              <w:rPr>
                <w:rFonts w:ascii="Arial" w:hAnsi="Arial"/>
                <w:shd w:val="clear" w:color="auto" w:fill="FFFFFF"/>
                <w:lang w:val="en-US"/>
              </w:rPr>
              <w:t>Check whether all the equipment is in good condition and ready to carry out the task. Regular inspection is necessary to ensure disrupted cleaning (Chartier, 2014).</w:t>
            </w:r>
          </w:p>
        </w:tc>
      </w:tr>
      <w:tr w:rsidR="00803C8B" w:rsidRPr="00803C8B" w14:paraId="3F29F164" w14:textId="77777777" w:rsidTr="00787238">
        <w:tc>
          <w:tcPr>
            <w:tcW w:w="2065" w:type="dxa"/>
            <w:tcBorders>
              <w:top w:val="single" w:sz="4" w:space="0" w:color="auto"/>
              <w:left w:val="single" w:sz="4" w:space="0" w:color="auto"/>
              <w:bottom w:val="single" w:sz="4" w:space="0" w:color="auto"/>
              <w:right w:val="single" w:sz="4" w:space="0" w:color="auto"/>
            </w:tcBorders>
            <w:hideMark/>
          </w:tcPr>
          <w:p w14:paraId="71D6A20C" w14:textId="77777777" w:rsidR="00803C8B" w:rsidRPr="00803C8B" w:rsidRDefault="00803C8B" w:rsidP="00803C8B">
            <w:pPr>
              <w:spacing w:line="360" w:lineRule="auto"/>
              <w:jc w:val="both"/>
              <w:rPr>
                <w:rFonts w:ascii="Arial" w:hAnsi="Arial" w:cs="Arial"/>
                <w:szCs w:val="24"/>
                <w:shd w:val="clear" w:color="auto" w:fill="FFFFFF"/>
                <w:lang w:val="en-US"/>
              </w:rPr>
            </w:pPr>
            <w:r w:rsidRPr="00803C8B">
              <w:rPr>
                <w:rFonts w:ascii="Arial" w:hAnsi="Arial" w:cs="Arial"/>
                <w:szCs w:val="24"/>
                <w:shd w:val="clear" w:color="auto" w:fill="FFFFFF"/>
                <w:lang w:val="en-US"/>
              </w:rPr>
              <w:t>Hazard Mitigation</w:t>
            </w:r>
          </w:p>
        </w:tc>
        <w:tc>
          <w:tcPr>
            <w:tcW w:w="12609" w:type="dxa"/>
            <w:tcBorders>
              <w:top w:val="single" w:sz="4" w:space="0" w:color="auto"/>
              <w:left w:val="single" w:sz="4" w:space="0" w:color="auto"/>
              <w:bottom w:val="single" w:sz="4" w:space="0" w:color="auto"/>
              <w:right w:val="single" w:sz="4" w:space="0" w:color="auto"/>
            </w:tcBorders>
            <w:hideMark/>
          </w:tcPr>
          <w:p w14:paraId="5213A117" w14:textId="77777777" w:rsidR="00803C8B" w:rsidRPr="00803C8B" w:rsidRDefault="00803C8B" w:rsidP="00803C8B">
            <w:pPr>
              <w:widowControl w:val="0"/>
              <w:numPr>
                <w:ilvl w:val="0"/>
                <w:numId w:val="4"/>
              </w:numPr>
              <w:autoSpaceDE w:val="0"/>
              <w:autoSpaceDN w:val="0"/>
              <w:spacing w:line="360" w:lineRule="auto"/>
              <w:jc w:val="both"/>
              <w:rPr>
                <w:rFonts w:ascii="Arial" w:eastAsia="Carlito" w:hAnsi="Arial" w:cs="Arial"/>
                <w:szCs w:val="24"/>
                <w:shd w:val="clear" w:color="auto" w:fill="FFFFFF"/>
              </w:rPr>
            </w:pPr>
            <w:r w:rsidRPr="00803C8B">
              <w:rPr>
                <w:rFonts w:ascii="Arial" w:eastAsia="Carlito" w:hAnsi="Arial" w:cs="Arial"/>
                <w:color w:val="auto"/>
                <w:szCs w:val="24"/>
                <w:shd w:val="clear" w:color="auto" w:fill="FFFFFF"/>
              </w:rPr>
              <w:t>To avoid slippery floors non-slipper mat should be placed and use of wet caution sign.</w:t>
            </w:r>
          </w:p>
          <w:p w14:paraId="5617DD93" w14:textId="77777777" w:rsidR="00803C8B" w:rsidRPr="00803C8B" w:rsidRDefault="00803C8B" w:rsidP="00803C8B">
            <w:pPr>
              <w:widowControl w:val="0"/>
              <w:numPr>
                <w:ilvl w:val="0"/>
                <w:numId w:val="4"/>
              </w:numPr>
              <w:autoSpaceDE w:val="0"/>
              <w:autoSpaceDN w:val="0"/>
              <w:spacing w:line="360" w:lineRule="auto"/>
              <w:jc w:val="both"/>
              <w:rPr>
                <w:rFonts w:ascii="Arial" w:eastAsia="Carlito" w:hAnsi="Arial" w:cs="Arial"/>
                <w:szCs w:val="24"/>
                <w:shd w:val="clear" w:color="auto" w:fill="FFFFFF"/>
              </w:rPr>
            </w:pPr>
            <w:r w:rsidRPr="00803C8B">
              <w:rPr>
                <w:rFonts w:ascii="Arial" w:eastAsia="Carlito" w:hAnsi="Arial" w:cs="Arial"/>
                <w:color w:val="auto"/>
                <w:szCs w:val="24"/>
                <w:shd w:val="clear" w:color="auto" w:fill="FFFFFF"/>
              </w:rPr>
              <w:t>For chemical exposure ensure the use of proper PPE.</w:t>
            </w:r>
          </w:p>
          <w:p w14:paraId="6C9C31A8" w14:textId="77777777" w:rsidR="00803C8B" w:rsidRPr="00803C8B" w:rsidRDefault="00803C8B" w:rsidP="00803C8B">
            <w:pPr>
              <w:widowControl w:val="0"/>
              <w:numPr>
                <w:ilvl w:val="0"/>
                <w:numId w:val="4"/>
              </w:numPr>
              <w:autoSpaceDE w:val="0"/>
              <w:autoSpaceDN w:val="0"/>
              <w:spacing w:line="360" w:lineRule="auto"/>
              <w:jc w:val="both"/>
              <w:rPr>
                <w:rFonts w:ascii="Arial" w:eastAsia="Carlito" w:hAnsi="Arial" w:cs="Arial"/>
                <w:szCs w:val="24"/>
                <w:shd w:val="clear" w:color="auto" w:fill="FFFFFF"/>
              </w:rPr>
            </w:pPr>
            <w:r w:rsidRPr="00803C8B">
              <w:rPr>
                <w:rFonts w:ascii="Arial" w:eastAsia="Carlito" w:hAnsi="Arial" w:cs="Arial"/>
                <w:color w:val="auto"/>
                <w:szCs w:val="24"/>
                <w:shd w:val="clear" w:color="auto" w:fill="FFFFFF"/>
              </w:rPr>
              <w:t>For ergonomic strains ensure the use of proper lifting techniques.</w:t>
            </w:r>
          </w:p>
        </w:tc>
      </w:tr>
    </w:tbl>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77777777" w:rsidR="00840816" w:rsidRDefault="00840816">
      <w:pPr>
        <w:rPr>
          <w:b/>
          <w:bCs/>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CD26B9">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4EF9FC76" w14:textId="77777777" w:rsidR="00803C8B" w:rsidRDefault="00803C8B" w:rsidP="00697D92"/>
    <w:p w14:paraId="3404646B" w14:textId="77777777" w:rsidR="00803C8B" w:rsidRPr="00803C8B" w:rsidRDefault="00803C8B" w:rsidP="00803C8B">
      <w:pPr>
        <w:spacing w:line="360" w:lineRule="auto"/>
        <w:jc w:val="both"/>
        <w:rPr>
          <w:rFonts w:ascii="Arial" w:hAnsi="Arial" w:cs="Arial"/>
          <w:color w:val="auto"/>
          <w:szCs w:val="24"/>
          <w:shd w:val="clear" w:color="auto" w:fill="FFFFFF"/>
          <w14:ligatures w14:val="standardContextual"/>
        </w:rPr>
      </w:pPr>
      <w:proofErr w:type="spellStart"/>
      <w:r w:rsidRPr="00803C8B">
        <w:rPr>
          <w:rFonts w:ascii="Arial" w:hAnsi="Arial" w:cs="Arial"/>
          <w:color w:val="auto"/>
          <w:szCs w:val="24"/>
          <w:shd w:val="clear" w:color="auto" w:fill="FFFFFF"/>
          <w14:ligatures w14:val="standardContextual"/>
        </w:rPr>
        <w:t>Adeani</w:t>
      </w:r>
      <w:proofErr w:type="spellEnd"/>
      <w:r w:rsidRPr="00803C8B">
        <w:rPr>
          <w:rFonts w:ascii="Arial" w:hAnsi="Arial" w:cs="Arial"/>
          <w:color w:val="auto"/>
          <w:szCs w:val="24"/>
          <w:shd w:val="clear" w:color="auto" w:fill="FFFFFF"/>
          <w14:ligatures w14:val="standardContextual"/>
        </w:rPr>
        <w:t xml:space="preserve">, I.S., </w:t>
      </w:r>
      <w:proofErr w:type="spellStart"/>
      <w:r w:rsidRPr="00803C8B">
        <w:rPr>
          <w:rFonts w:ascii="Arial" w:hAnsi="Arial" w:cs="Arial"/>
          <w:color w:val="auto"/>
          <w:szCs w:val="24"/>
          <w:shd w:val="clear" w:color="auto" w:fill="FFFFFF"/>
          <w14:ligatures w14:val="standardContextual"/>
        </w:rPr>
        <w:t>Febriani</w:t>
      </w:r>
      <w:proofErr w:type="spellEnd"/>
      <w:r w:rsidRPr="00803C8B">
        <w:rPr>
          <w:rFonts w:ascii="Arial" w:hAnsi="Arial" w:cs="Arial"/>
          <w:color w:val="auto"/>
          <w:szCs w:val="24"/>
          <w:shd w:val="clear" w:color="auto" w:fill="FFFFFF"/>
          <w14:ligatures w14:val="standardContextual"/>
        </w:rPr>
        <w:t xml:space="preserve">, R.B. and </w:t>
      </w:r>
      <w:proofErr w:type="spellStart"/>
      <w:r w:rsidRPr="00803C8B">
        <w:rPr>
          <w:rFonts w:ascii="Arial" w:hAnsi="Arial" w:cs="Arial"/>
          <w:color w:val="auto"/>
          <w:szCs w:val="24"/>
          <w:shd w:val="clear" w:color="auto" w:fill="FFFFFF"/>
          <w14:ligatures w14:val="standardContextual"/>
        </w:rPr>
        <w:t>Syafryadin</w:t>
      </w:r>
      <w:proofErr w:type="spellEnd"/>
      <w:r w:rsidRPr="00803C8B">
        <w:rPr>
          <w:rFonts w:ascii="Arial" w:hAnsi="Arial" w:cs="Arial"/>
          <w:color w:val="auto"/>
          <w:szCs w:val="24"/>
          <w:shd w:val="clear" w:color="auto" w:fill="FFFFFF"/>
          <w14:ligatures w14:val="standardContextual"/>
        </w:rPr>
        <w:t xml:space="preserve">, S. (2020). Using </w:t>
      </w:r>
      <w:proofErr w:type="spellStart"/>
      <w:r w:rsidRPr="00803C8B">
        <w:rPr>
          <w:rFonts w:ascii="Arial" w:hAnsi="Arial" w:cs="Arial"/>
          <w:color w:val="auto"/>
          <w:szCs w:val="24"/>
          <w:shd w:val="clear" w:color="auto" w:fill="FFFFFF"/>
          <w14:ligatures w14:val="standardContextual"/>
        </w:rPr>
        <w:t>GIBBS’reflective</w:t>
      </w:r>
      <w:proofErr w:type="spellEnd"/>
      <w:r w:rsidRPr="00803C8B">
        <w:rPr>
          <w:rFonts w:ascii="Arial" w:hAnsi="Arial" w:cs="Arial"/>
          <w:color w:val="auto"/>
          <w:szCs w:val="24"/>
          <w:shd w:val="clear" w:color="auto" w:fill="FFFFFF"/>
          <w14:ligatures w14:val="standardContextual"/>
        </w:rPr>
        <w:t xml:space="preserve"> cycle in making reflections of literary analysis. </w:t>
      </w:r>
      <w:r w:rsidRPr="00803C8B">
        <w:rPr>
          <w:rFonts w:ascii="Arial" w:hAnsi="Arial" w:cs="Arial"/>
          <w:i/>
          <w:iCs/>
          <w:color w:val="auto"/>
          <w:szCs w:val="24"/>
          <w:shd w:val="clear" w:color="auto" w:fill="FFFFFF"/>
          <w14:ligatures w14:val="standardContextual"/>
        </w:rPr>
        <w:t>Indonesian EFL Journal</w:t>
      </w:r>
      <w:r w:rsidRPr="00803C8B">
        <w:rPr>
          <w:rFonts w:ascii="Arial" w:hAnsi="Arial" w:cs="Arial"/>
          <w:color w:val="auto"/>
          <w:szCs w:val="24"/>
          <w:shd w:val="clear" w:color="auto" w:fill="FFFFFF"/>
          <w14:ligatures w14:val="standardContextual"/>
        </w:rPr>
        <w:t>, </w:t>
      </w:r>
      <w:r w:rsidRPr="00803C8B">
        <w:rPr>
          <w:rFonts w:ascii="Arial" w:hAnsi="Arial" w:cs="Arial"/>
          <w:i/>
          <w:iCs/>
          <w:color w:val="auto"/>
          <w:szCs w:val="24"/>
          <w:shd w:val="clear" w:color="auto" w:fill="FFFFFF"/>
          <w14:ligatures w14:val="standardContextual"/>
        </w:rPr>
        <w:t>6</w:t>
      </w:r>
      <w:r w:rsidRPr="00803C8B">
        <w:rPr>
          <w:rFonts w:ascii="Arial" w:hAnsi="Arial" w:cs="Arial"/>
          <w:color w:val="auto"/>
          <w:szCs w:val="24"/>
          <w:shd w:val="clear" w:color="auto" w:fill="FFFFFF"/>
          <w14:ligatures w14:val="standardContextual"/>
        </w:rPr>
        <w:t>(2), pp.139-148.</w:t>
      </w:r>
    </w:p>
    <w:p w14:paraId="278D3391" w14:textId="77777777" w:rsidR="00803C8B" w:rsidRPr="00803C8B" w:rsidRDefault="00803C8B" w:rsidP="00803C8B">
      <w:pPr>
        <w:spacing w:line="360" w:lineRule="auto"/>
        <w:jc w:val="both"/>
        <w:rPr>
          <w:rFonts w:ascii="Arial" w:hAnsi="Arial" w:cs="Arial"/>
          <w:color w:val="auto"/>
          <w:szCs w:val="24"/>
          <w14:ligatures w14:val="standardContextual"/>
        </w:rPr>
      </w:pPr>
      <w:r w:rsidRPr="00803C8B">
        <w:rPr>
          <w:rFonts w:ascii="Arial" w:hAnsi="Arial" w:cs="Arial"/>
          <w:color w:val="auto"/>
          <w:szCs w:val="24"/>
          <w14:ligatures w14:val="standardContextual"/>
        </w:rPr>
        <w:t xml:space="preserve">Casado, M. (2012). </w:t>
      </w:r>
      <w:r w:rsidRPr="00803C8B">
        <w:rPr>
          <w:rFonts w:ascii="Arial" w:hAnsi="Arial" w:cs="Arial"/>
          <w:i/>
          <w:iCs/>
          <w:color w:val="auto"/>
          <w:szCs w:val="24"/>
          <w14:ligatures w14:val="standardContextual"/>
        </w:rPr>
        <w:t>Housekeeping Management</w:t>
      </w:r>
      <w:r w:rsidRPr="00803C8B">
        <w:rPr>
          <w:rFonts w:ascii="Arial" w:hAnsi="Arial" w:cs="Arial"/>
          <w:color w:val="auto"/>
          <w:szCs w:val="24"/>
          <w14:ligatures w14:val="standardContextual"/>
        </w:rPr>
        <w:t>. London: Wiley.</w:t>
      </w:r>
    </w:p>
    <w:p w14:paraId="6EFFFB38" w14:textId="77777777" w:rsidR="00803C8B" w:rsidRPr="00803C8B" w:rsidRDefault="00803C8B" w:rsidP="00803C8B">
      <w:pPr>
        <w:spacing w:line="360" w:lineRule="auto"/>
        <w:jc w:val="both"/>
        <w:rPr>
          <w:rFonts w:ascii="Arial" w:hAnsi="Arial" w:cs="Arial"/>
          <w:color w:val="auto"/>
          <w:szCs w:val="24"/>
          <w14:ligatures w14:val="standardContextual"/>
        </w:rPr>
      </w:pPr>
      <w:r w:rsidRPr="00803C8B">
        <w:rPr>
          <w:rFonts w:ascii="Arial" w:hAnsi="Arial" w:cs="Arial"/>
          <w:color w:val="auto"/>
          <w:szCs w:val="24"/>
          <w14:ligatures w14:val="standardContextual"/>
        </w:rPr>
        <w:t xml:space="preserve">Johnston, R., Clark, G. and </w:t>
      </w:r>
      <w:proofErr w:type="spellStart"/>
      <w:r w:rsidRPr="00803C8B">
        <w:rPr>
          <w:rFonts w:ascii="Arial" w:hAnsi="Arial" w:cs="Arial"/>
          <w:color w:val="auto"/>
          <w:szCs w:val="24"/>
          <w14:ligatures w14:val="standardContextual"/>
        </w:rPr>
        <w:t>Shulver</w:t>
      </w:r>
      <w:proofErr w:type="spellEnd"/>
      <w:r w:rsidRPr="00803C8B">
        <w:rPr>
          <w:rFonts w:ascii="Arial" w:hAnsi="Arial" w:cs="Arial"/>
          <w:color w:val="auto"/>
          <w:szCs w:val="24"/>
          <w14:ligatures w14:val="standardContextual"/>
        </w:rPr>
        <w:t xml:space="preserve">, M. (2012). </w:t>
      </w:r>
      <w:r w:rsidRPr="00803C8B">
        <w:rPr>
          <w:rFonts w:ascii="Arial" w:hAnsi="Arial" w:cs="Arial"/>
          <w:i/>
          <w:iCs/>
          <w:color w:val="auto"/>
          <w:szCs w:val="24"/>
          <w14:ligatures w14:val="standardContextual"/>
        </w:rPr>
        <w:t>Service Operations Management</w:t>
      </w:r>
      <w:r w:rsidRPr="00803C8B">
        <w:rPr>
          <w:rFonts w:ascii="Arial" w:hAnsi="Arial" w:cs="Arial"/>
          <w:color w:val="auto"/>
          <w:szCs w:val="24"/>
          <w14:ligatures w14:val="standardContextual"/>
        </w:rPr>
        <w:t>. London: Pearson.</w:t>
      </w:r>
    </w:p>
    <w:p w14:paraId="6D55805D" w14:textId="77777777" w:rsidR="00803C8B" w:rsidRPr="00803C8B" w:rsidRDefault="00803C8B" w:rsidP="00803C8B">
      <w:pPr>
        <w:spacing w:line="360" w:lineRule="auto"/>
        <w:jc w:val="both"/>
        <w:rPr>
          <w:rFonts w:ascii="Arial" w:hAnsi="Arial" w:cs="Arial"/>
          <w:color w:val="auto"/>
          <w:szCs w:val="24"/>
          <w14:ligatures w14:val="standardContextual"/>
        </w:rPr>
      </w:pPr>
      <w:r w:rsidRPr="00803C8B">
        <w:rPr>
          <w:rFonts w:ascii="Arial" w:hAnsi="Arial" w:cs="Arial"/>
          <w:color w:val="auto"/>
          <w:szCs w:val="24"/>
          <w14:ligatures w14:val="standardContextual"/>
        </w:rPr>
        <w:t xml:space="preserve">Jones, T. (2010). </w:t>
      </w:r>
      <w:r w:rsidRPr="00803C8B">
        <w:rPr>
          <w:rFonts w:ascii="Arial" w:hAnsi="Arial" w:cs="Arial"/>
          <w:i/>
          <w:iCs/>
          <w:color w:val="auto"/>
          <w:szCs w:val="24"/>
          <w14:ligatures w14:val="standardContextual"/>
        </w:rPr>
        <w:t>Professional Management Housekeeping Operations</w:t>
      </w:r>
      <w:r w:rsidRPr="00803C8B">
        <w:rPr>
          <w:rFonts w:ascii="Arial" w:hAnsi="Arial" w:cs="Arial"/>
          <w:color w:val="auto"/>
          <w:szCs w:val="24"/>
          <w14:ligatures w14:val="standardContextual"/>
        </w:rPr>
        <w:t>. London: Wiley.</w:t>
      </w:r>
    </w:p>
    <w:p w14:paraId="042A54B8" w14:textId="77777777" w:rsidR="00803C8B" w:rsidRPr="00803C8B" w:rsidRDefault="00803C8B" w:rsidP="00803C8B">
      <w:pPr>
        <w:spacing w:line="360" w:lineRule="auto"/>
        <w:jc w:val="both"/>
        <w:rPr>
          <w:rFonts w:ascii="Arial" w:hAnsi="Arial" w:cs="Arial"/>
          <w:color w:val="auto"/>
          <w:szCs w:val="24"/>
          <w:shd w:val="clear" w:color="auto" w:fill="FFFFFF"/>
          <w14:ligatures w14:val="standardContextual"/>
        </w:rPr>
      </w:pPr>
      <w:r w:rsidRPr="00803C8B">
        <w:rPr>
          <w:rFonts w:ascii="Arial" w:hAnsi="Arial" w:cs="Arial"/>
          <w:color w:val="auto"/>
          <w:szCs w:val="24"/>
          <w:shd w:val="clear" w:color="auto" w:fill="FFFFFF"/>
          <w14:ligatures w14:val="standardContextual"/>
        </w:rPr>
        <w:t>Raghubalan, G. and Raghubalan, S., (2016). </w:t>
      </w:r>
      <w:r w:rsidRPr="00803C8B">
        <w:rPr>
          <w:rFonts w:ascii="Arial" w:hAnsi="Arial" w:cs="Arial"/>
          <w:i/>
          <w:iCs/>
          <w:color w:val="auto"/>
          <w:szCs w:val="24"/>
          <w:shd w:val="clear" w:color="auto" w:fill="FFFFFF"/>
          <w14:ligatures w14:val="standardContextual"/>
        </w:rPr>
        <w:t>Hotel housekeeping: Operations and management</w:t>
      </w:r>
      <w:r w:rsidRPr="00803C8B">
        <w:rPr>
          <w:rFonts w:ascii="Arial" w:hAnsi="Arial" w:cs="Arial"/>
          <w:color w:val="auto"/>
          <w:szCs w:val="24"/>
          <w:shd w:val="clear" w:color="auto" w:fill="FFFFFF"/>
          <w14:ligatures w14:val="standardContextual"/>
        </w:rPr>
        <w:t>. Oxford University Press.</w:t>
      </w:r>
    </w:p>
    <w:p w14:paraId="6700BDBB" w14:textId="77777777" w:rsidR="00803C8B" w:rsidRPr="00803C8B" w:rsidRDefault="00803C8B" w:rsidP="00803C8B">
      <w:pPr>
        <w:spacing w:line="360" w:lineRule="auto"/>
        <w:jc w:val="both"/>
        <w:rPr>
          <w:rFonts w:ascii="Arial" w:hAnsi="Arial" w:cs="Arial"/>
          <w:color w:val="auto"/>
          <w:szCs w:val="24"/>
          <w14:ligatures w14:val="standardContextual"/>
        </w:rPr>
      </w:pPr>
      <w:r w:rsidRPr="00803C8B">
        <w:rPr>
          <w:rFonts w:ascii="Arial" w:hAnsi="Arial" w:cs="Arial"/>
          <w:color w:val="auto"/>
          <w:szCs w:val="24"/>
          <w14:ligatures w14:val="standardContextual"/>
        </w:rPr>
        <w:t xml:space="preserve">Tesone, D. (2010). </w:t>
      </w:r>
      <w:r w:rsidRPr="00803C8B">
        <w:rPr>
          <w:rFonts w:ascii="Arial" w:hAnsi="Arial" w:cs="Arial"/>
          <w:i/>
          <w:iCs/>
          <w:color w:val="auto"/>
          <w:szCs w:val="24"/>
          <w14:ligatures w14:val="standardContextual"/>
        </w:rPr>
        <w:t xml:space="preserve">Principles Of Management </w:t>
      </w:r>
      <w:proofErr w:type="gramStart"/>
      <w:r w:rsidRPr="00803C8B">
        <w:rPr>
          <w:rFonts w:ascii="Arial" w:hAnsi="Arial" w:cs="Arial"/>
          <w:i/>
          <w:iCs/>
          <w:color w:val="auto"/>
          <w:szCs w:val="24"/>
          <w14:ligatures w14:val="standardContextual"/>
        </w:rPr>
        <w:t>For</w:t>
      </w:r>
      <w:proofErr w:type="gramEnd"/>
      <w:r w:rsidRPr="00803C8B">
        <w:rPr>
          <w:rFonts w:ascii="Arial" w:hAnsi="Arial" w:cs="Arial"/>
          <w:i/>
          <w:iCs/>
          <w:color w:val="auto"/>
          <w:szCs w:val="24"/>
          <w14:ligatures w14:val="standardContextual"/>
        </w:rPr>
        <w:t xml:space="preserve"> The Hospitality Industry</w:t>
      </w:r>
      <w:r w:rsidRPr="00803C8B">
        <w:rPr>
          <w:rFonts w:ascii="Arial" w:hAnsi="Arial" w:cs="Arial"/>
          <w:color w:val="auto"/>
          <w:szCs w:val="24"/>
          <w14:ligatures w14:val="standardContextual"/>
        </w:rPr>
        <w:t>. 1st ed. London: Routledge.</w:t>
      </w:r>
    </w:p>
    <w:p w14:paraId="227B9331" w14:textId="77777777" w:rsidR="00803C8B" w:rsidRPr="00803C8B" w:rsidRDefault="00803C8B" w:rsidP="00803C8B">
      <w:pPr>
        <w:spacing w:line="360" w:lineRule="auto"/>
        <w:jc w:val="both"/>
        <w:rPr>
          <w:rFonts w:ascii="Arial" w:hAnsi="Arial" w:cs="Arial"/>
          <w:color w:val="auto"/>
          <w:szCs w:val="24"/>
          <w14:ligatures w14:val="standardContextual"/>
        </w:rPr>
      </w:pPr>
      <w:r w:rsidRPr="00803C8B">
        <w:rPr>
          <w:rFonts w:ascii="Arial" w:hAnsi="Arial" w:cs="Arial"/>
          <w:color w:val="auto"/>
          <w:szCs w:val="24"/>
          <w14:ligatures w14:val="standardContextual"/>
        </w:rPr>
        <w:t xml:space="preserve">Vallen, G. and Vallen, J. (2012). </w:t>
      </w:r>
      <w:r w:rsidRPr="00803C8B">
        <w:rPr>
          <w:rFonts w:ascii="Arial" w:hAnsi="Arial" w:cs="Arial"/>
          <w:i/>
          <w:iCs/>
          <w:color w:val="auto"/>
          <w:szCs w:val="24"/>
          <w14:ligatures w14:val="standardContextual"/>
        </w:rPr>
        <w:t xml:space="preserve">Managing Hotel Operations. </w:t>
      </w:r>
      <w:r w:rsidRPr="00803C8B">
        <w:rPr>
          <w:rFonts w:ascii="Arial" w:hAnsi="Arial" w:cs="Arial"/>
          <w:color w:val="auto"/>
          <w:szCs w:val="24"/>
          <w14:ligatures w14:val="standardContextual"/>
        </w:rPr>
        <w:t>London: Pearson.</w:t>
      </w:r>
    </w:p>
    <w:p w14:paraId="79CA739F" w14:textId="77777777" w:rsidR="00803C8B" w:rsidRPr="00803C8B" w:rsidRDefault="00803C8B" w:rsidP="00803C8B">
      <w:pPr>
        <w:spacing w:line="360" w:lineRule="auto"/>
        <w:jc w:val="both"/>
        <w:rPr>
          <w:rFonts w:ascii="Arial" w:hAnsi="Arial"/>
          <w:color w:val="auto"/>
          <w:szCs w:val="24"/>
          <w14:ligatures w14:val="standardContextual"/>
        </w:rPr>
      </w:pPr>
      <w:r w:rsidRPr="00803C8B">
        <w:rPr>
          <w:rFonts w:ascii="Arial" w:hAnsi="Arial" w:cs="Arial"/>
          <w:color w:val="auto"/>
          <w:szCs w:val="24"/>
          <w14:ligatures w14:val="standardContextual"/>
        </w:rPr>
        <w:t xml:space="preserve">Wood, R. (2013). </w:t>
      </w:r>
      <w:r w:rsidRPr="00803C8B">
        <w:rPr>
          <w:rFonts w:ascii="Arial" w:hAnsi="Arial" w:cs="Arial"/>
          <w:i/>
          <w:iCs/>
          <w:color w:val="auto"/>
          <w:szCs w:val="24"/>
          <w14:ligatures w14:val="standardContextual"/>
        </w:rPr>
        <w:t>Key Concepts in Hospitality Management</w:t>
      </w:r>
      <w:r w:rsidRPr="00803C8B">
        <w:rPr>
          <w:rFonts w:ascii="Arial" w:hAnsi="Arial" w:cs="Arial"/>
          <w:color w:val="auto"/>
          <w:szCs w:val="24"/>
          <w14:ligatures w14:val="standardContextual"/>
        </w:rPr>
        <w:t>. London: Sage</w:t>
      </w:r>
    </w:p>
    <w:p w14:paraId="66C29D23" w14:textId="77777777" w:rsidR="00803C8B" w:rsidRPr="00803C8B" w:rsidRDefault="00803C8B" w:rsidP="00803C8B">
      <w:pPr>
        <w:spacing w:line="360" w:lineRule="auto"/>
        <w:jc w:val="both"/>
        <w:rPr>
          <w:rFonts w:ascii="Arial" w:hAnsi="Arial"/>
          <w14:ligatures w14:val="standardContextual"/>
        </w:rPr>
      </w:pPr>
    </w:p>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5D749" w14:textId="77777777" w:rsidR="00AB29A2" w:rsidRDefault="00AB29A2" w:rsidP="004D0F63">
      <w:pPr>
        <w:spacing w:after="0" w:line="240" w:lineRule="auto"/>
      </w:pPr>
      <w:r>
        <w:separator/>
      </w:r>
    </w:p>
  </w:endnote>
  <w:endnote w:type="continuationSeparator" w:id="0">
    <w:p w14:paraId="72FCE5F5" w14:textId="77777777" w:rsidR="00AB29A2" w:rsidRDefault="00AB29A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D01D4" w14:textId="77777777" w:rsidR="00AB29A2" w:rsidRDefault="00AB29A2" w:rsidP="004D0F63">
      <w:pPr>
        <w:spacing w:after="0" w:line="240" w:lineRule="auto"/>
      </w:pPr>
      <w:r>
        <w:separator/>
      </w:r>
    </w:p>
  </w:footnote>
  <w:footnote w:type="continuationSeparator" w:id="0">
    <w:p w14:paraId="2C3F19D9" w14:textId="77777777" w:rsidR="00AB29A2" w:rsidRDefault="00AB29A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495ED9"/>
    <w:multiLevelType w:val="hybridMultilevel"/>
    <w:tmpl w:val="F9CCA2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3"/>
  </w:num>
  <w:num w:numId="3" w16cid:durableId="912589267">
    <w:abstractNumId w:val="2"/>
  </w:num>
  <w:num w:numId="4" w16cid:durableId="13967824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330917"/>
    <w:rsid w:val="00343A05"/>
    <w:rsid w:val="003508D9"/>
    <w:rsid w:val="00357851"/>
    <w:rsid w:val="0045538B"/>
    <w:rsid w:val="004D0F63"/>
    <w:rsid w:val="00592A7E"/>
    <w:rsid w:val="005F689A"/>
    <w:rsid w:val="00697D92"/>
    <w:rsid w:val="006B6681"/>
    <w:rsid w:val="007E4A58"/>
    <w:rsid w:val="00803C8B"/>
    <w:rsid w:val="008358ED"/>
    <w:rsid w:val="00840816"/>
    <w:rsid w:val="0086599B"/>
    <w:rsid w:val="008B5011"/>
    <w:rsid w:val="00977466"/>
    <w:rsid w:val="009A4555"/>
    <w:rsid w:val="009D31CA"/>
    <w:rsid w:val="00A3401B"/>
    <w:rsid w:val="00A83A4D"/>
    <w:rsid w:val="00AA0DA1"/>
    <w:rsid w:val="00AB29A2"/>
    <w:rsid w:val="00AD1F84"/>
    <w:rsid w:val="00B0725C"/>
    <w:rsid w:val="00BD35C5"/>
    <w:rsid w:val="00C04832"/>
    <w:rsid w:val="00CD26B9"/>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03C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803C8B"/>
    <w:rPr>
      <w:rFonts w:asciiTheme="majorHAnsi" w:eastAsiaTheme="majorEastAsia" w:hAnsiTheme="majorHAnsi" w:cstheme="majorBidi"/>
      <w:color w:val="2F5496" w:themeColor="accent1" w:themeShade="BF"/>
      <w:sz w:val="26"/>
      <w:szCs w:val="26"/>
    </w:rPr>
  </w:style>
  <w:style w:type="table" w:customStyle="1" w:styleId="TableGrid1">
    <w:name w:val="Table Grid1"/>
    <w:basedOn w:val="TableNormal"/>
    <w:next w:val="TableGrid"/>
    <w:uiPriority w:val="39"/>
    <w:rsid w:val="00803C8B"/>
    <w:pPr>
      <w:spacing w:after="0" w:line="240" w:lineRule="auto"/>
    </w:pPr>
    <w:rPr>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gif"/></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11E431-8379-4EB0-BA76-F81C5EE156A7}" type="doc">
      <dgm:prSet loTypeId="urn:microsoft.com/office/officeart/2005/8/layout/orgChart1" loCatId="hierarchy" qsTypeId="urn:microsoft.com/office/officeart/2005/8/quickstyle/simple1" qsCatId="simple" csTypeId="urn:microsoft.com/office/officeart/2005/8/colors/colorful2" csCatId="colorful" phldr="1"/>
      <dgm:spPr/>
      <dgm:t>
        <a:bodyPr/>
        <a:lstStyle/>
        <a:p>
          <a:endParaRPr lang="en-US"/>
        </a:p>
      </dgm:t>
    </dgm:pt>
    <dgm:pt modelId="{DA44302D-354F-4A63-84E5-FD49DC128414}">
      <dgm:prSet phldrT="[Text]"/>
      <dgm:spPr>
        <a:xfrm>
          <a:off x="2923" y="97783"/>
          <a:ext cx="1219226" cy="609613"/>
        </a:xfrm>
        <a:prstGeom prst="roundRect">
          <a:avLst/>
        </a:prstGeom>
        <a:solidFill>
          <a:srgbClr val="ED7D31"/>
        </a:solidFill>
        <a:ln w="12700" cap="flat" cmpd="sng" algn="ctr">
          <a:noFill/>
          <a:prstDash val="solid"/>
          <a:miter lim="800000"/>
        </a:ln>
        <a:effectLst>
          <a:outerShdw blurRad="50800" dist="38100" dir="2700000" algn="tl" rotWithShape="0">
            <a:prstClr val="black">
              <a:alpha val="40000"/>
            </a:prstClr>
          </a:outerShdw>
        </a:effectLst>
      </dgm:spPr>
      <dgm:t>
        <a:bodyPr/>
        <a:lstStyle/>
        <a:p>
          <a:pPr>
            <a:buNone/>
          </a:pPr>
          <a:r>
            <a:rPr lang="en-US">
              <a:solidFill>
                <a:sysClr val="window" lastClr="FFFFFF"/>
              </a:solidFill>
              <a:latin typeface="Times New Roman" panose="02020603050405020304" pitchFamily="18" charset="0"/>
              <a:ea typeface="+mn-ea"/>
              <a:cs typeface="Times New Roman" panose="02020603050405020304" pitchFamily="18" charset="0"/>
            </a:rPr>
            <a:t>Ergonomic Strain</a:t>
          </a:r>
        </a:p>
      </dgm:t>
    </dgm:pt>
    <dgm:pt modelId="{D1B693F5-23D6-41F0-9011-89B3E6776DDC}" type="parTrans" cxnId="{4C8AE1DC-6091-41FC-A88C-0E3510C6D698}">
      <dgm:prSet/>
      <dgm:spPr/>
      <dgm:t>
        <a:bodyPr/>
        <a:lstStyle/>
        <a:p>
          <a:endParaRPr lang="en-US"/>
        </a:p>
      </dgm:t>
    </dgm:pt>
    <dgm:pt modelId="{8AB77DD4-729C-4F5E-A594-B7490ED991B0}" type="sibTrans" cxnId="{4C8AE1DC-6091-41FC-A88C-0E3510C6D698}">
      <dgm:prSet/>
      <dgm:spPr/>
      <dgm:t>
        <a:bodyPr/>
        <a:lstStyle/>
        <a:p>
          <a:endParaRPr lang="en-US"/>
        </a:p>
      </dgm:t>
    </dgm:pt>
    <dgm:pt modelId="{F4EE3823-0D87-4AE3-B207-B9C92AA034B0}">
      <dgm:prSet>
        <dgm:style>
          <a:lnRef idx="0">
            <a:scrgbClr r="0" g="0" b="0"/>
          </a:lnRef>
          <a:fillRef idx="0">
            <a:scrgbClr r="0" g="0" b="0"/>
          </a:fillRef>
          <a:effectRef idx="0">
            <a:scrgbClr r="0" g="0" b="0"/>
          </a:effectRef>
          <a:fontRef idx="minor">
            <a:schemeClr val="lt1"/>
          </a:fontRef>
        </dgm:style>
      </dgm:prSet>
      <dgm:spPr>
        <a:xfrm>
          <a:off x="1478187" y="97783"/>
          <a:ext cx="1219226" cy="609613"/>
        </a:xfrm>
        <a:prstGeom prst="roundRect">
          <a:avLst/>
        </a:prstGeom>
        <a:solidFill>
          <a:srgbClr val="5B9BD5"/>
        </a:solidFill>
        <a:ln>
          <a:noFill/>
        </a:ln>
        <a:effectLst>
          <a:outerShdw blurRad="50800" dist="38100" dir="2700000" algn="tl" rotWithShape="0">
            <a:prstClr val="black">
              <a:alpha val="40000"/>
            </a:prstClr>
          </a:outerShdw>
        </a:effectLst>
      </dgm:spPr>
      <dgm:t>
        <a:bodyPr/>
        <a:lstStyle/>
        <a:p>
          <a:pPr>
            <a:buNone/>
          </a:pPr>
          <a:r>
            <a:rPr lang="en-US">
              <a:solidFill>
                <a:sysClr val="window" lastClr="FFFFFF"/>
              </a:solidFill>
              <a:latin typeface="Times New Roman" panose="02020603050405020304" pitchFamily="18" charset="0"/>
              <a:ea typeface="+mn-ea"/>
              <a:cs typeface="Times New Roman" panose="02020603050405020304" pitchFamily="18" charset="0"/>
            </a:rPr>
            <a:t>Exposure to Hazardous Chemicals</a:t>
          </a:r>
        </a:p>
      </dgm:t>
    </dgm:pt>
    <dgm:pt modelId="{A5A9DDC0-379F-462B-AAE4-E3F2DE870258}" type="parTrans" cxnId="{BE13B7F2-DAF8-4431-BD4A-632AD42FBE11}">
      <dgm:prSet/>
      <dgm:spPr/>
      <dgm:t>
        <a:bodyPr/>
        <a:lstStyle/>
        <a:p>
          <a:endParaRPr lang="en-US"/>
        </a:p>
      </dgm:t>
    </dgm:pt>
    <dgm:pt modelId="{E377B911-1FA6-443D-BE11-AD2AA372671A}" type="sibTrans" cxnId="{BE13B7F2-DAF8-4431-BD4A-632AD42FBE11}">
      <dgm:prSet/>
      <dgm:spPr/>
      <dgm:t>
        <a:bodyPr/>
        <a:lstStyle/>
        <a:p>
          <a:endParaRPr lang="en-US"/>
        </a:p>
      </dgm:t>
    </dgm:pt>
    <dgm:pt modelId="{65A7D94C-0ADB-4B3B-AEBA-C9F14CD3F520}">
      <dgm:prSet>
        <dgm:style>
          <a:lnRef idx="0">
            <a:scrgbClr r="0" g="0" b="0"/>
          </a:lnRef>
          <a:fillRef idx="0">
            <a:scrgbClr r="0" g="0" b="0"/>
          </a:fillRef>
          <a:effectRef idx="0">
            <a:scrgbClr r="0" g="0" b="0"/>
          </a:effectRef>
          <a:fontRef idx="minor">
            <a:schemeClr val="lt1"/>
          </a:fontRef>
        </dgm:style>
      </dgm:prSet>
      <dgm:spPr>
        <a:xfrm>
          <a:off x="2953451" y="97783"/>
          <a:ext cx="1219226" cy="609613"/>
        </a:xfrm>
        <a:prstGeom prst="roundRect">
          <a:avLst/>
        </a:prstGeom>
        <a:solidFill>
          <a:srgbClr val="70AD47"/>
        </a:solidFill>
        <a:ln>
          <a:noFill/>
        </a:ln>
        <a:effectLst>
          <a:outerShdw blurRad="50800" dist="38100" dir="2700000" algn="tl" rotWithShape="0">
            <a:prstClr val="black">
              <a:alpha val="40000"/>
            </a:prstClr>
          </a:outerShdw>
        </a:effectLst>
      </dgm:spPr>
      <dgm:t>
        <a:bodyPr/>
        <a:lstStyle/>
        <a:p>
          <a:pPr>
            <a:buNone/>
          </a:pPr>
          <a:r>
            <a:rPr lang="en-US">
              <a:solidFill>
                <a:sysClr val="window" lastClr="FFFFFF"/>
              </a:solidFill>
              <a:latin typeface="Times New Roman" panose="02020603050405020304" pitchFamily="18" charset="0"/>
              <a:ea typeface="+mn-ea"/>
              <a:cs typeface="Times New Roman" panose="02020603050405020304" pitchFamily="18" charset="0"/>
            </a:rPr>
            <a:t>Lifting Heavy Objects</a:t>
          </a:r>
        </a:p>
      </dgm:t>
    </dgm:pt>
    <dgm:pt modelId="{F87749CE-F8BE-4B5A-9D92-D22B734EF70C}" type="parTrans" cxnId="{810A8B3E-1822-492F-8745-A0E64D4CF788}">
      <dgm:prSet/>
      <dgm:spPr/>
      <dgm:t>
        <a:bodyPr/>
        <a:lstStyle/>
        <a:p>
          <a:endParaRPr lang="en-US"/>
        </a:p>
      </dgm:t>
    </dgm:pt>
    <dgm:pt modelId="{ED36108E-BBE4-42EB-BCE2-10A11C176342}" type="sibTrans" cxnId="{810A8B3E-1822-492F-8745-A0E64D4CF788}">
      <dgm:prSet/>
      <dgm:spPr/>
      <dgm:t>
        <a:bodyPr/>
        <a:lstStyle/>
        <a:p>
          <a:endParaRPr lang="en-US"/>
        </a:p>
      </dgm:t>
    </dgm:pt>
    <dgm:pt modelId="{231C3324-D7F8-4930-9DBC-88988ADC8D7E}">
      <dgm:prSet>
        <dgm:style>
          <a:lnRef idx="0">
            <a:scrgbClr r="0" g="0" b="0"/>
          </a:lnRef>
          <a:fillRef idx="0">
            <a:scrgbClr r="0" g="0" b="0"/>
          </a:fillRef>
          <a:effectRef idx="0">
            <a:scrgbClr r="0" g="0" b="0"/>
          </a:effectRef>
          <a:fontRef idx="minor">
            <a:schemeClr val="lt1"/>
          </a:fontRef>
        </dgm:style>
      </dgm:prSet>
      <dgm:spPr>
        <a:xfrm>
          <a:off x="4431638" y="97783"/>
          <a:ext cx="1219226" cy="609613"/>
        </a:xfrm>
        <a:prstGeom prst="roundRect">
          <a:avLst/>
        </a:prstGeom>
        <a:solidFill>
          <a:srgbClr val="FFC000"/>
        </a:solidFill>
        <a:ln>
          <a:noFill/>
        </a:ln>
        <a:effectLst>
          <a:outerShdw blurRad="50800" dist="38100" dir="2700000" algn="tl" rotWithShape="0">
            <a:prstClr val="black">
              <a:alpha val="40000"/>
            </a:prstClr>
          </a:outerShdw>
        </a:effectLst>
      </dgm:spPr>
      <dgm:t>
        <a:bodyPr/>
        <a:lstStyle/>
        <a:p>
          <a:pPr>
            <a:buNone/>
          </a:pPr>
          <a:r>
            <a:rPr lang="en-US">
              <a:solidFill>
                <a:sysClr val="window" lastClr="FFFFFF"/>
              </a:solidFill>
              <a:latin typeface="Times New Roman" panose="02020603050405020304" pitchFamily="18" charset="0"/>
              <a:ea typeface="+mn-ea"/>
              <a:cs typeface="Times New Roman" panose="02020603050405020304" pitchFamily="18" charset="0"/>
            </a:rPr>
            <a:t>Slippery Floors</a:t>
          </a:r>
        </a:p>
      </dgm:t>
    </dgm:pt>
    <dgm:pt modelId="{FE649273-7448-4D76-9BB3-5699160F9D00}" type="parTrans" cxnId="{736721CE-9E3B-4322-89F3-408C47EF39FC}">
      <dgm:prSet/>
      <dgm:spPr/>
      <dgm:t>
        <a:bodyPr/>
        <a:lstStyle/>
        <a:p>
          <a:endParaRPr lang="en-US"/>
        </a:p>
      </dgm:t>
    </dgm:pt>
    <dgm:pt modelId="{CC8B92D3-923A-4C0E-BDA9-106FAC2309D1}" type="sibTrans" cxnId="{736721CE-9E3B-4322-89F3-408C47EF39FC}">
      <dgm:prSet/>
      <dgm:spPr/>
      <dgm:t>
        <a:bodyPr/>
        <a:lstStyle/>
        <a:p>
          <a:endParaRPr lang="en-US"/>
        </a:p>
      </dgm:t>
    </dgm:pt>
    <dgm:pt modelId="{32A85E14-A565-4C1B-9A92-718790595D20}" type="pres">
      <dgm:prSet presAssocID="{B211E431-8379-4EB0-BA76-F81C5EE156A7}" presName="hierChild1" presStyleCnt="0">
        <dgm:presLayoutVars>
          <dgm:orgChart val="1"/>
          <dgm:chPref val="1"/>
          <dgm:dir/>
          <dgm:animOne val="branch"/>
          <dgm:animLvl val="lvl"/>
          <dgm:resizeHandles/>
        </dgm:presLayoutVars>
      </dgm:prSet>
      <dgm:spPr/>
    </dgm:pt>
    <dgm:pt modelId="{9B829A53-20E8-4578-B7C1-06D9B3358D39}" type="pres">
      <dgm:prSet presAssocID="{DA44302D-354F-4A63-84E5-FD49DC128414}" presName="hierRoot1" presStyleCnt="0">
        <dgm:presLayoutVars>
          <dgm:hierBranch val="init"/>
        </dgm:presLayoutVars>
      </dgm:prSet>
      <dgm:spPr/>
    </dgm:pt>
    <dgm:pt modelId="{EC06CFDF-ED7A-4350-9666-67F772A3619B}" type="pres">
      <dgm:prSet presAssocID="{DA44302D-354F-4A63-84E5-FD49DC128414}" presName="rootComposite1" presStyleCnt="0"/>
      <dgm:spPr/>
    </dgm:pt>
    <dgm:pt modelId="{AB3F968A-693F-4798-A3E8-28C2B35A34DB}" type="pres">
      <dgm:prSet presAssocID="{DA44302D-354F-4A63-84E5-FD49DC128414}" presName="rootText1" presStyleLbl="node0" presStyleIdx="0" presStyleCnt="4">
        <dgm:presLayoutVars>
          <dgm:chPref val="3"/>
        </dgm:presLayoutVars>
      </dgm:prSet>
      <dgm:spPr>
        <a:prstGeom prst="roundRect">
          <a:avLst/>
        </a:prstGeom>
      </dgm:spPr>
    </dgm:pt>
    <dgm:pt modelId="{8BF88BBA-3D4E-45C4-A25F-F24DDFB6D29F}" type="pres">
      <dgm:prSet presAssocID="{DA44302D-354F-4A63-84E5-FD49DC128414}" presName="rootConnector1" presStyleLbl="node1" presStyleIdx="0" presStyleCnt="0"/>
      <dgm:spPr/>
    </dgm:pt>
    <dgm:pt modelId="{554A37BD-14BB-4E66-BBFE-3BB597B36B65}" type="pres">
      <dgm:prSet presAssocID="{DA44302D-354F-4A63-84E5-FD49DC128414}" presName="hierChild2" presStyleCnt="0"/>
      <dgm:spPr/>
    </dgm:pt>
    <dgm:pt modelId="{7EAA8959-EC9F-4E68-A774-D91B91E894B0}" type="pres">
      <dgm:prSet presAssocID="{DA44302D-354F-4A63-84E5-FD49DC128414}" presName="hierChild3" presStyleCnt="0"/>
      <dgm:spPr/>
    </dgm:pt>
    <dgm:pt modelId="{7A49AD4D-2211-4F77-A23D-FD56DC6A5438}" type="pres">
      <dgm:prSet presAssocID="{F4EE3823-0D87-4AE3-B207-B9C92AA034B0}" presName="hierRoot1" presStyleCnt="0">
        <dgm:presLayoutVars>
          <dgm:hierBranch val="init"/>
        </dgm:presLayoutVars>
      </dgm:prSet>
      <dgm:spPr/>
    </dgm:pt>
    <dgm:pt modelId="{F210273E-7FF4-4087-AFA2-A4C2938DF8BA}" type="pres">
      <dgm:prSet presAssocID="{F4EE3823-0D87-4AE3-B207-B9C92AA034B0}" presName="rootComposite1" presStyleCnt="0"/>
      <dgm:spPr/>
    </dgm:pt>
    <dgm:pt modelId="{C4A9AB7F-FB7B-4F29-B1C0-A3601F653CD5}" type="pres">
      <dgm:prSet presAssocID="{F4EE3823-0D87-4AE3-B207-B9C92AA034B0}" presName="rootText1" presStyleLbl="node0" presStyleIdx="1" presStyleCnt="4">
        <dgm:presLayoutVars>
          <dgm:chPref val="3"/>
        </dgm:presLayoutVars>
      </dgm:prSet>
      <dgm:spPr>
        <a:prstGeom prst="roundRect">
          <a:avLst/>
        </a:prstGeom>
      </dgm:spPr>
    </dgm:pt>
    <dgm:pt modelId="{018E5AF3-A829-4E09-8E98-D1D7877E0213}" type="pres">
      <dgm:prSet presAssocID="{F4EE3823-0D87-4AE3-B207-B9C92AA034B0}" presName="rootConnector1" presStyleLbl="node1" presStyleIdx="0" presStyleCnt="0"/>
      <dgm:spPr/>
    </dgm:pt>
    <dgm:pt modelId="{88FE7C80-5F08-4B25-90A2-A8EBBF6F9C66}" type="pres">
      <dgm:prSet presAssocID="{F4EE3823-0D87-4AE3-B207-B9C92AA034B0}" presName="hierChild2" presStyleCnt="0"/>
      <dgm:spPr/>
    </dgm:pt>
    <dgm:pt modelId="{BC05FD7A-3B0E-4313-AEDF-C3798E665C51}" type="pres">
      <dgm:prSet presAssocID="{F4EE3823-0D87-4AE3-B207-B9C92AA034B0}" presName="hierChild3" presStyleCnt="0"/>
      <dgm:spPr/>
    </dgm:pt>
    <dgm:pt modelId="{03FC81E5-CEB9-49D5-A535-46B2DC3587AA}" type="pres">
      <dgm:prSet presAssocID="{65A7D94C-0ADB-4B3B-AEBA-C9F14CD3F520}" presName="hierRoot1" presStyleCnt="0">
        <dgm:presLayoutVars>
          <dgm:hierBranch val="init"/>
        </dgm:presLayoutVars>
      </dgm:prSet>
      <dgm:spPr/>
    </dgm:pt>
    <dgm:pt modelId="{77C77EEA-3470-4ED2-99A0-474D33B61B20}" type="pres">
      <dgm:prSet presAssocID="{65A7D94C-0ADB-4B3B-AEBA-C9F14CD3F520}" presName="rootComposite1" presStyleCnt="0"/>
      <dgm:spPr/>
    </dgm:pt>
    <dgm:pt modelId="{97EDAD61-B74E-4FCE-A5D0-CFDF8F6DFBCF}" type="pres">
      <dgm:prSet presAssocID="{65A7D94C-0ADB-4B3B-AEBA-C9F14CD3F520}" presName="rootText1" presStyleLbl="node0" presStyleIdx="2" presStyleCnt="4">
        <dgm:presLayoutVars>
          <dgm:chPref val="3"/>
        </dgm:presLayoutVars>
      </dgm:prSet>
      <dgm:spPr>
        <a:prstGeom prst="roundRect">
          <a:avLst/>
        </a:prstGeom>
      </dgm:spPr>
    </dgm:pt>
    <dgm:pt modelId="{023B17EA-9A15-4D4D-9679-2FAAA2B69159}" type="pres">
      <dgm:prSet presAssocID="{65A7D94C-0ADB-4B3B-AEBA-C9F14CD3F520}" presName="rootConnector1" presStyleLbl="node1" presStyleIdx="0" presStyleCnt="0"/>
      <dgm:spPr/>
    </dgm:pt>
    <dgm:pt modelId="{D49DC069-40EA-4BD1-B1C0-0A883A426206}" type="pres">
      <dgm:prSet presAssocID="{65A7D94C-0ADB-4B3B-AEBA-C9F14CD3F520}" presName="hierChild2" presStyleCnt="0"/>
      <dgm:spPr/>
    </dgm:pt>
    <dgm:pt modelId="{6709B94C-AD58-48AF-9F74-BD2C0A4383F1}" type="pres">
      <dgm:prSet presAssocID="{65A7D94C-0ADB-4B3B-AEBA-C9F14CD3F520}" presName="hierChild3" presStyleCnt="0"/>
      <dgm:spPr/>
    </dgm:pt>
    <dgm:pt modelId="{26DD964C-A8CE-48DC-B27D-FFD296E8DE1C}" type="pres">
      <dgm:prSet presAssocID="{231C3324-D7F8-4930-9DBC-88988ADC8D7E}" presName="hierRoot1" presStyleCnt="0">
        <dgm:presLayoutVars>
          <dgm:hierBranch val="init"/>
        </dgm:presLayoutVars>
      </dgm:prSet>
      <dgm:spPr/>
    </dgm:pt>
    <dgm:pt modelId="{F71BFCD2-984C-4EB2-8750-44E425EF4565}" type="pres">
      <dgm:prSet presAssocID="{231C3324-D7F8-4930-9DBC-88988ADC8D7E}" presName="rootComposite1" presStyleCnt="0"/>
      <dgm:spPr/>
    </dgm:pt>
    <dgm:pt modelId="{6EA0514E-D4A8-4C35-AFA6-DA2357600526}" type="pres">
      <dgm:prSet presAssocID="{231C3324-D7F8-4930-9DBC-88988ADC8D7E}" presName="rootText1" presStyleLbl="node0" presStyleIdx="3" presStyleCnt="4" custLinFactNeighborX="713">
        <dgm:presLayoutVars>
          <dgm:chPref val="3"/>
        </dgm:presLayoutVars>
      </dgm:prSet>
      <dgm:spPr>
        <a:prstGeom prst="roundRect">
          <a:avLst/>
        </a:prstGeom>
      </dgm:spPr>
    </dgm:pt>
    <dgm:pt modelId="{84F97916-93C2-4FC1-8F6D-B8AE97505FD5}" type="pres">
      <dgm:prSet presAssocID="{231C3324-D7F8-4930-9DBC-88988ADC8D7E}" presName="rootConnector1" presStyleLbl="node1" presStyleIdx="0" presStyleCnt="0"/>
      <dgm:spPr/>
    </dgm:pt>
    <dgm:pt modelId="{53D09DA4-91C5-4C30-A5DB-F263A5BC0947}" type="pres">
      <dgm:prSet presAssocID="{231C3324-D7F8-4930-9DBC-88988ADC8D7E}" presName="hierChild2" presStyleCnt="0"/>
      <dgm:spPr/>
    </dgm:pt>
    <dgm:pt modelId="{01A7F5CE-B6F5-47E7-84D6-FECA1DCF2942}" type="pres">
      <dgm:prSet presAssocID="{231C3324-D7F8-4930-9DBC-88988ADC8D7E}" presName="hierChild3" presStyleCnt="0"/>
      <dgm:spPr/>
    </dgm:pt>
  </dgm:ptLst>
  <dgm:cxnLst>
    <dgm:cxn modelId="{FC86011F-DDD8-46A2-A298-22B0CE9C9EA4}" type="presOf" srcId="{F4EE3823-0D87-4AE3-B207-B9C92AA034B0}" destId="{018E5AF3-A829-4E09-8E98-D1D7877E0213}" srcOrd="1" destOrd="0" presId="urn:microsoft.com/office/officeart/2005/8/layout/orgChart1"/>
    <dgm:cxn modelId="{51FAB61F-FF99-4A44-A066-2C550DA35D4A}" type="presOf" srcId="{F4EE3823-0D87-4AE3-B207-B9C92AA034B0}" destId="{C4A9AB7F-FB7B-4F29-B1C0-A3601F653CD5}" srcOrd="0" destOrd="0" presId="urn:microsoft.com/office/officeart/2005/8/layout/orgChart1"/>
    <dgm:cxn modelId="{810A8B3E-1822-492F-8745-A0E64D4CF788}" srcId="{B211E431-8379-4EB0-BA76-F81C5EE156A7}" destId="{65A7D94C-0ADB-4B3B-AEBA-C9F14CD3F520}" srcOrd="2" destOrd="0" parTransId="{F87749CE-F8BE-4B5A-9D92-D22B734EF70C}" sibTransId="{ED36108E-BBE4-42EB-BCE2-10A11C176342}"/>
    <dgm:cxn modelId="{DB9D2261-8069-4F23-824D-496539B12755}" type="presOf" srcId="{65A7D94C-0ADB-4B3B-AEBA-C9F14CD3F520}" destId="{023B17EA-9A15-4D4D-9679-2FAAA2B69159}" srcOrd="1" destOrd="0" presId="urn:microsoft.com/office/officeart/2005/8/layout/orgChart1"/>
    <dgm:cxn modelId="{3240D46D-175C-4425-B750-09E40EE2CA18}" type="presOf" srcId="{DA44302D-354F-4A63-84E5-FD49DC128414}" destId="{8BF88BBA-3D4E-45C4-A25F-F24DDFB6D29F}" srcOrd="1" destOrd="0" presId="urn:microsoft.com/office/officeart/2005/8/layout/orgChart1"/>
    <dgm:cxn modelId="{BC486683-4041-4EE0-9583-6CCDD871D21E}" type="presOf" srcId="{DA44302D-354F-4A63-84E5-FD49DC128414}" destId="{AB3F968A-693F-4798-A3E8-28C2B35A34DB}" srcOrd="0" destOrd="0" presId="urn:microsoft.com/office/officeart/2005/8/layout/orgChart1"/>
    <dgm:cxn modelId="{55119AB2-0985-472B-8D9A-ABF5B7C6FADF}" type="presOf" srcId="{231C3324-D7F8-4930-9DBC-88988ADC8D7E}" destId="{6EA0514E-D4A8-4C35-AFA6-DA2357600526}" srcOrd="0" destOrd="0" presId="urn:microsoft.com/office/officeart/2005/8/layout/orgChart1"/>
    <dgm:cxn modelId="{71BEAFB8-76DC-48AF-9362-77557E50C70B}" type="presOf" srcId="{65A7D94C-0ADB-4B3B-AEBA-C9F14CD3F520}" destId="{97EDAD61-B74E-4FCE-A5D0-CFDF8F6DFBCF}" srcOrd="0" destOrd="0" presId="urn:microsoft.com/office/officeart/2005/8/layout/orgChart1"/>
    <dgm:cxn modelId="{736721CE-9E3B-4322-89F3-408C47EF39FC}" srcId="{B211E431-8379-4EB0-BA76-F81C5EE156A7}" destId="{231C3324-D7F8-4930-9DBC-88988ADC8D7E}" srcOrd="3" destOrd="0" parTransId="{FE649273-7448-4D76-9BB3-5699160F9D00}" sibTransId="{CC8B92D3-923A-4C0E-BDA9-106FAC2309D1}"/>
    <dgm:cxn modelId="{4C8AE1DC-6091-41FC-A88C-0E3510C6D698}" srcId="{B211E431-8379-4EB0-BA76-F81C5EE156A7}" destId="{DA44302D-354F-4A63-84E5-FD49DC128414}" srcOrd="0" destOrd="0" parTransId="{D1B693F5-23D6-41F0-9011-89B3E6776DDC}" sibTransId="{8AB77DD4-729C-4F5E-A594-B7490ED991B0}"/>
    <dgm:cxn modelId="{E960DDDE-92C0-46C3-B605-85FDDFFA445F}" type="presOf" srcId="{B211E431-8379-4EB0-BA76-F81C5EE156A7}" destId="{32A85E14-A565-4C1B-9A92-718790595D20}" srcOrd="0" destOrd="0" presId="urn:microsoft.com/office/officeart/2005/8/layout/orgChart1"/>
    <dgm:cxn modelId="{BE13B7F2-DAF8-4431-BD4A-632AD42FBE11}" srcId="{B211E431-8379-4EB0-BA76-F81C5EE156A7}" destId="{F4EE3823-0D87-4AE3-B207-B9C92AA034B0}" srcOrd="1" destOrd="0" parTransId="{A5A9DDC0-379F-462B-AAE4-E3F2DE870258}" sibTransId="{E377B911-1FA6-443D-BE11-AD2AA372671A}"/>
    <dgm:cxn modelId="{2B87EDF3-BA03-4911-8A13-EC0B68339DCF}" type="presOf" srcId="{231C3324-D7F8-4930-9DBC-88988ADC8D7E}" destId="{84F97916-93C2-4FC1-8F6D-B8AE97505FD5}" srcOrd="1" destOrd="0" presId="urn:microsoft.com/office/officeart/2005/8/layout/orgChart1"/>
    <dgm:cxn modelId="{109093DB-3C37-4040-98F9-306E4741B11C}" type="presParOf" srcId="{32A85E14-A565-4C1B-9A92-718790595D20}" destId="{9B829A53-20E8-4578-B7C1-06D9B3358D39}" srcOrd="0" destOrd="0" presId="urn:microsoft.com/office/officeart/2005/8/layout/orgChart1"/>
    <dgm:cxn modelId="{C1B79804-9459-4210-9A1E-C656E723C594}" type="presParOf" srcId="{9B829A53-20E8-4578-B7C1-06D9B3358D39}" destId="{EC06CFDF-ED7A-4350-9666-67F772A3619B}" srcOrd="0" destOrd="0" presId="urn:microsoft.com/office/officeart/2005/8/layout/orgChart1"/>
    <dgm:cxn modelId="{15BE2CC8-209E-4657-9FC4-4A7B8B83F644}" type="presParOf" srcId="{EC06CFDF-ED7A-4350-9666-67F772A3619B}" destId="{AB3F968A-693F-4798-A3E8-28C2B35A34DB}" srcOrd="0" destOrd="0" presId="urn:microsoft.com/office/officeart/2005/8/layout/orgChart1"/>
    <dgm:cxn modelId="{2FA7CD36-2A26-4AEC-8B4E-7AD6DFB46F47}" type="presParOf" srcId="{EC06CFDF-ED7A-4350-9666-67F772A3619B}" destId="{8BF88BBA-3D4E-45C4-A25F-F24DDFB6D29F}" srcOrd="1" destOrd="0" presId="urn:microsoft.com/office/officeart/2005/8/layout/orgChart1"/>
    <dgm:cxn modelId="{66075EF7-B37D-41CF-A095-4F7F667558AD}" type="presParOf" srcId="{9B829A53-20E8-4578-B7C1-06D9B3358D39}" destId="{554A37BD-14BB-4E66-BBFE-3BB597B36B65}" srcOrd="1" destOrd="0" presId="urn:microsoft.com/office/officeart/2005/8/layout/orgChart1"/>
    <dgm:cxn modelId="{C4BA0443-7CF3-47F2-93E4-5EFB5B5D5061}" type="presParOf" srcId="{9B829A53-20E8-4578-B7C1-06D9B3358D39}" destId="{7EAA8959-EC9F-4E68-A774-D91B91E894B0}" srcOrd="2" destOrd="0" presId="urn:microsoft.com/office/officeart/2005/8/layout/orgChart1"/>
    <dgm:cxn modelId="{68B3D5C0-F49B-4942-9946-E274F1A5D84A}" type="presParOf" srcId="{32A85E14-A565-4C1B-9A92-718790595D20}" destId="{7A49AD4D-2211-4F77-A23D-FD56DC6A5438}" srcOrd="1" destOrd="0" presId="urn:microsoft.com/office/officeart/2005/8/layout/orgChart1"/>
    <dgm:cxn modelId="{57B2A540-600D-48B9-AC7E-A0E911833D1E}" type="presParOf" srcId="{7A49AD4D-2211-4F77-A23D-FD56DC6A5438}" destId="{F210273E-7FF4-4087-AFA2-A4C2938DF8BA}" srcOrd="0" destOrd="0" presId="urn:microsoft.com/office/officeart/2005/8/layout/orgChart1"/>
    <dgm:cxn modelId="{498669E3-A0E0-4AF7-B88E-E24C87794CE7}" type="presParOf" srcId="{F210273E-7FF4-4087-AFA2-A4C2938DF8BA}" destId="{C4A9AB7F-FB7B-4F29-B1C0-A3601F653CD5}" srcOrd="0" destOrd="0" presId="urn:microsoft.com/office/officeart/2005/8/layout/orgChart1"/>
    <dgm:cxn modelId="{2D2E88DB-5F73-4073-81FF-92577C72BEA9}" type="presParOf" srcId="{F210273E-7FF4-4087-AFA2-A4C2938DF8BA}" destId="{018E5AF3-A829-4E09-8E98-D1D7877E0213}" srcOrd="1" destOrd="0" presId="urn:microsoft.com/office/officeart/2005/8/layout/orgChart1"/>
    <dgm:cxn modelId="{DCD01AF4-7DEE-4417-BB90-0539F18825C0}" type="presParOf" srcId="{7A49AD4D-2211-4F77-A23D-FD56DC6A5438}" destId="{88FE7C80-5F08-4B25-90A2-A8EBBF6F9C66}" srcOrd="1" destOrd="0" presId="urn:microsoft.com/office/officeart/2005/8/layout/orgChart1"/>
    <dgm:cxn modelId="{CC2AC386-535F-413E-B02A-40797726C817}" type="presParOf" srcId="{7A49AD4D-2211-4F77-A23D-FD56DC6A5438}" destId="{BC05FD7A-3B0E-4313-AEDF-C3798E665C51}" srcOrd="2" destOrd="0" presId="urn:microsoft.com/office/officeart/2005/8/layout/orgChart1"/>
    <dgm:cxn modelId="{FADD3C89-6CA9-474C-ACFE-DEB27DB33634}" type="presParOf" srcId="{32A85E14-A565-4C1B-9A92-718790595D20}" destId="{03FC81E5-CEB9-49D5-A535-46B2DC3587AA}" srcOrd="2" destOrd="0" presId="urn:microsoft.com/office/officeart/2005/8/layout/orgChart1"/>
    <dgm:cxn modelId="{30AE77EA-A143-47B1-A16B-93D302A07D98}" type="presParOf" srcId="{03FC81E5-CEB9-49D5-A535-46B2DC3587AA}" destId="{77C77EEA-3470-4ED2-99A0-474D33B61B20}" srcOrd="0" destOrd="0" presId="urn:microsoft.com/office/officeart/2005/8/layout/orgChart1"/>
    <dgm:cxn modelId="{8D0EFCBD-C08E-4ADB-80B3-B6C73770A003}" type="presParOf" srcId="{77C77EEA-3470-4ED2-99A0-474D33B61B20}" destId="{97EDAD61-B74E-4FCE-A5D0-CFDF8F6DFBCF}" srcOrd="0" destOrd="0" presId="urn:microsoft.com/office/officeart/2005/8/layout/orgChart1"/>
    <dgm:cxn modelId="{4F787525-43E4-4A67-B267-266F9D88C18A}" type="presParOf" srcId="{77C77EEA-3470-4ED2-99A0-474D33B61B20}" destId="{023B17EA-9A15-4D4D-9679-2FAAA2B69159}" srcOrd="1" destOrd="0" presId="urn:microsoft.com/office/officeart/2005/8/layout/orgChart1"/>
    <dgm:cxn modelId="{F48112C2-F925-4619-B7E5-23D57848F9FC}" type="presParOf" srcId="{03FC81E5-CEB9-49D5-A535-46B2DC3587AA}" destId="{D49DC069-40EA-4BD1-B1C0-0A883A426206}" srcOrd="1" destOrd="0" presId="urn:microsoft.com/office/officeart/2005/8/layout/orgChart1"/>
    <dgm:cxn modelId="{DE0F51ED-D7CB-4C04-A8E9-86204808562C}" type="presParOf" srcId="{03FC81E5-CEB9-49D5-A535-46B2DC3587AA}" destId="{6709B94C-AD58-48AF-9F74-BD2C0A4383F1}" srcOrd="2" destOrd="0" presId="urn:microsoft.com/office/officeart/2005/8/layout/orgChart1"/>
    <dgm:cxn modelId="{A0EA2916-83E6-4F65-A62F-74C87C6994F0}" type="presParOf" srcId="{32A85E14-A565-4C1B-9A92-718790595D20}" destId="{26DD964C-A8CE-48DC-B27D-FFD296E8DE1C}" srcOrd="3" destOrd="0" presId="urn:microsoft.com/office/officeart/2005/8/layout/orgChart1"/>
    <dgm:cxn modelId="{DD3D29E3-C35A-4C2A-A3F4-CD5D57414BF1}" type="presParOf" srcId="{26DD964C-A8CE-48DC-B27D-FFD296E8DE1C}" destId="{F71BFCD2-984C-4EB2-8750-44E425EF4565}" srcOrd="0" destOrd="0" presId="urn:microsoft.com/office/officeart/2005/8/layout/orgChart1"/>
    <dgm:cxn modelId="{638E1360-6732-4525-BB7F-130463850243}" type="presParOf" srcId="{F71BFCD2-984C-4EB2-8750-44E425EF4565}" destId="{6EA0514E-D4A8-4C35-AFA6-DA2357600526}" srcOrd="0" destOrd="0" presId="urn:microsoft.com/office/officeart/2005/8/layout/orgChart1"/>
    <dgm:cxn modelId="{4C39EBDE-67AD-439D-AC64-3A5D0D7DD86A}" type="presParOf" srcId="{F71BFCD2-984C-4EB2-8750-44E425EF4565}" destId="{84F97916-93C2-4FC1-8F6D-B8AE97505FD5}" srcOrd="1" destOrd="0" presId="urn:microsoft.com/office/officeart/2005/8/layout/orgChart1"/>
    <dgm:cxn modelId="{75063CF0-31FE-4C26-ABE3-7E1979B6948E}" type="presParOf" srcId="{26DD964C-A8CE-48DC-B27D-FFD296E8DE1C}" destId="{53D09DA4-91C5-4C30-A5DB-F263A5BC0947}" srcOrd="1" destOrd="0" presId="urn:microsoft.com/office/officeart/2005/8/layout/orgChart1"/>
    <dgm:cxn modelId="{484C9C46-8821-40F6-A121-EAAB9BF4ED88}" type="presParOf" srcId="{26DD964C-A8CE-48DC-B27D-FFD296E8DE1C}" destId="{01A7F5CE-B6F5-47E7-84D6-FECA1DCF2942}"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3F968A-693F-4798-A3E8-28C2B35A34DB}">
      <dsp:nvSpPr>
        <dsp:cNvPr id="0" name=""/>
        <dsp:cNvSpPr/>
      </dsp:nvSpPr>
      <dsp:spPr>
        <a:xfrm>
          <a:off x="2923" y="97783"/>
          <a:ext cx="1219226" cy="609613"/>
        </a:xfrm>
        <a:prstGeom prst="roundRect">
          <a:avLst/>
        </a:prstGeom>
        <a:solidFill>
          <a:srgbClr val="ED7D31"/>
        </a:solidFill>
        <a:ln w="12700" cap="flat" cmpd="sng" algn="ctr">
          <a:noFill/>
          <a:prstDash val="solid"/>
          <a:miter lim="800000"/>
        </a:ln>
        <a:effectLst>
          <a:outerShdw blurRad="50800" dist="38100" dir="2700000" algn="tl" rotWithShape="0">
            <a:prstClr val="black">
              <a:alpha val="40000"/>
            </a:prst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solidFill>
                <a:sysClr val="window" lastClr="FFFFFF"/>
              </a:solidFill>
              <a:latin typeface="Times New Roman" panose="02020603050405020304" pitchFamily="18" charset="0"/>
              <a:ea typeface="+mn-ea"/>
              <a:cs typeface="Times New Roman" panose="02020603050405020304" pitchFamily="18" charset="0"/>
            </a:rPr>
            <a:t>Ergonomic Strain</a:t>
          </a:r>
        </a:p>
      </dsp:txBody>
      <dsp:txXfrm>
        <a:off x="32682" y="127542"/>
        <a:ext cx="1159708" cy="550095"/>
      </dsp:txXfrm>
    </dsp:sp>
    <dsp:sp modelId="{C4A9AB7F-FB7B-4F29-B1C0-A3601F653CD5}">
      <dsp:nvSpPr>
        <dsp:cNvPr id="0" name=""/>
        <dsp:cNvSpPr/>
      </dsp:nvSpPr>
      <dsp:spPr>
        <a:xfrm>
          <a:off x="1478187" y="97783"/>
          <a:ext cx="1219226" cy="609613"/>
        </a:xfrm>
        <a:prstGeom prst="roundRect">
          <a:avLst/>
        </a:prstGeom>
        <a:solidFill>
          <a:srgbClr val="5B9BD5"/>
        </a:solidFill>
        <a:ln>
          <a:noFill/>
        </a:ln>
        <a:effectLst>
          <a:outerShdw blurRad="50800" dist="38100" dir="2700000" algn="tl" rotWithShape="0">
            <a:prstClr val="black">
              <a:alpha val="40000"/>
            </a:prstClr>
          </a:outerShdw>
        </a:effectLst>
      </dsp:spPr>
      <dsp:style>
        <a:lnRef idx="0">
          <a:scrgbClr r="0" g="0" b="0"/>
        </a:lnRef>
        <a:fillRef idx="0">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solidFill>
                <a:sysClr val="window" lastClr="FFFFFF"/>
              </a:solidFill>
              <a:latin typeface="Times New Roman" panose="02020603050405020304" pitchFamily="18" charset="0"/>
              <a:ea typeface="+mn-ea"/>
              <a:cs typeface="Times New Roman" panose="02020603050405020304" pitchFamily="18" charset="0"/>
            </a:rPr>
            <a:t>Exposure to Hazardous Chemicals</a:t>
          </a:r>
        </a:p>
      </dsp:txBody>
      <dsp:txXfrm>
        <a:off x="1507946" y="127542"/>
        <a:ext cx="1159708" cy="550095"/>
      </dsp:txXfrm>
    </dsp:sp>
    <dsp:sp modelId="{97EDAD61-B74E-4FCE-A5D0-CFDF8F6DFBCF}">
      <dsp:nvSpPr>
        <dsp:cNvPr id="0" name=""/>
        <dsp:cNvSpPr/>
      </dsp:nvSpPr>
      <dsp:spPr>
        <a:xfrm>
          <a:off x="2953451" y="97783"/>
          <a:ext cx="1219226" cy="609613"/>
        </a:xfrm>
        <a:prstGeom prst="roundRect">
          <a:avLst/>
        </a:prstGeom>
        <a:solidFill>
          <a:srgbClr val="70AD47"/>
        </a:solidFill>
        <a:ln>
          <a:noFill/>
        </a:ln>
        <a:effectLst>
          <a:outerShdw blurRad="50800" dist="38100" dir="2700000" algn="tl" rotWithShape="0">
            <a:prstClr val="black">
              <a:alpha val="40000"/>
            </a:prstClr>
          </a:outerShdw>
        </a:effectLst>
      </dsp:spPr>
      <dsp:style>
        <a:lnRef idx="0">
          <a:scrgbClr r="0" g="0" b="0"/>
        </a:lnRef>
        <a:fillRef idx="0">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solidFill>
                <a:sysClr val="window" lastClr="FFFFFF"/>
              </a:solidFill>
              <a:latin typeface="Times New Roman" panose="02020603050405020304" pitchFamily="18" charset="0"/>
              <a:ea typeface="+mn-ea"/>
              <a:cs typeface="Times New Roman" panose="02020603050405020304" pitchFamily="18" charset="0"/>
            </a:rPr>
            <a:t>Lifting Heavy Objects</a:t>
          </a:r>
        </a:p>
      </dsp:txBody>
      <dsp:txXfrm>
        <a:off x="2983210" y="127542"/>
        <a:ext cx="1159708" cy="550095"/>
      </dsp:txXfrm>
    </dsp:sp>
    <dsp:sp modelId="{6EA0514E-D4A8-4C35-AFA6-DA2357600526}">
      <dsp:nvSpPr>
        <dsp:cNvPr id="0" name=""/>
        <dsp:cNvSpPr/>
      </dsp:nvSpPr>
      <dsp:spPr>
        <a:xfrm>
          <a:off x="4431638" y="97783"/>
          <a:ext cx="1219226" cy="609613"/>
        </a:xfrm>
        <a:prstGeom prst="roundRect">
          <a:avLst/>
        </a:prstGeom>
        <a:solidFill>
          <a:srgbClr val="FFC000"/>
        </a:solidFill>
        <a:ln>
          <a:noFill/>
        </a:ln>
        <a:effectLst>
          <a:outerShdw blurRad="50800" dist="38100" dir="2700000" algn="tl" rotWithShape="0">
            <a:prstClr val="black">
              <a:alpha val="40000"/>
            </a:prstClr>
          </a:outerShdw>
        </a:effectLst>
      </dsp:spPr>
      <dsp:style>
        <a:lnRef idx="0">
          <a:scrgbClr r="0" g="0" b="0"/>
        </a:lnRef>
        <a:fillRef idx="0">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solidFill>
                <a:sysClr val="window" lastClr="FFFFFF"/>
              </a:solidFill>
              <a:latin typeface="Times New Roman" panose="02020603050405020304" pitchFamily="18" charset="0"/>
              <a:ea typeface="+mn-ea"/>
              <a:cs typeface="Times New Roman" panose="02020603050405020304" pitchFamily="18" charset="0"/>
            </a:rPr>
            <a:t>Slippery Floors</a:t>
          </a:r>
        </a:p>
      </dsp:txBody>
      <dsp:txXfrm>
        <a:off x="4461397" y="127542"/>
        <a:ext cx="1159708" cy="55009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936</Words>
  <Characters>5339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 Oliullah</cp:lastModifiedBy>
  <cp:revision>2</cp:revision>
  <dcterms:created xsi:type="dcterms:W3CDTF">2024-02-22T20:46:00Z</dcterms:created>
  <dcterms:modified xsi:type="dcterms:W3CDTF">2024-02-22T20:46:00Z</dcterms:modified>
</cp:coreProperties>
</file>