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06C4D" w:rsidRPr="007F0745" w:rsidRDefault="00E26054">
      <w:pPr>
        <w:rPr>
          <w:rFonts w:ascii="Cambria" w:hAnsi="Cambria"/>
          <w:b/>
          <w:sz w:val="24"/>
        </w:rPr>
      </w:pPr>
      <w:r w:rsidRPr="00BC7864">
        <w:rPr>
          <w:rFonts w:ascii="Cambria" w:hAnsi="Cambria"/>
          <w:b/>
          <w:sz w:val="28"/>
          <w:u w:val="single"/>
        </w:rPr>
        <w:t>Anthropology.</w:t>
      </w:r>
      <w:r w:rsidRPr="00BC7864">
        <w:rPr>
          <w:rFonts w:ascii="Cambria" w:hAnsi="Cambria"/>
          <w:b/>
          <w:sz w:val="28"/>
          <w:u w:val="single"/>
        </w:rPr>
        <w:br/>
        <w:t>People’s Worlds: Lives and Livelihoods.</w:t>
      </w:r>
      <w:r w:rsidRPr="00BC7864">
        <w:rPr>
          <w:rFonts w:ascii="Cambria" w:hAnsi="Cambria"/>
          <w:sz w:val="28"/>
        </w:rPr>
        <w:t xml:space="preserve">  </w:t>
      </w:r>
      <w:r>
        <w:rPr>
          <w:rFonts w:ascii="Cambria" w:hAnsi="Cambria"/>
          <w:sz w:val="28"/>
        </w:rPr>
        <w:br/>
      </w:r>
      <w:r>
        <w:rPr>
          <w:rFonts w:ascii="Cambria" w:hAnsi="Cambria"/>
          <w:sz w:val="28"/>
        </w:rPr>
        <w:br/>
      </w:r>
      <w:r>
        <w:rPr>
          <w:rFonts w:ascii="Cambria" w:hAnsi="Cambria"/>
          <w:sz w:val="24"/>
        </w:rPr>
        <w:t xml:space="preserve">             </w:t>
      </w:r>
      <w:r w:rsidR="0034355F">
        <w:rPr>
          <w:rFonts w:ascii="Cambria" w:hAnsi="Cambria"/>
          <w:sz w:val="24"/>
        </w:rPr>
        <w:t xml:space="preserve">  </w:t>
      </w:r>
      <w:r>
        <w:rPr>
          <w:rFonts w:ascii="Cambria" w:hAnsi="Cambria"/>
          <w:sz w:val="24"/>
        </w:rPr>
        <w:t xml:space="preserve">    ‘In 1000 words explain how sex and gender beliefs shape social life.’</w:t>
      </w:r>
      <w:r>
        <w:rPr>
          <w:rFonts w:ascii="Cambria" w:hAnsi="Cambria"/>
          <w:sz w:val="24"/>
        </w:rPr>
        <w:br/>
      </w:r>
      <w:r>
        <w:rPr>
          <w:rFonts w:ascii="Cambria" w:hAnsi="Cambria"/>
          <w:sz w:val="24"/>
        </w:rPr>
        <w:br/>
      </w:r>
      <w:r w:rsidR="005B15CD">
        <w:rPr>
          <w:rFonts w:ascii="Cambria" w:hAnsi="Cambria"/>
          <w:sz w:val="24"/>
        </w:rPr>
        <w:t>In all societies, biological males and females are socialised into various gender roles, roles that may differ depending on cultural factors and economic climates</w:t>
      </w:r>
      <w:r w:rsidR="006D5F22">
        <w:rPr>
          <w:rFonts w:ascii="Cambria" w:hAnsi="Cambria"/>
          <w:sz w:val="24"/>
        </w:rPr>
        <w:t xml:space="preserve">. </w:t>
      </w:r>
      <w:r w:rsidR="009569B0">
        <w:rPr>
          <w:rFonts w:ascii="Cambria" w:hAnsi="Cambria"/>
          <w:sz w:val="24"/>
        </w:rPr>
        <w:br/>
      </w:r>
      <w:r w:rsidR="005B15CD">
        <w:rPr>
          <w:rFonts w:ascii="Cambria" w:hAnsi="Cambria"/>
          <w:sz w:val="24"/>
        </w:rPr>
        <w:t xml:space="preserve">The term </w:t>
      </w:r>
      <w:r>
        <w:rPr>
          <w:rFonts w:ascii="Cambria" w:hAnsi="Cambria"/>
          <w:sz w:val="24"/>
        </w:rPr>
        <w:t>‘</w:t>
      </w:r>
      <w:r w:rsidR="005B15CD">
        <w:rPr>
          <w:rFonts w:ascii="Cambria" w:hAnsi="Cambria"/>
          <w:sz w:val="24"/>
        </w:rPr>
        <w:t>s</w:t>
      </w:r>
      <w:r>
        <w:rPr>
          <w:rFonts w:ascii="Cambria" w:hAnsi="Cambria"/>
          <w:sz w:val="24"/>
        </w:rPr>
        <w:t>ex’ usually refers to biological factors of being, whilst</w:t>
      </w:r>
      <w:r w:rsidR="005B15CD">
        <w:rPr>
          <w:rFonts w:ascii="Cambria" w:hAnsi="Cambria"/>
          <w:sz w:val="24"/>
        </w:rPr>
        <w:t xml:space="preserve"> the term</w:t>
      </w:r>
      <w:r>
        <w:rPr>
          <w:rFonts w:ascii="Cambria" w:hAnsi="Cambria"/>
          <w:sz w:val="24"/>
        </w:rPr>
        <w:t xml:space="preserve"> ‘</w:t>
      </w:r>
      <w:r w:rsidR="005B15CD">
        <w:rPr>
          <w:rFonts w:ascii="Cambria" w:hAnsi="Cambria"/>
          <w:sz w:val="24"/>
        </w:rPr>
        <w:t>g</w:t>
      </w:r>
      <w:r>
        <w:rPr>
          <w:rFonts w:ascii="Cambria" w:hAnsi="Cambria"/>
          <w:sz w:val="24"/>
        </w:rPr>
        <w:t>ender’ often refers to ‘’share</w:t>
      </w:r>
      <w:r w:rsidR="005B15CD">
        <w:rPr>
          <w:rFonts w:ascii="Cambria" w:hAnsi="Cambria"/>
          <w:sz w:val="24"/>
        </w:rPr>
        <w:t>d and learned ideas</w:t>
      </w:r>
      <w:r>
        <w:rPr>
          <w:rFonts w:ascii="Cambria" w:hAnsi="Cambria"/>
          <w:sz w:val="24"/>
        </w:rPr>
        <w:t xml:space="preserve"> a group has regarding identity.’’ </w:t>
      </w:r>
      <w:sdt>
        <w:sdtPr>
          <w:rPr>
            <w:rFonts w:ascii="Cambria" w:hAnsi="Cambria"/>
            <w:sz w:val="24"/>
          </w:rPr>
          <w:id w:val="2125188464"/>
          <w:citation/>
        </w:sdtPr>
        <w:sdtEndPr/>
        <w:sdtContent>
          <w:r>
            <w:rPr>
              <w:rFonts w:ascii="Cambria" w:hAnsi="Cambria"/>
              <w:sz w:val="24"/>
            </w:rPr>
            <w:fldChar w:fldCharType="begin"/>
          </w:r>
          <w:r w:rsidR="009569B0">
            <w:rPr>
              <w:rFonts w:ascii="Cambria" w:hAnsi="Cambria"/>
              <w:sz w:val="24"/>
            </w:rPr>
            <w:instrText xml:space="preserve">CITATION Gil87 \p 67 \l 2057 </w:instrText>
          </w:r>
          <w:r>
            <w:rPr>
              <w:rFonts w:ascii="Cambria" w:hAnsi="Cambria"/>
              <w:sz w:val="24"/>
            </w:rPr>
            <w:fldChar w:fldCharType="separate"/>
          </w:r>
          <w:r w:rsidR="009569B0" w:rsidRPr="009569B0">
            <w:rPr>
              <w:rFonts w:ascii="Cambria" w:hAnsi="Cambria"/>
              <w:noProof/>
              <w:sz w:val="24"/>
            </w:rPr>
            <w:t>(Herdt, 1987, p. 67)</w:t>
          </w:r>
          <w:r>
            <w:rPr>
              <w:rFonts w:ascii="Cambria" w:hAnsi="Cambria"/>
              <w:sz w:val="24"/>
            </w:rPr>
            <w:fldChar w:fldCharType="end"/>
          </w:r>
        </w:sdtContent>
      </w:sdt>
      <w:r w:rsidR="006D5F22">
        <w:rPr>
          <w:rFonts w:ascii="Cambria" w:hAnsi="Cambria"/>
          <w:sz w:val="24"/>
        </w:rPr>
        <w:t xml:space="preserve"> </w:t>
      </w:r>
      <w:r w:rsidR="005B15CD">
        <w:rPr>
          <w:rFonts w:ascii="Cambria" w:hAnsi="Cambria"/>
          <w:sz w:val="24"/>
        </w:rPr>
        <w:t xml:space="preserve">This will be the case within this essay. </w:t>
      </w:r>
      <w:r w:rsidR="009569B0">
        <w:rPr>
          <w:rFonts w:ascii="Cambria" w:hAnsi="Cambria"/>
          <w:sz w:val="24"/>
        </w:rPr>
        <w:br/>
      </w:r>
      <w:r w:rsidR="009569B0">
        <w:rPr>
          <w:rFonts w:ascii="Cambria" w:hAnsi="Cambria"/>
          <w:sz w:val="24"/>
        </w:rPr>
        <w:br/>
      </w:r>
      <w:r w:rsidR="009569B0">
        <w:rPr>
          <w:rFonts w:ascii="Cambria" w:hAnsi="Cambria"/>
          <w:b/>
          <w:sz w:val="24"/>
        </w:rPr>
        <w:t xml:space="preserve">The </w:t>
      </w:r>
      <w:proofErr w:type="spellStart"/>
      <w:r w:rsidR="009569B0">
        <w:rPr>
          <w:rFonts w:ascii="Cambria" w:hAnsi="Cambria"/>
          <w:b/>
          <w:sz w:val="24"/>
        </w:rPr>
        <w:t>Sambia</w:t>
      </w:r>
      <w:proofErr w:type="spellEnd"/>
      <w:r w:rsidR="009569B0">
        <w:rPr>
          <w:rFonts w:ascii="Cambria" w:hAnsi="Cambria"/>
          <w:b/>
          <w:sz w:val="24"/>
        </w:rPr>
        <w:t xml:space="preserve"> of New Guinea.</w:t>
      </w:r>
      <w:r w:rsidR="009569B0">
        <w:rPr>
          <w:rFonts w:ascii="Cambria" w:hAnsi="Cambria"/>
          <w:b/>
          <w:sz w:val="24"/>
        </w:rPr>
        <w:br/>
      </w:r>
      <w:r w:rsidR="009569B0">
        <w:rPr>
          <w:rFonts w:ascii="Cambria" w:hAnsi="Cambria"/>
          <w:b/>
          <w:sz w:val="24"/>
        </w:rPr>
        <w:br/>
      </w:r>
      <w:r w:rsidR="009569B0">
        <w:rPr>
          <w:rFonts w:ascii="Cambria" w:hAnsi="Cambria"/>
          <w:sz w:val="24"/>
        </w:rPr>
        <w:t xml:space="preserve">The </w:t>
      </w:r>
      <w:proofErr w:type="spellStart"/>
      <w:r w:rsidR="009569B0">
        <w:rPr>
          <w:rFonts w:ascii="Cambria" w:hAnsi="Cambria"/>
          <w:sz w:val="24"/>
        </w:rPr>
        <w:t>Sambia</w:t>
      </w:r>
      <w:proofErr w:type="spellEnd"/>
      <w:r w:rsidR="009569B0">
        <w:rPr>
          <w:rFonts w:ascii="Cambria" w:hAnsi="Cambria"/>
          <w:sz w:val="24"/>
        </w:rPr>
        <w:t xml:space="preserve"> people are an indigenous group that inhabit the mountainous eastern region of Papua New Guinea, dependant on hunting and horticulture. As noted by </w:t>
      </w:r>
      <w:proofErr w:type="spellStart"/>
      <w:r w:rsidR="009569B0">
        <w:rPr>
          <w:rFonts w:ascii="Cambria" w:hAnsi="Cambria"/>
          <w:sz w:val="24"/>
        </w:rPr>
        <w:t>Herdt</w:t>
      </w:r>
      <w:proofErr w:type="spellEnd"/>
      <w:r w:rsidR="009569B0">
        <w:rPr>
          <w:rFonts w:ascii="Cambria" w:hAnsi="Cambria"/>
          <w:sz w:val="24"/>
        </w:rPr>
        <w:t xml:space="preserve">, some cultures can be restrictive in regards to sex and gender, and </w:t>
      </w:r>
      <w:proofErr w:type="spellStart"/>
      <w:r w:rsidR="009569B0">
        <w:rPr>
          <w:rFonts w:ascii="Cambria" w:hAnsi="Cambria"/>
          <w:sz w:val="24"/>
        </w:rPr>
        <w:t>Sambia</w:t>
      </w:r>
      <w:proofErr w:type="spellEnd"/>
      <w:r w:rsidR="009569B0">
        <w:rPr>
          <w:rFonts w:ascii="Cambria" w:hAnsi="Cambria"/>
          <w:sz w:val="24"/>
        </w:rPr>
        <w:t xml:space="preserve"> culture ‘’like that of many other New Guinea societies, is highly restrictive in this way</w:t>
      </w:r>
      <w:r w:rsidR="00AF6F88">
        <w:rPr>
          <w:rFonts w:ascii="Cambria" w:hAnsi="Cambria"/>
          <w:sz w:val="24"/>
        </w:rPr>
        <w:t xml:space="preserve">’’ </w:t>
      </w:r>
      <w:sdt>
        <w:sdtPr>
          <w:rPr>
            <w:rFonts w:ascii="Cambria" w:hAnsi="Cambria"/>
            <w:sz w:val="24"/>
          </w:rPr>
          <w:id w:val="540564750"/>
          <w:citation/>
        </w:sdtPr>
        <w:sdtEndPr/>
        <w:sdtContent>
          <w:r w:rsidR="00AF6F88">
            <w:rPr>
              <w:rFonts w:ascii="Cambria" w:hAnsi="Cambria"/>
              <w:sz w:val="24"/>
            </w:rPr>
            <w:fldChar w:fldCharType="begin"/>
          </w:r>
          <w:r w:rsidR="00AF6F88">
            <w:rPr>
              <w:rFonts w:ascii="Cambria" w:hAnsi="Cambria"/>
              <w:sz w:val="24"/>
            </w:rPr>
            <w:instrText xml:space="preserve">CITATION Gil87 \p 67 \l 2057 </w:instrText>
          </w:r>
          <w:r w:rsidR="00AF6F88">
            <w:rPr>
              <w:rFonts w:ascii="Cambria" w:hAnsi="Cambria"/>
              <w:sz w:val="24"/>
            </w:rPr>
            <w:fldChar w:fldCharType="separate"/>
          </w:r>
          <w:r w:rsidR="00AF6F88" w:rsidRPr="00AF6F88">
            <w:rPr>
              <w:rFonts w:ascii="Cambria" w:hAnsi="Cambria"/>
              <w:noProof/>
              <w:sz w:val="24"/>
            </w:rPr>
            <w:t>(Herdt, 1987, p. 67)</w:t>
          </w:r>
          <w:r w:rsidR="00AF6F88">
            <w:rPr>
              <w:rFonts w:ascii="Cambria" w:hAnsi="Cambria"/>
              <w:sz w:val="24"/>
            </w:rPr>
            <w:fldChar w:fldCharType="end"/>
          </w:r>
        </w:sdtContent>
      </w:sdt>
      <w:r w:rsidR="00AF6F88">
        <w:rPr>
          <w:rFonts w:ascii="Cambria" w:hAnsi="Cambria"/>
          <w:sz w:val="24"/>
        </w:rPr>
        <w:t xml:space="preserve"> with strict sex-based boundaries and rigid gender-roles. </w:t>
      </w:r>
      <w:r w:rsidR="00AF6F88">
        <w:rPr>
          <w:rFonts w:ascii="Cambria" w:hAnsi="Cambria"/>
          <w:sz w:val="24"/>
        </w:rPr>
        <w:br/>
      </w:r>
      <w:r w:rsidR="00AF6F88">
        <w:rPr>
          <w:rFonts w:ascii="Cambria" w:hAnsi="Cambria"/>
          <w:sz w:val="24"/>
        </w:rPr>
        <w:br/>
        <w:t>For males among</w:t>
      </w:r>
      <w:r w:rsidR="00372238">
        <w:rPr>
          <w:rFonts w:ascii="Cambria" w:hAnsi="Cambria"/>
          <w:sz w:val="24"/>
        </w:rPr>
        <w:t xml:space="preserve">st the </w:t>
      </w:r>
      <w:proofErr w:type="spellStart"/>
      <w:r w:rsidR="00372238">
        <w:rPr>
          <w:rFonts w:ascii="Cambria" w:hAnsi="Cambria"/>
          <w:sz w:val="24"/>
        </w:rPr>
        <w:t>Sambia</w:t>
      </w:r>
      <w:proofErr w:type="spellEnd"/>
      <w:r w:rsidR="00372238">
        <w:rPr>
          <w:rFonts w:ascii="Cambria" w:hAnsi="Cambria"/>
          <w:sz w:val="24"/>
        </w:rPr>
        <w:t>, manhood is achieved</w:t>
      </w:r>
      <w:r w:rsidR="00AF6F88">
        <w:rPr>
          <w:rFonts w:ascii="Cambria" w:hAnsi="Cambria"/>
          <w:sz w:val="24"/>
        </w:rPr>
        <w:t xml:space="preserve"> rather than a given, with initiation and a number of rituals being key to becoming ‘masculinised’. Once masculinised, males are subject to normative gender roles, </w:t>
      </w:r>
      <w:r w:rsidR="00372238">
        <w:rPr>
          <w:rFonts w:ascii="Cambria" w:hAnsi="Cambria"/>
          <w:sz w:val="24"/>
        </w:rPr>
        <w:t xml:space="preserve">in which only masculine behaviour is acceptable. For a male of the </w:t>
      </w:r>
      <w:proofErr w:type="spellStart"/>
      <w:r w:rsidR="00372238">
        <w:rPr>
          <w:rFonts w:ascii="Cambria" w:hAnsi="Cambria"/>
          <w:sz w:val="24"/>
        </w:rPr>
        <w:t>Sambia</w:t>
      </w:r>
      <w:proofErr w:type="spellEnd"/>
      <w:r w:rsidR="00372238">
        <w:rPr>
          <w:rFonts w:ascii="Cambria" w:hAnsi="Cambria"/>
          <w:sz w:val="24"/>
        </w:rPr>
        <w:t>, th</w:t>
      </w:r>
      <w:r w:rsidR="003D76EC">
        <w:rPr>
          <w:rFonts w:ascii="Cambria" w:hAnsi="Cambria"/>
          <w:sz w:val="24"/>
        </w:rPr>
        <w:t xml:space="preserve">e requirements of the male’s </w:t>
      </w:r>
      <w:r w:rsidR="00372238">
        <w:rPr>
          <w:rFonts w:ascii="Cambria" w:hAnsi="Cambria"/>
          <w:sz w:val="24"/>
        </w:rPr>
        <w:t xml:space="preserve">role include: participation in war-raids and engagement in other warrior duties, success in hunting, the upkeep of a bountiful garden, and providing for a family of at least two children. In order to be considered fully masculinised, a male also has to be married, however must not spend too much time with women or children. </w:t>
      </w:r>
      <w:sdt>
        <w:sdtPr>
          <w:rPr>
            <w:rFonts w:ascii="Cambria" w:hAnsi="Cambria"/>
            <w:sz w:val="24"/>
          </w:rPr>
          <w:id w:val="-247652633"/>
          <w:citation/>
        </w:sdtPr>
        <w:sdtEndPr/>
        <w:sdtContent>
          <w:r w:rsidR="00372238">
            <w:rPr>
              <w:rFonts w:ascii="Cambria" w:hAnsi="Cambria"/>
              <w:sz w:val="24"/>
            </w:rPr>
            <w:fldChar w:fldCharType="begin"/>
          </w:r>
          <w:r w:rsidR="00372238">
            <w:rPr>
              <w:rFonts w:ascii="Cambria" w:hAnsi="Cambria"/>
              <w:sz w:val="24"/>
            </w:rPr>
            <w:instrText xml:space="preserve"> CITATION Gil87 \l 2057 </w:instrText>
          </w:r>
          <w:r w:rsidR="00372238">
            <w:rPr>
              <w:rFonts w:ascii="Cambria" w:hAnsi="Cambria"/>
              <w:sz w:val="24"/>
            </w:rPr>
            <w:fldChar w:fldCharType="separate"/>
          </w:r>
          <w:r w:rsidR="00372238" w:rsidRPr="00372238">
            <w:rPr>
              <w:rFonts w:ascii="Cambria" w:hAnsi="Cambria"/>
              <w:noProof/>
              <w:sz w:val="24"/>
            </w:rPr>
            <w:t>(Herdt, 1987)</w:t>
          </w:r>
          <w:r w:rsidR="00372238">
            <w:rPr>
              <w:rFonts w:ascii="Cambria" w:hAnsi="Cambria"/>
              <w:sz w:val="24"/>
            </w:rPr>
            <w:fldChar w:fldCharType="end"/>
          </w:r>
        </w:sdtContent>
      </w:sdt>
      <w:r w:rsidR="00372238">
        <w:rPr>
          <w:rFonts w:ascii="Cambria" w:hAnsi="Cambria"/>
          <w:sz w:val="24"/>
        </w:rPr>
        <w:t xml:space="preserve"> </w:t>
      </w:r>
      <w:r w:rsidR="003D76EC">
        <w:rPr>
          <w:rFonts w:ascii="Cambria" w:hAnsi="Cambria"/>
          <w:sz w:val="24"/>
        </w:rPr>
        <w:t>Part of the reason as to why men do not spend what is considered ‘’too much time with women’’, is because certain events and activities in a women’s life are only to take place amongst women, such as menstruation and childbirth</w:t>
      </w:r>
      <w:r w:rsidR="0034355F">
        <w:rPr>
          <w:rFonts w:ascii="Cambria" w:hAnsi="Cambria"/>
          <w:sz w:val="24"/>
        </w:rPr>
        <w:t xml:space="preserve">, which are both events that the </w:t>
      </w:r>
      <w:proofErr w:type="spellStart"/>
      <w:r w:rsidR="0034355F">
        <w:rPr>
          <w:rFonts w:ascii="Cambria" w:hAnsi="Cambria"/>
          <w:sz w:val="24"/>
        </w:rPr>
        <w:t>Sambia</w:t>
      </w:r>
      <w:proofErr w:type="spellEnd"/>
      <w:r w:rsidR="0034355F">
        <w:rPr>
          <w:rFonts w:ascii="Cambria" w:hAnsi="Cambria"/>
          <w:sz w:val="24"/>
        </w:rPr>
        <w:t xml:space="preserve"> view as a pollutant.</w:t>
      </w:r>
      <w:r w:rsidR="003D76EC">
        <w:rPr>
          <w:rFonts w:ascii="Cambria" w:hAnsi="Cambria"/>
          <w:sz w:val="24"/>
        </w:rPr>
        <w:br/>
      </w:r>
      <w:r w:rsidR="003D76EC">
        <w:rPr>
          <w:rFonts w:ascii="Cambria" w:hAnsi="Cambria"/>
          <w:sz w:val="24"/>
        </w:rPr>
        <w:br/>
        <w:t xml:space="preserve">Like men, women of the </w:t>
      </w:r>
      <w:proofErr w:type="spellStart"/>
      <w:r w:rsidR="003D76EC">
        <w:rPr>
          <w:rFonts w:ascii="Cambria" w:hAnsi="Cambria"/>
          <w:sz w:val="24"/>
        </w:rPr>
        <w:t>Sambia</w:t>
      </w:r>
      <w:proofErr w:type="spellEnd"/>
      <w:r w:rsidR="003D76EC">
        <w:rPr>
          <w:rFonts w:ascii="Cambria" w:hAnsi="Cambria"/>
          <w:sz w:val="24"/>
        </w:rPr>
        <w:t xml:space="preserve"> have definitive feminine roles, and expectations to meet. One duty </w:t>
      </w:r>
      <w:r w:rsidR="0034355F">
        <w:rPr>
          <w:rFonts w:ascii="Cambria" w:hAnsi="Cambria"/>
          <w:sz w:val="24"/>
        </w:rPr>
        <w:t xml:space="preserve">that </w:t>
      </w:r>
      <w:r w:rsidR="003D76EC">
        <w:rPr>
          <w:rFonts w:ascii="Cambria" w:hAnsi="Cambria"/>
          <w:sz w:val="24"/>
        </w:rPr>
        <w:t>is shared by both men and women</w:t>
      </w:r>
      <w:r w:rsidR="0034355F">
        <w:rPr>
          <w:rFonts w:ascii="Cambria" w:hAnsi="Cambria"/>
          <w:sz w:val="24"/>
        </w:rPr>
        <w:t xml:space="preserve"> is</w:t>
      </w:r>
      <w:r w:rsidR="003D76EC">
        <w:rPr>
          <w:rFonts w:ascii="Cambria" w:hAnsi="Cambria"/>
          <w:sz w:val="24"/>
        </w:rPr>
        <w:t xml:space="preserve"> gardening, however, whilst men are expected to use gardens to provide for their families</w:t>
      </w:r>
      <w:r w:rsidR="0034355F">
        <w:rPr>
          <w:rFonts w:ascii="Cambria" w:hAnsi="Cambria"/>
          <w:sz w:val="24"/>
        </w:rPr>
        <w:t xml:space="preserve"> alone</w:t>
      </w:r>
      <w:r w:rsidR="003D76EC">
        <w:rPr>
          <w:rFonts w:ascii="Cambria" w:hAnsi="Cambria"/>
          <w:sz w:val="24"/>
        </w:rPr>
        <w:t xml:space="preserve">, women are expected to use gardening skills as a way of feeding many others generously. As elders, women are expected to ‘’instruct younger women in matters of sex and marriage’’, as well as participate in female ritual activities, acting as guides to the younger women and girls. </w:t>
      </w:r>
      <w:r w:rsidR="00244443">
        <w:rPr>
          <w:rFonts w:ascii="Cambria" w:hAnsi="Cambria"/>
          <w:sz w:val="24"/>
        </w:rPr>
        <w:br/>
      </w:r>
      <w:r w:rsidR="00244443">
        <w:rPr>
          <w:rFonts w:ascii="Cambria" w:hAnsi="Cambria"/>
          <w:sz w:val="24"/>
        </w:rPr>
        <w:br/>
        <w:t xml:space="preserve">Within </w:t>
      </w:r>
      <w:proofErr w:type="spellStart"/>
      <w:r w:rsidR="00244443">
        <w:rPr>
          <w:rFonts w:ascii="Cambria" w:hAnsi="Cambria"/>
          <w:sz w:val="24"/>
        </w:rPr>
        <w:t>Sambia</w:t>
      </w:r>
      <w:proofErr w:type="spellEnd"/>
      <w:r w:rsidR="00244443">
        <w:rPr>
          <w:rFonts w:ascii="Cambria" w:hAnsi="Cambria"/>
          <w:sz w:val="24"/>
        </w:rPr>
        <w:t xml:space="preserve"> culture, there is a deal of segregation between the worlds of men and women, as is seen in the contrast of their roles. Men deal with certain affairs in secret, in clubhouses in which women are not permitted to enter, and in the forest whilst hunting. Secret code-words are used between adults of both sexes around children, and by each separate sex amongst themselves in order to keep male matters and female matters separate from one another. </w:t>
      </w:r>
      <w:r w:rsidR="0034355F">
        <w:rPr>
          <w:rFonts w:ascii="Cambria" w:hAnsi="Cambria"/>
          <w:sz w:val="24"/>
        </w:rPr>
        <w:br/>
      </w:r>
      <w:r w:rsidR="0041521E">
        <w:rPr>
          <w:rFonts w:ascii="Cambria" w:hAnsi="Cambria"/>
          <w:b/>
          <w:sz w:val="24"/>
        </w:rPr>
        <w:lastRenderedPageBreak/>
        <w:t xml:space="preserve">The Yanomamo: ‘The Fierce People.’ </w:t>
      </w:r>
      <w:r w:rsidR="00244443">
        <w:rPr>
          <w:rFonts w:ascii="Cambria" w:hAnsi="Cambria"/>
          <w:b/>
          <w:sz w:val="24"/>
        </w:rPr>
        <w:br/>
      </w:r>
      <w:r w:rsidR="00244443">
        <w:rPr>
          <w:rFonts w:ascii="Cambria" w:hAnsi="Cambria"/>
          <w:b/>
          <w:sz w:val="24"/>
        </w:rPr>
        <w:br/>
      </w:r>
      <w:r w:rsidR="0041521E">
        <w:rPr>
          <w:rFonts w:ascii="Cambria" w:hAnsi="Cambria"/>
          <w:sz w:val="24"/>
        </w:rPr>
        <w:t xml:space="preserve">The Yanomamo (or ‘Yanomami’) are a group of indigenous people who live in the Amazon rainforest, on the border between Venezuela and Brazil. They are foraging horticulturists who depend on the rainforest for survival, living in villages within the forest. Like the </w:t>
      </w:r>
      <w:proofErr w:type="spellStart"/>
      <w:r w:rsidR="0041521E">
        <w:rPr>
          <w:rFonts w:ascii="Cambria" w:hAnsi="Cambria"/>
          <w:sz w:val="24"/>
        </w:rPr>
        <w:t>Sa</w:t>
      </w:r>
      <w:r w:rsidR="007650D9">
        <w:rPr>
          <w:rFonts w:ascii="Cambria" w:hAnsi="Cambria"/>
          <w:sz w:val="24"/>
        </w:rPr>
        <w:t>mbia</w:t>
      </w:r>
      <w:proofErr w:type="spellEnd"/>
      <w:r w:rsidR="007650D9">
        <w:rPr>
          <w:rFonts w:ascii="Cambria" w:hAnsi="Cambria"/>
          <w:sz w:val="24"/>
        </w:rPr>
        <w:t xml:space="preserve"> of New Guinea, the Yanomamo</w:t>
      </w:r>
      <w:r w:rsidR="0041521E">
        <w:rPr>
          <w:rFonts w:ascii="Cambria" w:hAnsi="Cambria"/>
          <w:sz w:val="24"/>
        </w:rPr>
        <w:t xml:space="preserve"> adhere to rigid gender-roles, divided by sex</w:t>
      </w:r>
      <w:r w:rsidR="007650D9">
        <w:rPr>
          <w:rFonts w:ascii="Cambria" w:hAnsi="Cambria"/>
          <w:sz w:val="24"/>
        </w:rPr>
        <w:t xml:space="preserve">, with both men and women required to meet certain expectations. </w:t>
      </w:r>
      <w:r w:rsidR="00375873">
        <w:rPr>
          <w:rFonts w:ascii="Cambria" w:hAnsi="Cambria"/>
          <w:sz w:val="24"/>
        </w:rPr>
        <w:t>Similar to many indigenous hunter-gatherer groups, ‘’Ya</w:t>
      </w:r>
      <w:r w:rsidR="00375873" w:rsidRPr="00375873">
        <w:rPr>
          <w:rFonts w:ascii="Cambria" w:hAnsi="Cambria"/>
          <w:sz w:val="24"/>
        </w:rPr>
        <w:t>nomamo society is decidedly masculine.</w:t>
      </w:r>
      <w:r w:rsidR="00375873">
        <w:rPr>
          <w:rFonts w:ascii="Cambria" w:hAnsi="Cambria"/>
          <w:sz w:val="24"/>
        </w:rPr>
        <w:t xml:space="preserve">’’ </w:t>
      </w:r>
      <w:sdt>
        <w:sdtPr>
          <w:rPr>
            <w:rFonts w:ascii="Cambria" w:hAnsi="Cambria"/>
            <w:sz w:val="24"/>
          </w:rPr>
          <w:id w:val="1463850434"/>
          <w:citation/>
        </w:sdtPr>
        <w:sdtEndPr/>
        <w:sdtContent>
          <w:r w:rsidR="00375873">
            <w:rPr>
              <w:rFonts w:ascii="Cambria" w:hAnsi="Cambria"/>
              <w:sz w:val="24"/>
            </w:rPr>
            <w:fldChar w:fldCharType="begin"/>
          </w:r>
          <w:r w:rsidR="00375873">
            <w:rPr>
              <w:rFonts w:ascii="Cambria" w:hAnsi="Cambria"/>
              <w:sz w:val="24"/>
            </w:rPr>
            <w:instrText xml:space="preserve">CITATION Nap68 \p 111 \l 2057 </w:instrText>
          </w:r>
          <w:r w:rsidR="00375873">
            <w:rPr>
              <w:rFonts w:ascii="Cambria" w:hAnsi="Cambria"/>
              <w:sz w:val="24"/>
            </w:rPr>
            <w:fldChar w:fldCharType="separate"/>
          </w:r>
          <w:r w:rsidR="00375873" w:rsidRPr="00375873">
            <w:rPr>
              <w:rFonts w:ascii="Cambria" w:hAnsi="Cambria"/>
              <w:noProof/>
              <w:sz w:val="24"/>
            </w:rPr>
            <w:t>(Chagnon, 1968, p. 111)</w:t>
          </w:r>
          <w:r w:rsidR="00375873">
            <w:rPr>
              <w:rFonts w:ascii="Cambria" w:hAnsi="Cambria"/>
              <w:sz w:val="24"/>
            </w:rPr>
            <w:fldChar w:fldCharType="end"/>
          </w:r>
        </w:sdtContent>
      </w:sdt>
      <w:r w:rsidR="007650D9">
        <w:rPr>
          <w:rFonts w:ascii="Cambria" w:hAnsi="Cambria"/>
          <w:sz w:val="24"/>
        </w:rPr>
        <w:br/>
      </w:r>
      <w:r w:rsidR="00EF3C0A">
        <w:rPr>
          <w:rFonts w:ascii="Cambria" w:hAnsi="Cambria"/>
          <w:sz w:val="24"/>
        </w:rPr>
        <w:br/>
      </w:r>
      <w:r w:rsidR="00EF3C0A">
        <w:rPr>
          <w:rFonts w:ascii="Cambria" w:hAnsi="Cambria"/>
          <w:sz w:val="24"/>
        </w:rPr>
        <w:t>Amongst the Yanomamo, t</w:t>
      </w:r>
      <w:r w:rsidR="00EF3C0A" w:rsidRPr="0034355F">
        <w:rPr>
          <w:rFonts w:ascii="Cambria" w:hAnsi="Cambria"/>
          <w:sz w:val="24"/>
        </w:rPr>
        <w:t xml:space="preserve">he </w:t>
      </w:r>
      <w:r w:rsidR="00EF3C0A">
        <w:rPr>
          <w:rFonts w:ascii="Cambria" w:hAnsi="Cambria"/>
          <w:sz w:val="24"/>
        </w:rPr>
        <w:t>‘’</w:t>
      </w:r>
      <w:r w:rsidR="00EF3C0A" w:rsidRPr="0034355F">
        <w:rPr>
          <w:rFonts w:ascii="Cambria" w:hAnsi="Cambria"/>
          <w:sz w:val="24"/>
        </w:rPr>
        <w:t>social dynamics within villages are involved with giving and receiving marriageable girls</w:t>
      </w:r>
      <w:r w:rsidR="00EF3C0A">
        <w:rPr>
          <w:rFonts w:ascii="Cambria" w:hAnsi="Cambria"/>
          <w:sz w:val="24"/>
        </w:rPr>
        <w:t xml:space="preserve">’’ </w:t>
      </w:r>
      <w:sdt>
        <w:sdtPr>
          <w:rPr>
            <w:rFonts w:ascii="Cambria" w:hAnsi="Cambria"/>
            <w:sz w:val="24"/>
          </w:rPr>
          <w:id w:val="860399397"/>
          <w:citation/>
        </w:sdtPr>
        <w:sdtContent>
          <w:r w:rsidR="00EF3C0A">
            <w:rPr>
              <w:rFonts w:ascii="Cambria" w:hAnsi="Cambria"/>
              <w:sz w:val="24"/>
            </w:rPr>
            <w:fldChar w:fldCharType="begin"/>
          </w:r>
          <w:r w:rsidR="00EF3C0A">
            <w:rPr>
              <w:rFonts w:ascii="Cambria" w:hAnsi="Cambria"/>
              <w:sz w:val="24"/>
            </w:rPr>
            <w:instrText xml:space="preserve">CITATION Nap68 \p 6 \l 2057 </w:instrText>
          </w:r>
          <w:r w:rsidR="00EF3C0A">
            <w:rPr>
              <w:rFonts w:ascii="Cambria" w:hAnsi="Cambria"/>
              <w:sz w:val="24"/>
            </w:rPr>
            <w:fldChar w:fldCharType="separate"/>
          </w:r>
          <w:r w:rsidR="00EF3C0A" w:rsidRPr="00EF3C0A">
            <w:rPr>
              <w:rFonts w:ascii="Cambria" w:hAnsi="Cambria"/>
              <w:noProof/>
              <w:sz w:val="24"/>
            </w:rPr>
            <w:t>(Chagnon, 1968, p. 6)</w:t>
          </w:r>
          <w:r w:rsidR="00EF3C0A">
            <w:rPr>
              <w:rFonts w:ascii="Cambria" w:hAnsi="Cambria"/>
              <w:sz w:val="24"/>
            </w:rPr>
            <w:fldChar w:fldCharType="end"/>
          </w:r>
        </w:sdtContent>
      </w:sdt>
      <w:r w:rsidR="00EF3C0A">
        <w:rPr>
          <w:rFonts w:ascii="Cambria" w:hAnsi="Cambria"/>
          <w:sz w:val="24"/>
        </w:rPr>
        <w:t xml:space="preserve"> of which there is a shortage, due to an imbalanced male-female ratio</w:t>
      </w:r>
      <w:r w:rsidR="00EF3C0A">
        <w:rPr>
          <w:rFonts w:ascii="Cambria" w:hAnsi="Cambria"/>
          <w:sz w:val="24"/>
        </w:rPr>
        <w:t>, combined with the fact that many men have multiple wives</w:t>
      </w:r>
      <w:r w:rsidR="00EF3C0A">
        <w:rPr>
          <w:rFonts w:ascii="Cambria" w:hAnsi="Cambria"/>
          <w:sz w:val="24"/>
        </w:rPr>
        <w:t>.</w:t>
      </w:r>
      <w:r w:rsidR="00EF3C0A">
        <w:rPr>
          <w:rFonts w:ascii="Cambria" w:hAnsi="Cambria"/>
          <w:sz w:val="24"/>
        </w:rPr>
        <w:t xml:space="preserve"> Arranged marriages are the norm, with older male kin responsible for said arrangements. A man of the group who is promised a woman as a wife, may perform ‘bride-service’ for varying periods of time in which he pleases the parents (particularly the father) of the women he is promised. Due to the sex-ratio imbalance and the practice of arranged marriages, sexual affairs are central to most fighting within villages. This may be why the Yanomamo engage in raiding parties in which women from other cultures may be captured in order to be wed to a male of the group. </w:t>
      </w:r>
      <w:r w:rsidR="007F0745">
        <w:rPr>
          <w:rFonts w:ascii="Cambria" w:hAnsi="Cambria"/>
          <w:sz w:val="24"/>
        </w:rPr>
        <w:t>These raids are violent in nature, however ‘’k</w:t>
      </w:r>
      <w:r w:rsidR="007F0745" w:rsidRPr="007F0745">
        <w:rPr>
          <w:rFonts w:ascii="Cambria" w:hAnsi="Cambria"/>
          <w:sz w:val="24"/>
        </w:rPr>
        <w:t>illing women is considered to be bad form in Yanomamo warfare</w:t>
      </w:r>
      <w:r w:rsidR="007F0745">
        <w:rPr>
          <w:rFonts w:ascii="Cambria" w:hAnsi="Cambria"/>
          <w:sz w:val="24"/>
        </w:rPr>
        <w:t xml:space="preserve">…’’ </w:t>
      </w:r>
      <w:sdt>
        <w:sdtPr>
          <w:rPr>
            <w:rFonts w:ascii="Cambria" w:hAnsi="Cambria"/>
            <w:sz w:val="24"/>
          </w:rPr>
          <w:id w:val="2041778964"/>
          <w:citation/>
        </w:sdtPr>
        <w:sdtContent>
          <w:r w:rsidR="007F0745">
            <w:rPr>
              <w:rFonts w:ascii="Cambria" w:hAnsi="Cambria"/>
              <w:sz w:val="24"/>
            </w:rPr>
            <w:fldChar w:fldCharType="begin"/>
          </w:r>
          <w:r w:rsidR="007F0745">
            <w:rPr>
              <w:rFonts w:ascii="Cambria" w:hAnsi="Cambria"/>
              <w:sz w:val="24"/>
            </w:rPr>
            <w:instrText xml:space="preserve">CITATION Nap68 \p 23 \l 2057 </w:instrText>
          </w:r>
          <w:r w:rsidR="007F0745">
            <w:rPr>
              <w:rFonts w:ascii="Cambria" w:hAnsi="Cambria"/>
              <w:sz w:val="24"/>
            </w:rPr>
            <w:fldChar w:fldCharType="separate"/>
          </w:r>
          <w:r w:rsidR="007F0745" w:rsidRPr="007F0745">
            <w:rPr>
              <w:rFonts w:ascii="Cambria" w:hAnsi="Cambria"/>
              <w:noProof/>
              <w:sz w:val="24"/>
            </w:rPr>
            <w:t>(Chagnon, 1968, p. 23)</w:t>
          </w:r>
          <w:r w:rsidR="007F0745">
            <w:rPr>
              <w:rFonts w:ascii="Cambria" w:hAnsi="Cambria"/>
              <w:sz w:val="24"/>
            </w:rPr>
            <w:fldChar w:fldCharType="end"/>
          </w:r>
        </w:sdtContent>
      </w:sdt>
      <w:r w:rsidR="007F0745">
        <w:rPr>
          <w:rFonts w:ascii="Cambria" w:hAnsi="Cambria"/>
          <w:sz w:val="24"/>
        </w:rPr>
        <w:t xml:space="preserve"> though this does sometimes happen due to matters of revenge.</w:t>
      </w:r>
      <w:r w:rsidR="00EF3C0A" w:rsidRPr="007F0745">
        <w:rPr>
          <w:rFonts w:ascii="Cambria" w:hAnsi="Cambria"/>
          <w:sz w:val="28"/>
        </w:rPr>
        <w:br/>
      </w:r>
      <w:r w:rsidR="00EF3C0A">
        <w:rPr>
          <w:rFonts w:ascii="Cambria" w:hAnsi="Cambria"/>
          <w:sz w:val="24"/>
        </w:rPr>
        <w:br/>
      </w:r>
      <w:r w:rsidR="007650D9">
        <w:rPr>
          <w:rFonts w:ascii="Cambria" w:hAnsi="Cambria"/>
          <w:sz w:val="24"/>
        </w:rPr>
        <w:t xml:space="preserve">As is the case with the </w:t>
      </w:r>
      <w:proofErr w:type="spellStart"/>
      <w:r w:rsidR="007650D9">
        <w:rPr>
          <w:rFonts w:ascii="Cambria" w:hAnsi="Cambria"/>
          <w:sz w:val="24"/>
        </w:rPr>
        <w:t>Sambia</w:t>
      </w:r>
      <w:proofErr w:type="spellEnd"/>
      <w:r w:rsidR="007650D9">
        <w:rPr>
          <w:rFonts w:ascii="Cambria" w:hAnsi="Cambria"/>
          <w:sz w:val="24"/>
        </w:rPr>
        <w:t>, (as well as the typical western nuclear-family model)</w:t>
      </w:r>
      <w:r w:rsidR="007650D9">
        <w:rPr>
          <w:rFonts w:ascii="Cambria" w:hAnsi="Cambria"/>
          <w:sz w:val="24"/>
        </w:rPr>
        <w:br/>
        <w:t>women are expected to be the primary caretakers of children. Amongst the Yanomamo, a mother will carry out her daily duties and work, whilst carrying her baby or infant, until the child is older and can be cared for by other female relatives such as older sisters. Once old enough, a female child will begin learning ‘feminine’ duties such as gardening and cooking, from her mother.</w:t>
      </w:r>
      <w:r w:rsidR="007F0745">
        <w:rPr>
          <w:rFonts w:ascii="Cambria" w:hAnsi="Cambria"/>
          <w:sz w:val="24"/>
        </w:rPr>
        <w:t xml:space="preserve"> Whilst men are permitted to typically spend free, hot afternoons doing as they please, </w:t>
      </w:r>
      <w:r w:rsidR="007F0745" w:rsidRPr="007F0745">
        <w:rPr>
          <w:rFonts w:ascii="Cambria" w:hAnsi="Cambria"/>
          <w:sz w:val="24"/>
        </w:rPr>
        <w:t xml:space="preserve">the women </w:t>
      </w:r>
      <w:r w:rsidR="007F0745">
        <w:rPr>
          <w:rFonts w:ascii="Cambria" w:hAnsi="Cambria"/>
          <w:sz w:val="24"/>
        </w:rPr>
        <w:t>‘’</w:t>
      </w:r>
      <w:r w:rsidR="007F0745" w:rsidRPr="007F0745">
        <w:rPr>
          <w:rFonts w:ascii="Cambria" w:hAnsi="Cambria"/>
          <w:sz w:val="24"/>
        </w:rPr>
        <w:t>invariably search for firewood and haul immense, heavy loads of it to their houses just before dark.</w:t>
      </w:r>
      <w:r w:rsidR="007F0745">
        <w:rPr>
          <w:rFonts w:ascii="Cambria" w:hAnsi="Cambria"/>
          <w:sz w:val="24"/>
        </w:rPr>
        <w:t>’’</w:t>
      </w:r>
      <w:r w:rsidR="007F0745" w:rsidRPr="007F0745">
        <w:rPr>
          <w:rFonts w:ascii="Cambria" w:hAnsi="Cambria"/>
          <w:sz w:val="24"/>
        </w:rPr>
        <w:t xml:space="preserve"> </w:t>
      </w:r>
      <w:sdt>
        <w:sdtPr>
          <w:rPr>
            <w:rFonts w:ascii="Cambria" w:hAnsi="Cambria"/>
            <w:sz w:val="24"/>
          </w:rPr>
          <w:id w:val="939412424"/>
          <w:citation/>
        </w:sdtPr>
        <w:sdtContent>
          <w:r w:rsidR="007F0745">
            <w:rPr>
              <w:rFonts w:ascii="Cambria" w:hAnsi="Cambria"/>
              <w:sz w:val="24"/>
            </w:rPr>
            <w:fldChar w:fldCharType="begin"/>
          </w:r>
          <w:r w:rsidR="007F0745">
            <w:rPr>
              <w:rFonts w:ascii="Cambria" w:hAnsi="Cambria"/>
              <w:sz w:val="24"/>
            </w:rPr>
            <w:instrText xml:space="preserve">CITATION Nap68 \p 137 \l 2057 </w:instrText>
          </w:r>
          <w:r w:rsidR="007F0745">
            <w:rPr>
              <w:rFonts w:ascii="Cambria" w:hAnsi="Cambria"/>
              <w:sz w:val="24"/>
            </w:rPr>
            <w:fldChar w:fldCharType="separate"/>
          </w:r>
          <w:r w:rsidR="007F0745" w:rsidRPr="007F0745">
            <w:rPr>
              <w:rFonts w:ascii="Cambria" w:hAnsi="Cambria"/>
              <w:noProof/>
              <w:sz w:val="24"/>
            </w:rPr>
            <w:t>(Chagnon, 1968, p. 137)</w:t>
          </w:r>
          <w:r w:rsidR="007F0745">
            <w:rPr>
              <w:rFonts w:ascii="Cambria" w:hAnsi="Cambria"/>
              <w:sz w:val="24"/>
            </w:rPr>
            <w:fldChar w:fldCharType="end"/>
          </w:r>
        </w:sdtContent>
      </w:sdt>
      <w:r w:rsidR="007F0745">
        <w:rPr>
          <w:rFonts w:ascii="Cambria" w:hAnsi="Cambria"/>
          <w:sz w:val="24"/>
        </w:rPr>
        <w:t xml:space="preserve"> Women of the Yanomamo, as mentioned, tend to engage in the cooking most frequently, however, the men of the Yanomamo cook when ceremonial affairs are concerned. </w:t>
      </w:r>
      <w:r w:rsidR="007F0745" w:rsidRPr="007F0745">
        <w:rPr>
          <w:rFonts w:ascii="Cambria" w:hAnsi="Cambria"/>
          <w:sz w:val="24"/>
        </w:rPr>
        <w:br/>
      </w:r>
      <w:r w:rsidR="0034355F">
        <w:rPr>
          <w:rFonts w:ascii="Cambria" w:hAnsi="Cambria"/>
          <w:sz w:val="24"/>
        </w:rPr>
        <w:br/>
      </w:r>
      <w:r w:rsidR="007F0745">
        <w:rPr>
          <w:rFonts w:ascii="Cambria" w:hAnsi="Cambria"/>
          <w:b/>
          <w:sz w:val="24"/>
        </w:rPr>
        <w:t>The Mbuti: ‘The Forest People.’</w:t>
      </w:r>
      <w:r w:rsidR="007F0745">
        <w:rPr>
          <w:rFonts w:ascii="Cambria" w:hAnsi="Cambria"/>
          <w:b/>
          <w:sz w:val="24"/>
        </w:rPr>
        <w:br/>
      </w:r>
      <w:r w:rsidR="007F0745">
        <w:rPr>
          <w:rFonts w:ascii="Cambria" w:hAnsi="Cambria"/>
          <w:b/>
          <w:sz w:val="24"/>
        </w:rPr>
        <w:br/>
      </w:r>
      <w:r w:rsidR="007F0745" w:rsidRPr="007F0745">
        <w:rPr>
          <w:rFonts w:ascii="Cambria" w:hAnsi="Cambria"/>
          <w:sz w:val="24"/>
        </w:rPr>
        <w:t xml:space="preserve">In comparison to the </w:t>
      </w:r>
      <w:r w:rsidR="007F0745">
        <w:rPr>
          <w:rFonts w:ascii="Cambria" w:hAnsi="Cambria"/>
          <w:sz w:val="24"/>
        </w:rPr>
        <w:t xml:space="preserve">sex/gender-based </w:t>
      </w:r>
      <w:r w:rsidR="007F0745" w:rsidRPr="007F0745">
        <w:rPr>
          <w:rFonts w:ascii="Cambria" w:hAnsi="Cambria"/>
          <w:sz w:val="24"/>
        </w:rPr>
        <w:t>segregation</w:t>
      </w:r>
      <w:r w:rsidR="007F0745">
        <w:rPr>
          <w:rFonts w:ascii="Cambria" w:hAnsi="Cambria"/>
          <w:sz w:val="24"/>
        </w:rPr>
        <w:t xml:space="preserve"> and inequality of cultures such as the </w:t>
      </w:r>
      <w:proofErr w:type="spellStart"/>
      <w:r w:rsidR="007F0745">
        <w:rPr>
          <w:rFonts w:ascii="Cambria" w:hAnsi="Cambria"/>
          <w:sz w:val="24"/>
        </w:rPr>
        <w:t>Sambia</w:t>
      </w:r>
      <w:proofErr w:type="spellEnd"/>
      <w:r w:rsidR="007F0745">
        <w:rPr>
          <w:rFonts w:ascii="Cambria" w:hAnsi="Cambria"/>
          <w:sz w:val="24"/>
        </w:rPr>
        <w:t>, or Yanomamo, the Mbuti have a more relaxed and egalitarian approach to gender-roles and sex</w:t>
      </w:r>
      <w:r w:rsidR="00E7790B">
        <w:rPr>
          <w:rFonts w:ascii="Cambria" w:hAnsi="Cambria"/>
          <w:sz w:val="24"/>
        </w:rPr>
        <w:t xml:space="preserve">, with women able to do much of what the men do, having far more time with them and subject to less restrictions. Amongst the Mbuti, there is no ‘menstrual hut’, or norm in which men may avoid spending too much time with women (as is the case with the </w:t>
      </w:r>
      <w:proofErr w:type="spellStart"/>
      <w:r w:rsidR="00E7790B">
        <w:rPr>
          <w:rFonts w:ascii="Cambria" w:hAnsi="Cambria"/>
          <w:sz w:val="24"/>
        </w:rPr>
        <w:t>Sambia</w:t>
      </w:r>
      <w:proofErr w:type="spellEnd"/>
      <w:r w:rsidR="00E7790B">
        <w:rPr>
          <w:rFonts w:ascii="Cambria" w:hAnsi="Cambria"/>
          <w:sz w:val="24"/>
        </w:rPr>
        <w:t xml:space="preserve">) but instead, all members of the group spend the majority of their daily lives together. </w:t>
      </w:r>
      <w:r w:rsidR="00E7790B">
        <w:rPr>
          <w:rFonts w:ascii="Cambria" w:hAnsi="Cambria"/>
          <w:sz w:val="24"/>
        </w:rPr>
        <w:br/>
      </w:r>
      <w:r w:rsidR="00E7790B">
        <w:rPr>
          <w:rFonts w:ascii="Cambria" w:hAnsi="Cambria"/>
          <w:sz w:val="24"/>
        </w:rPr>
        <w:br/>
      </w:r>
      <w:r w:rsidR="00E7790B">
        <w:rPr>
          <w:rFonts w:ascii="Cambria" w:hAnsi="Cambria"/>
          <w:sz w:val="24"/>
        </w:rPr>
        <w:lastRenderedPageBreak/>
        <w:t xml:space="preserve">In contrast to the </w:t>
      </w:r>
      <w:proofErr w:type="spellStart"/>
      <w:r w:rsidR="00E7790B">
        <w:rPr>
          <w:rFonts w:ascii="Cambria" w:hAnsi="Cambria"/>
          <w:sz w:val="24"/>
        </w:rPr>
        <w:t>Sambia</w:t>
      </w:r>
      <w:proofErr w:type="spellEnd"/>
      <w:r w:rsidR="00E7790B">
        <w:rPr>
          <w:rFonts w:ascii="Cambria" w:hAnsi="Cambria"/>
          <w:sz w:val="24"/>
        </w:rPr>
        <w:t xml:space="preserve"> culture in which only men are permitted to engage in hunting, the Mbuti women often play crucial roles in capturing animals for meat, practicing ‘beating’ the forest in order to direct animals towards the nets and weapons of the men who are waiting patiently to ensnare their food. </w:t>
      </w:r>
      <w:r w:rsidR="00E7790B">
        <w:rPr>
          <w:rFonts w:ascii="Cambria" w:hAnsi="Cambria"/>
          <w:sz w:val="24"/>
        </w:rPr>
        <w:br/>
      </w:r>
      <w:r w:rsidR="00E7790B">
        <w:rPr>
          <w:rFonts w:ascii="Cambria" w:hAnsi="Cambria"/>
          <w:sz w:val="24"/>
        </w:rPr>
        <w:br/>
        <w:t>Unlike the Yanomamo, the Mbuti do not usually take multiple wives, nor are there marriages strictly arranged, though these matters are definitely considered issues of the family.</w:t>
      </w:r>
      <w:r w:rsidR="00E7790B">
        <w:rPr>
          <w:rFonts w:ascii="Cambria" w:hAnsi="Cambria"/>
          <w:sz w:val="24"/>
        </w:rPr>
        <w:br/>
      </w:r>
      <w:r w:rsidR="00E7790B">
        <w:rPr>
          <w:rFonts w:ascii="Cambria" w:hAnsi="Cambria"/>
          <w:sz w:val="24"/>
        </w:rPr>
        <w:br/>
      </w:r>
      <w:r w:rsidR="00E7790B">
        <w:rPr>
          <w:rFonts w:ascii="Cambria" w:hAnsi="Cambria"/>
          <w:sz w:val="24"/>
        </w:rPr>
        <w:br/>
      </w:r>
      <w:r w:rsidR="00E7790B">
        <w:rPr>
          <w:rFonts w:ascii="Cambria" w:hAnsi="Cambria"/>
          <w:b/>
          <w:sz w:val="24"/>
        </w:rPr>
        <w:br/>
      </w:r>
      <w:r w:rsidR="00E7790B">
        <w:rPr>
          <w:rFonts w:ascii="Cambria" w:hAnsi="Cambria"/>
          <w:b/>
          <w:sz w:val="24"/>
        </w:rPr>
        <w:br/>
      </w:r>
      <w:r w:rsidR="00E7790B">
        <w:rPr>
          <w:rFonts w:ascii="Cambria" w:hAnsi="Cambria"/>
          <w:b/>
          <w:sz w:val="24"/>
        </w:rPr>
        <w:br/>
      </w:r>
      <w:r w:rsidR="00E7790B">
        <w:rPr>
          <w:rFonts w:ascii="Cambria" w:hAnsi="Cambria"/>
          <w:b/>
          <w:sz w:val="24"/>
        </w:rPr>
        <w:br/>
      </w:r>
      <w:r w:rsidR="00E7790B">
        <w:rPr>
          <w:rFonts w:ascii="Cambria" w:hAnsi="Cambria"/>
          <w:b/>
          <w:sz w:val="24"/>
        </w:rPr>
        <w:br/>
      </w:r>
      <w:r w:rsidR="00E7790B">
        <w:rPr>
          <w:rFonts w:ascii="Cambria" w:hAnsi="Cambria"/>
          <w:b/>
          <w:sz w:val="24"/>
        </w:rPr>
        <w:br/>
      </w:r>
      <w:r w:rsidR="00E7790B">
        <w:rPr>
          <w:rFonts w:ascii="Cambria" w:hAnsi="Cambria"/>
          <w:b/>
          <w:sz w:val="24"/>
        </w:rPr>
        <w:br/>
      </w:r>
      <w:r w:rsidR="00E7790B">
        <w:rPr>
          <w:rFonts w:ascii="Cambria" w:hAnsi="Cambria"/>
          <w:b/>
          <w:sz w:val="24"/>
        </w:rPr>
        <w:br/>
      </w:r>
      <w:r w:rsidR="00E7790B">
        <w:rPr>
          <w:rFonts w:ascii="Cambria" w:hAnsi="Cambria"/>
          <w:b/>
          <w:sz w:val="24"/>
        </w:rPr>
        <w:br/>
      </w:r>
      <w:r w:rsidR="00E7790B">
        <w:rPr>
          <w:rFonts w:ascii="Cambria" w:hAnsi="Cambria"/>
          <w:b/>
          <w:sz w:val="24"/>
        </w:rPr>
        <w:br/>
      </w:r>
      <w:r w:rsidR="00E7790B">
        <w:rPr>
          <w:rFonts w:ascii="Cambria" w:hAnsi="Cambria"/>
          <w:b/>
          <w:sz w:val="24"/>
        </w:rPr>
        <w:br/>
      </w:r>
      <w:r w:rsidR="00E7790B">
        <w:rPr>
          <w:rFonts w:ascii="Cambria" w:hAnsi="Cambria"/>
          <w:b/>
          <w:sz w:val="24"/>
        </w:rPr>
        <w:br/>
      </w:r>
      <w:r w:rsidR="00E7790B">
        <w:rPr>
          <w:rFonts w:ascii="Cambria" w:hAnsi="Cambria"/>
          <w:b/>
          <w:sz w:val="24"/>
        </w:rPr>
        <w:br/>
      </w:r>
      <w:r w:rsidR="00E7790B">
        <w:rPr>
          <w:rFonts w:ascii="Cambria" w:hAnsi="Cambria"/>
          <w:b/>
          <w:sz w:val="24"/>
        </w:rPr>
        <w:br/>
      </w:r>
      <w:r w:rsidR="00E7790B">
        <w:rPr>
          <w:rFonts w:ascii="Cambria" w:hAnsi="Cambria"/>
          <w:b/>
          <w:sz w:val="24"/>
        </w:rPr>
        <w:br/>
      </w:r>
      <w:r w:rsidR="00E7790B">
        <w:rPr>
          <w:rFonts w:ascii="Cambria" w:hAnsi="Cambria"/>
          <w:b/>
          <w:sz w:val="24"/>
        </w:rPr>
        <w:br/>
      </w:r>
      <w:r w:rsidR="00E7790B">
        <w:rPr>
          <w:rFonts w:ascii="Cambria" w:hAnsi="Cambria"/>
          <w:b/>
          <w:sz w:val="24"/>
        </w:rPr>
        <w:br/>
      </w:r>
      <w:r w:rsidR="00E7790B">
        <w:rPr>
          <w:rFonts w:ascii="Cambria" w:hAnsi="Cambria"/>
          <w:b/>
          <w:sz w:val="24"/>
        </w:rPr>
        <w:br/>
      </w:r>
      <w:r w:rsidR="00E7790B">
        <w:rPr>
          <w:rFonts w:ascii="Cambria" w:hAnsi="Cambria"/>
          <w:b/>
          <w:sz w:val="24"/>
        </w:rPr>
        <w:br/>
      </w:r>
      <w:r w:rsidR="00E7790B">
        <w:rPr>
          <w:rFonts w:ascii="Cambria" w:hAnsi="Cambria"/>
          <w:b/>
          <w:sz w:val="24"/>
        </w:rPr>
        <w:br/>
      </w:r>
      <w:r w:rsidR="00E7790B">
        <w:rPr>
          <w:rFonts w:ascii="Cambria" w:hAnsi="Cambria"/>
          <w:b/>
          <w:sz w:val="24"/>
        </w:rPr>
        <w:br/>
      </w:r>
      <w:r w:rsidR="00E7790B">
        <w:rPr>
          <w:rFonts w:ascii="Cambria" w:hAnsi="Cambria"/>
          <w:b/>
          <w:sz w:val="24"/>
        </w:rPr>
        <w:br/>
      </w:r>
      <w:r w:rsidR="00E7790B">
        <w:rPr>
          <w:rFonts w:ascii="Cambria" w:hAnsi="Cambria"/>
          <w:b/>
          <w:sz w:val="24"/>
        </w:rPr>
        <w:br/>
      </w:r>
      <w:r w:rsidR="00E7790B">
        <w:rPr>
          <w:rFonts w:ascii="Cambria" w:hAnsi="Cambria"/>
          <w:b/>
          <w:sz w:val="24"/>
        </w:rPr>
        <w:br/>
      </w:r>
      <w:r w:rsidR="00E7790B">
        <w:rPr>
          <w:rFonts w:ascii="Cambria" w:hAnsi="Cambria"/>
          <w:b/>
          <w:sz w:val="24"/>
        </w:rPr>
        <w:br/>
      </w:r>
      <w:bookmarkStart w:id="0" w:name="_GoBack"/>
      <w:r w:rsidR="00E7790B" w:rsidRPr="00E7790B">
        <w:rPr>
          <w:rFonts w:ascii="Cambria" w:hAnsi="Cambria"/>
          <w:b/>
          <w:sz w:val="28"/>
        </w:rPr>
        <w:t>Sources:</w:t>
      </w:r>
      <w:r w:rsidR="00E7790B" w:rsidRPr="00E7790B">
        <w:rPr>
          <w:rFonts w:ascii="Cambria" w:hAnsi="Cambria"/>
          <w:b/>
          <w:sz w:val="28"/>
        </w:rPr>
        <w:br/>
      </w:r>
      <w:bookmarkEnd w:id="0"/>
      <w:r w:rsidR="00E7790B">
        <w:rPr>
          <w:rFonts w:ascii="Cambria" w:hAnsi="Cambria"/>
          <w:b/>
          <w:sz w:val="24"/>
        </w:rPr>
        <w:br/>
      </w:r>
      <w:proofErr w:type="spellStart"/>
      <w:r w:rsidR="00E7790B">
        <w:rPr>
          <w:rFonts w:ascii="Cambria" w:hAnsi="Cambria"/>
          <w:b/>
          <w:sz w:val="24"/>
        </w:rPr>
        <w:t>Herdt</w:t>
      </w:r>
      <w:proofErr w:type="spellEnd"/>
      <w:r w:rsidR="00E7790B">
        <w:rPr>
          <w:rFonts w:ascii="Cambria" w:hAnsi="Cambria"/>
          <w:b/>
          <w:sz w:val="24"/>
        </w:rPr>
        <w:t xml:space="preserve">, G. </w:t>
      </w:r>
      <w:r w:rsidR="00E7790B">
        <w:rPr>
          <w:rFonts w:ascii="Cambria" w:hAnsi="Cambria"/>
          <w:sz w:val="24"/>
        </w:rPr>
        <w:t>(1987)</w:t>
      </w:r>
      <w:r w:rsidR="00E7790B">
        <w:rPr>
          <w:rFonts w:ascii="Cambria" w:hAnsi="Cambria"/>
          <w:b/>
          <w:sz w:val="24"/>
        </w:rPr>
        <w:t xml:space="preserve"> </w:t>
      </w:r>
      <w:r w:rsidR="00E7790B">
        <w:rPr>
          <w:rFonts w:ascii="Cambria" w:hAnsi="Cambria"/>
          <w:i/>
          <w:sz w:val="24"/>
        </w:rPr>
        <w:t xml:space="preserve">‘The </w:t>
      </w:r>
      <w:proofErr w:type="spellStart"/>
      <w:r w:rsidR="00E7790B">
        <w:rPr>
          <w:rFonts w:ascii="Cambria" w:hAnsi="Cambria"/>
          <w:i/>
          <w:sz w:val="24"/>
        </w:rPr>
        <w:t>Sambia</w:t>
      </w:r>
      <w:proofErr w:type="spellEnd"/>
      <w:r w:rsidR="00E7790B">
        <w:rPr>
          <w:rFonts w:ascii="Cambria" w:hAnsi="Cambria"/>
          <w:i/>
          <w:sz w:val="24"/>
        </w:rPr>
        <w:t>: Ritual and Gender in New Guinea.’</w:t>
      </w:r>
      <w:r w:rsidR="00E7790B">
        <w:rPr>
          <w:rFonts w:ascii="Cambria" w:hAnsi="Cambria"/>
          <w:i/>
          <w:sz w:val="24"/>
        </w:rPr>
        <w:br/>
      </w:r>
      <w:r w:rsidR="00E7790B">
        <w:rPr>
          <w:rFonts w:ascii="Cambria" w:hAnsi="Cambria"/>
          <w:sz w:val="24"/>
        </w:rPr>
        <w:t>Pub: The University of Chicago.</w:t>
      </w:r>
      <w:r w:rsidR="00E7790B">
        <w:rPr>
          <w:rFonts w:ascii="Cambria" w:hAnsi="Cambria"/>
          <w:sz w:val="24"/>
        </w:rPr>
        <w:br/>
      </w:r>
      <w:r w:rsidR="00E7790B">
        <w:rPr>
          <w:rFonts w:ascii="Cambria" w:hAnsi="Cambria"/>
          <w:sz w:val="24"/>
        </w:rPr>
        <w:br/>
      </w:r>
      <w:proofErr w:type="spellStart"/>
      <w:r w:rsidR="00E7790B">
        <w:rPr>
          <w:rFonts w:ascii="Cambria" w:hAnsi="Cambria"/>
          <w:b/>
          <w:sz w:val="24"/>
        </w:rPr>
        <w:t>Chagnon</w:t>
      </w:r>
      <w:proofErr w:type="spellEnd"/>
      <w:r w:rsidR="00E7790B">
        <w:rPr>
          <w:rFonts w:ascii="Cambria" w:hAnsi="Cambria"/>
          <w:b/>
          <w:sz w:val="24"/>
        </w:rPr>
        <w:t>, N.A.</w:t>
      </w:r>
      <w:r w:rsidR="00E7790B">
        <w:rPr>
          <w:rFonts w:ascii="Cambria" w:hAnsi="Cambria"/>
          <w:sz w:val="24"/>
        </w:rPr>
        <w:t xml:space="preserve"> (1968) </w:t>
      </w:r>
      <w:r w:rsidR="00E7790B">
        <w:rPr>
          <w:rFonts w:ascii="Cambria" w:hAnsi="Cambria"/>
          <w:i/>
          <w:sz w:val="24"/>
        </w:rPr>
        <w:t>‘Yanomamo: The Fierce People.’</w:t>
      </w:r>
      <w:r w:rsidR="00E7790B">
        <w:rPr>
          <w:rFonts w:ascii="Cambria" w:hAnsi="Cambria"/>
          <w:i/>
          <w:sz w:val="24"/>
        </w:rPr>
        <w:br/>
      </w:r>
      <w:r w:rsidR="00E7790B">
        <w:rPr>
          <w:rFonts w:ascii="Cambria" w:hAnsi="Cambria"/>
          <w:sz w:val="24"/>
        </w:rPr>
        <w:t>Pub: Holt, Rinehart and Winston.</w:t>
      </w:r>
      <w:r w:rsidR="00E7790B">
        <w:rPr>
          <w:rFonts w:ascii="Cambria" w:hAnsi="Cambria"/>
          <w:sz w:val="24"/>
        </w:rPr>
        <w:br/>
      </w:r>
      <w:r w:rsidR="00E7790B">
        <w:rPr>
          <w:rFonts w:ascii="Cambria" w:hAnsi="Cambria"/>
          <w:sz w:val="24"/>
        </w:rPr>
        <w:br/>
      </w:r>
      <w:r w:rsidR="00E7790B">
        <w:rPr>
          <w:rFonts w:ascii="Cambria" w:hAnsi="Cambria"/>
          <w:b/>
          <w:sz w:val="24"/>
        </w:rPr>
        <w:t xml:space="preserve">Turnbull, C.M. </w:t>
      </w:r>
      <w:r w:rsidR="00E7790B">
        <w:rPr>
          <w:rFonts w:ascii="Cambria" w:hAnsi="Cambria"/>
          <w:sz w:val="24"/>
        </w:rPr>
        <w:t xml:space="preserve">(1961) </w:t>
      </w:r>
      <w:r w:rsidR="00E7790B">
        <w:rPr>
          <w:rFonts w:ascii="Cambria" w:hAnsi="Cambria"/>
          <w:i/>
          <w:sz w:val="24"/>
        </w:rPr>
        <w:t>‘The Forest People.’</w:t>
      </w:r>
      <w:r w:rsidR="00E7790B">
        <w:rPr>
          <w:rFonts w:ascii="Cambria" w:hAnsi="Cambria"/>
          <w:i/>
          <w:sz w:val="24"/>
        </w:rPr>
        <w:br/>
      </w:r>
      <w:r w:rsidR="00E7790B">
        <w:rPr>
          <w:rFonts w:ascii="Cambria" w:hAnsi="Cambria"/>
          <w:sz w:val="24"/>
        </w:rPr>
        <w:t>Pub: The Reprint Society LTD.</w:t>
      </w:r>
      <w:r w:rsidR="00E7790B">
        <w:rPr>
          <w:rFonts w:ascii="Cambria" w:hAnsi="Cambria"/>
          <w:sz w:val="24"/>
        </w:rPr>
        <w:br/>
      </w:r>
      <w:r w:rsidR="00E7790B">
        <w:rPr>
          <w:rFonts w:ascii="Cambria" w:hAnsi="Cambria"/>
          <w:sz w:val="24"/>
        </w:rPr>
        <w:lastRenderedPageBreak/>
        <w:br/>
      </w:r>
      <w:r w:rsidR="0041521E">
        <w:rPr>
          <w:rFonts w:ascii="Cambria" w:hAnsi="Cambria"/>
          <w:sz w:val="24"/>
        </w:rPr>
        <w:br/>
      </w:r>
      <w:r w:rsidR="00244443">
        <w:rPr>
          <w:rFonts w:ascii="Cambria" w:hAnsi="Cambria"/>
          <w:b/>
          <w:sz w:val="24"/>
        </w:rPr>
        <w:br/>
      </w:r>
      <w:r w:rsidR="00244443">
        <w:rPr>
          <w:rFonts w:ascii="Cambria" w:hAnsi="Cambria"/>
          <w:b/>
          <w:sz w:val="24"/>
        </w:rPr>
        <w:br/>
      </w:r>
      <w:r w:rsidR="00244443">
        <w:rPr>
          <w:rFonts w:ascii="Cambria" w:hAnsi="Cambria"/>
          <w:b/>
          <w:sz w:val="24"/>
        </w:rPr>
        <w:br/>
      </w:r>
      <w:r w:rsidR="009569B0">
        <w:rPr>
          <w:rFonts w:ascii="Cambria" w:hAnsi="Cambria"/>
          <w:b/>
          <w:sz w:val="24"/>
        </w:rPr>
        <w:br/>
      </w:r>
      <w:r w:rsidR="009569B0">
        <w:rPr>
          <w:rFonts w:ascii="Cambria" w:hAnsi="Cambria"/>
          <w:b/>
          <w:sz w:val="24"/>
        </w:rPr>
        <w:br/>
      </w:r>
      <w:r w:rsidR="006D5F22">
        <w:rPr>
          <w:rFonts w:ascii="Cambria" w:hAnsi="Cambria"/>
          <w:sz w:val="24"/>
        </w:rPr>
        <w:br/>
      </w:r>
      <w:r w:rsidR="006D5F22">
        <w:rPr>
          <w:rFonts w:ascii="Cambria" w:hAnsi="Cambria"/>
          <w:sz w:val="24"/>
        </w:rPr>
        <w:br/>
      </w:r>
      <w:r w:rsidR="005B15CD">
        <w:rPr>
          <w:rFonts w:ascii="Cambria" w:hAnsi="Cambria"/>
          <w:sz w:val="24"/>
        </w:rPr>
        <w:br/>
      </w:r>
      <w:r>
        <w:rPr>
          <w:rFonts w:ascii="Cambria" w:hAnsi="Cambria"/>
          <w:sz w:val="24"/>
        </w:rPr>
        <w:br/>
      </w:r>
      <w:r>
        <w:rPr>
          <w:rFonts w:ascii="Cambria" w:hAnsi="Cambria"/>
          <w:sz w:val="24"/>
        </w:rPr>
        <w:br/>
      </w:r>
    </w:p>
    <w:sectPr w:rsidR="00D06C4D" w:rsidRPr="007F074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GB" w:vendorID="64" w:dllVersion="6" w:nlCheck="1" w:checkStyle="0"/>
  <w:activeWritingStyle w:appName="MSWord" w:lang="en-GB" w:vendorID="64" w:dllVersion="4096"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26054"/>
    <w:rsid w:val="000C76DD"/>
    <w:rsid w:val="00114A09"/>
    <w:rsid w:val="00244443"/>
    <w:rsid w:val="0034355F"/>
    <w:rsid w:val="00372238"/>
    <w:rsid w:val="00375873"/>
    <w:rsid w:val="003D76EC"/>
    <w:rsid w:val="0041521E"/>
    <w:rsid w:val="005B15CD"/>
    <w:rsid w:val="006D5F22"/>
    <w:rsid w:val="007650D9"/>
    <w:rsid w:val="007F0745"/>
    <w:rsid w:val="009569B0"/>
    <w:rsid w:val="00AF6F88"/>
    <w:rsid w:val="00E26054"/>
    <w:rsid w:val="00E7790B"/>
    <w:rsid w:val="00EF3C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FCDF9B"/>
  <w15:chartTrackingRefBased/>
  <w15:docId w15:val="{DCB4DE91-230A-4F35-A272-65ED4F2030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6557802">
      <w:bodyDiv w:val="1"/>
      <w:marLeft w:val="0"/>
      <w:marRight w:val="0"/>
      <w:marTop w:val="0"/>
      <w:marBottom w:val="0"/>
      <w:divBdr>
        <w:top w:val="none" w:sz="0" w:space="0" w:color="auto"/>
        <w:left w:val="none" w:sz="0" w:space="0" w:color="auto"/>
        <w:bottom w:val="none" w:sz="0" w:space="0" w:color="auto"/>
        <w:right w:val="none" w:sz="0" w:space="0" w:color="auto"/>
      </w:divBdr>
    </w:div>
    <w:div w:id="445471576">
      <w:bodyDiv w:val="1"/>
      <w:marLeft w:val="0"/>
      <w:marRight w:val="0"/>
      <w:marTop w:val="0"/>
      <w:marBottom w:val="0"/>
      <w:divBdr>
        <w:top w:val="none" w:sz="0" w:space="0" w:color="auto"/>
        <w:left w:val="none" w:sz="0" w:space="0" w:color="auto"/>
        <w:bottom w:val="none" w:sz="0" w:space="0" w:color="auto"/>
        <w:right w:val="none" w:sz="0" w:space="0" w:color="auto"/>
      </w:divBdr>
    </w:div>
    <w:div w:id="531965669">
      <w:bodyDiv w:val="1"/>
      <w:marLeft w:val="0"/>
      <w:marRight w:val="0"/>
      <w:marTop w:val="0"/>
      <w:marBottom w:val="0"/>
      <w:divBdr>
        <w:top w:val="none" w:sz="0" w:space="0" w:color="auto"/>
        <w:left w:val="none" w:sz="0" w:space="0" w:color="auto"/>
        <w:bottom w:val="none" w:sz="0" w:space="0" w:color="auto"/>
        <w:right w:val="none" w:sz="0" w:space="0" w:color="auto"/>
      </w:divBdr>
    </w:div>
    <w:div w:id="639070887">
      <w:bodyDiv w:val="1"/>
      <w:marLeft w:val="0"/>
      <w:marRight w:val="0"/>
      <w:marTop w:val="0"/>
      <w:marBottom w:val="0"/>
      <w:divBdr>
        <w:top w:val="none" w:sz="0" w:space="0" w:color="auto"/>
        <w:left w:val="none" w:sz="0" w:space="0" w:color="auto"/>
        <w:bottom w:val="none" w:sz="0" w:space="0" w:color="auto"/>
        <w:right w:val="none" w:sz="0" w:space="0" w:color="auto"/>
      </w:divBdr>
    </w:div>
    <w:div w:id="1075320616">
      <w:bodyDiv w:val="1"/>
      <w:marLeft w:val="0"/>
      <w:marRight w:val="0"/>
      <w:marTop w:val="0"/>
      <w:marBottom w:val="0"/>
      <w:divBdr>
        <w:top w:val="none" w:sz="0" w:space="0" w:color="auto"/>
        <w:left w:val="none" w:sz="0" w:space="0" w:color="auto"/>
        <w:bottom w:val="none" w:sz="0" w:space="0" w:color="auto"/>
        <w:right w:val="none" w:sz="0" w:space="0" w:color="auto"/>
      </w:divBdr>
    </w:div>
    <w:div w:id="1176311383">
      <w:bodyDiv w:val="1"/>
      <w:marLeft w:val="0"/>
      <w:marRight w:val="0"/>
      <w:marTop w:val="0"/>
      <w:marBottom w:val="0"/>
      <w:divBdr>
        <w:top w:val="none" w:sz="0" w:space="0" w:color="auto"/>
        <w:left w:val="none" w:sz="0" w:space="0" w:color="auto"/>
        <w:bottom w:val="none" w:sz="0" w:space="0" w:color="auto"/>
        <w:right w:val="none" w:sz="0" w:space="0" w:color="auto"/>
      </w:divBdr>
    </w:div>
    <w:div w:id="1265458945">
      <w:bodyDiv w:val="1"/>
      <w:marLeft w:val="0"/>
      <w:marRight w:val="0"/>
      <w:marTop w:val="0"/>
      <w:marBottom w:val="0"/>
      <w:divBdr>
        <w:top w:val="none" w:sz="0" w:space="0" w:color="auto"/>
        <w:left w:val="none" w:sz="0" w:space="0" w:color="auto"/>
        <w:bottom w:val="none" w:sz="0" w:space="0" w:color="auto"/>
        <w:right w:val="none" w:sz="0" w:space="0" w:color="auto"/>
      </w:divBdr>
    </w:div>
    <w:div w:id="1336305063">
      <w:bodyDiv w:val="1"/>
      <w:marLeft w:val="0"/>
      <w:marRight w:val="0"/>
      <w:marTop w:val="0"/>
      <w:marBottom w:val="0"/>
      <w:divBdr>
        <w:top w:val="none" w:sz="0" w:space="0" w:color="auto"/>
        <w:left w:val="none" w:sz="0" w:space="0" w:color="auto"/>
        <w:bottom w:val="none" w:sz="0" w:space="0" w:color="auto"/>
        <w:right w:val="none" w:sz="0" w:space="0" w:color="auto"/>
      </w:divBdr>
    </w:div>
    <w:div w:id="1417704132">
      <w:bodyDiv w:val="1"/>
      <w:marLeft w:val="0"/>
      <w:marRight w:val="0"/>
      <w:marTop w:val="0"/>
      <w:marBottom w:val="0"/>
      <w:divBdr>
        <w:top w:val="none" w:sz="0" w:space="0" w:color="auto"/>
        <w:left w:val="none" w:sz="0" w:space="0" w:color="auto"/>
        <w:bottom w:val="none" w:sz="0" w:space="0" w:color="auto"/>
        <w:right w:val="none" w:sz="0" w:space="0" w:color="auto"/>
      </w:divBdr>
    </w:div>
    <w:div w:id="1564220840">
      <w:bodyDiv w:val="1"/>
      <w:marLeft w:val="0"/>
      <w:marRight w:val="0"/>
      <w:marTop w:val="0"/>
      <w:marBottom w:val="0"/>
      <w:divBdr>
        <w:top w:val="none" w:sz="0" w:space="0" w:color="auto"/>
        <w:left w:val="none" w:sz="0" w:space="0" w:color="auto"/>
        <w:bottom w:val="none" w:sz="0" w:space="0" w:color="auto"/>
        <w:right w:val="none" w:sz="0" w:space="0" w:color="auto"/>
      </w:divBdr>
    </w:div>
    <w:div w:id="1796950907">
      <w:bodyDiv w:val="1"/>
      <w:marLeft w:val="0"/>
      <w:marRight w:val="0"/>
      <w:marTop w:val="0"/>
      <w:marBottom w:val="0"/>
      <w:divBdr>
        <w:top w:val="none" w:sz="0" w:space="0" w:color="auto"/>
        <w:left w:val="none" w:sz="0" w:space="0" w:color="auto"/>
        <w:bottom w:val="none" w:sz="0" w:space="0" w:color="auto"/>
        <w:right w:val="none" w:sz="0" w:space="0" w:color="auto"/>
      </w:divBdr>
    </w:div>
    <w:div w:id="1809668624">
      <w:bodyDiv w:val="1"/>
      <w:marLeft w:val="0"/>
      <w:marRight w:val="0"/>
      <w:marTop w:val="0"/>
      <w:marBottom w:val="0"/>
      <w:divBdr>
        <w:top w:val="none" w:sz="0" w:space="0" w:color="auto"/>
        <w:left w:val="none" w:sz="0" w:space="0" w:color="auto"/>
        <w:bottom w:val="none" w:sz="0" w:space="0" w:color="auto"/>
        <w:right w:val="none" w:sz="0" w:space="0" w:color="auto"/>
      </w:divBdr>
    </w:div>
    <w:div w:id="20240465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Gil87</b:Tag>
    <b:SourceType>Book</b:SourceType>
    <b:Guid>{12DC2537-04C1-4098-9FAA-656ECEB97ADC}</b:Guid>
    <b:Title>The Sambia: Ritual and Gender in New Guinea</b:Title>
    <b:Year>1987</b:Year>
    <b:Author>
      <b:Author>
        <b:NameList>
          <b:Person>
            <b:Last>Herdt</b:Last>
            <b:First>Gilbert</b:First>
          </b:Person>
        </b:NameList>
      </b:Author>
    </b:Author>
    <b:Publisher>University of Chicago</b:Publisher>
    <b:RefOrder>1</b:RefOrder>
  </b:Source>
  <b:Source>
    <b:Tag>Nap68</b:Tag>
    <b:SourceType>Book</b:SourceType>
    <b:Guid>{4B20243F-B56A-426E-A9DB-43B4CB202C92}</b:Guid>
    <b:Author>
      <b:Author>
        <b:NameList>
          <b:Person>
            <b:Last>Chagnon</b:Last>
            <b:First>Napoleon</b:First>
            <b:Middle>A.</b:Middle>
          </b:Person>
        </b:NameList>
      </b:Author>
    </b:Author>
    <b:Title>Yanomamo: The Fierce People</b:Title>
    <b:Year>1968</b:Year>
    <b:City> New York</b:City>
    <b:Publisher>Holt, Rinehard and Winston</b:Publisher>
    <b:RefOrder>2</b:RefOrder>
  </b:Source>
</b:Sources>
</file>

<file path=customXml/itemProps1.xml><?xml version="1.0" encoding="utf-8"?>
<ds:datastoreItem xmlns:ds="http://schemas.openxmlformats.org/officeDocument/2006/customXml" ds:itemID="{A769BBF2-4848-4AE0-A1B4-4477CA4DF6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1038</Words>
  <Characters>5920</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6945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Shannon Macey-phillips (1901558)</cp:lastModifiedBy>
  <cp:revision>2</cp:revision>
  <dcterms:created xsi:type="dcterms:W3CDTF">2019-11-11T11:55:00Z</dcterms:created>
  <dcterms:modified xsi:type="dcterms:W3CDTF">2019-11-11T11:55:00Z</dcterms:modified>
</cp:coreProperties>
</file>