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55BD" w:rsidRDefault="005455BD" w:rsidP="005455BD">
      <w:pPr>
        <w:jc w:val="right"/>
      </w:pPr>
      <w:r>
        <w:t xml:space="preserve">Laura Jane Evans </w:t>
      </w:r>
    </w:p>
    <w:p w:rsidR="005455BD" w:rsidRDefault="00FF1612" w:rsidP="005455BD">
      <w:pPr>
        <w:jc w:val="right"/>
        <w:rPr>
          <w:u w:val="single"/>
        </w:rPr>
      </w:pPr>
      <w:r>
        <w:t xml:space="preserve"> </w:t>
      </w:r>
      <w:r w:rsidR="00DC54E0">
        <w:rPr>
          <w:u w:val="single"/>
        </w:rPr>
        <w:t>HPHO5012: Cults, Cures and Canonisation</w:t>
      </w:r>
    </w:p>
    <w:p w:rsidR="00DC54E0" w:rsidRDefault="00DC54E0" w:rsidP="005455BD">
      <w:pPr>
        <w:jc w:val="right"/>
        <w:rPr>
          <w:u w:val="single"/>
        </w:rPr>
      </w:pPr>
      <w:r>
        <w:rPr>
          <w:u w:val="single"/>
        </w:rPr>
        <w:t>Thomas Becket</w:t>
      </w:r>
    </w:p>
    <w:p w:rsidR="00DC54E0" w:rsidRDefault="00DC54E0" w:rsidP="005455BD">
      <w:pPr>
        <w:jc w:val="right"/>
        <w:rPr>
          <w:u w:val="single"/>
        </w:rPr>
      </w:pPr>
    </w:p>
    <w:p w:rsidR="00DC54E0" w:rsidRDefault="00701AA2" w:rsidP="00DC54E0">
      <w:r>
        <w:t>No saint has left such a</w:t>
      </w:r>
      <w:r w:rsidR="009A61C0">
        <w:t>n impression on the church and on the state as</w:t>
      </w:r>
      <w:r w:rsidR="006A2E68">
        <w:t xml:space="preserve"> that of</w:t>
      </w:r>
      <w:r w:rsidR="009A61C0">
        <w:t xml:space="preserve"> Thomas of Canterbury, also referred to as Thomas Becket. </w:t>
      </w:r>
      <w:r w:rsidR="00DE7940">
        <w:t xml:space="preserve">Perhaps the most renowned </w:t>
      </w:r>
      <w:r w:rsidR="00577B8C">
        <w:t>s</w:t>
      </w:r>
      <w:r w:rsidR="00DE7940">
        <w:t xml:space="preserve">aint to be produced </w:t>
      </w:r>
      <w:r w:rsidR="00194548">
        <w:t>by</w:t>
      </w:r>
      <w:r w:rsidR="00DE7940">
        <w:t xml:space="preserve"> England, his influence can be seen across Europe from France and Germany to as far as Iceland and Sicily. </w:t>
      </w:r>
      <w:r w:rsidR="00CA5F0F">
        <w:t>Thomas was a potent saint, within ten years of his martyrdom there was a recording of 703 miracles.</w:t>
      </w:r>
      <w:r w:rsidR="00CA5F0F">
        <w:rPr>
          <w:rStyle w:val="FootnoteReference"/>
        </w:rPr>
        <w:footnoteReference w:id="1"/>
      </w:r>
      <w:r w:rsidR="00CA5F0F">
        <w:t xml:space="preserve"> </w:t>
      </w:r>
      <w:r w:rsidR="002E35CC">
        <w:t xml:space="preserve">He was canonised in 1173, only three years after his martyrdom and </w:t>
      </w:r>
      <w:r w:rsidR="00CF7B40">
        <w:t xml:space="preserve">was immortalized in the </w:t>
      </w:r>
      <w:r w:rsidR="00CF7B40">
        <w:rPr>
          <w:i/>
        </w:rPr>
        <w:t xml:space="preserve">Canterbury Tales </w:t>
      </w:r>
      <w:r w:rsidR="00CF7B40">
        <w:t xml:space="preserve"> by Chaucer which give</w:t>
      </w:r>
      <w:r w:rsidR="00193C02">
        <w:t>s</w:t>
      </w:r>
      <w:r w:rsidR="00CF7B40">
        <w:t xml:space="preserve"> a unique insight on both </w:t>
      </w:r>
      <w:r w:rsidR="008A100D">
        <w:t>the</w:t>
      </w:r>
      <w:r w:rsidR="00CF7B40">
        <w:t xml:space="preserve"> practice and personnel</w:t>
      </w:r>
      <w:r w:rsidR="008A100D">
        <w:t xml:space="preserve"> of his cult</w:t>
      </w:r>
      <w:r w:rsidR="005D5F13">
        <w:t xml:space="preserve"> </w:t>
      </w:r>
      <w:r w:rsidR="00CF7B40">
        <w:t>.</w:t>
      </w:r>
      <w:r w:rsidR="00CF7B40">
        <w:rPr>
          <w:rStyle w:val="FootnoteReference"/>
        </w:rPr>
        <w:footnoteReference w:id="2"/>
      </w:r>
      <w:r w:rsidR="00CF7B40">
        <w:t xml:space="preserve"> </w:t>
      </w:r>
      <w:r w:rsidR="00577B8C">
        <w:t>Such potency inevitably proved to be Becket’s downfall as his influence and political agendas proved to</w:t>
      </w:r>
      <w:r w:rsidR="00194548">
        <w:t>o</w:t>
      </w:r>
      <w:r w:rsidR="00577B8C">
        <w:t xml:space="preserve"> great an issue for Henry VIII, who during the Reformation had </w:t>
      </w:r>
      <w:r w:rsidR="000D69FE">
        <w:t>his shrine destroyed and ordered all mention of Becket to be removed from liturgical books.</w:t>
      </w:r>
      <w:r w:rsidR="000D69FE">
        <w:rPr>
          <w:rStyle w:val="FootnoteReference"/>
        </w:rPr>
        <w:footnoteReference w:id="3"/>
      </w:r>
      <w:r w:rsidR="00194548">
        <w:t xml:space="preserve"> This essay aims to explore the character of Becket, to understand the problematic nature of his political environment and to investigate the effects of his martyrdom on the medieval mind and on the cult of saints.</w:t>
      </w:r>
      <w:r w:rsidR="00D2056A">
        <w:t xml:space="preserve"> The essay will be focusing on the textual sources, relics and the current discussion surrounding Becket in order to answer the question ‘Was </w:t>
      </w:r>
      <w:r w:rsidR="007A6D8C">
        <w:t>B</w:t>
      </w:r>
      <w:r w:rsidR="00D2056A">
        <w:t xml:space="preserve">ecket a true martyr to a worthy cause or a traitor to the King and country?’. </w:t>
      </w:r>
    </w:p>
    <w:p w:rsidR="001A29B6" w:rsidRDefault="001A29B6" w:rsidP="00DC54E0"/>
    <w:p w:rsidR="001A29B6" w:rsidRPr="001A29B6" w:rsidRDefault="001A29B6" w:rsidP="00DC54E0">
      <w:r>
        <w:rPr>
          <w:u w:val="single"/>
        </w:rPr>
        <w:t>The Man.</w:t>
      </w:r>
    </w:p>
    <w:p w:rsidR="001A29B6" w:rsidRDefault="001A29B6" w:rsidP="00DC54E0"/>
    <w:p w:rsidR="00C96085" w:rsidRDefault="00C96085" w:rsidP="00DC54E0">
      <w:r>
        <w:tab/>
      </w:r>
      <w:r w:rsidR="005848B8">
        <w:t>Born in 1118, Becket belonged to a wealthy Norman family.</w:t>
      </w:r>
      <w:r w:rsidR="005848B8">
        <w:rPr>
          <w:rStyle w:val="FootnoteReference"/>
        </w:rPr>
        <w:footnoteReference w:id="4"/>
      </w:r>
      <w:r w:rsidR="005848B8">
        <w:t xml:space="preserve"> </w:t>
      </w:r>
      <w:r w:rsidR="00682016">
        <w:t>It is likely that Becket was named after St Thomas the Apostle as he was born on his feast day, 21</w:t>
      </w:r>
      <w:r w:rsidR="006854CF">
        <w:rPr>
          <w:vertAlign w:val="superscript"/>
        </w:rPr>
        <w:t xml:space="preserve"> </w:t>
      </w:r>
      <w:r w:rsidR="00682016">
        <w:t>December.</w:t>
      </w:r>
      <w:r w:rsidR="00682016">
        <w:rPr>
          <w:rStyle w:val="FootnoteReference"/>
        </w:rPr>
        <w:footnoteReference w:id="5"/>
      </w:r>
      <w:r w:rsidR="00682016">
        <w:t xml:space="preserve"> Naming children after saints was common in 1120, perhaps the saint would favour the child and protect them, or was this idea created by Beckets biographers in order emphasis his saintly origins? This would no</w:t>
      </w:r>
      <w:r w:rsidR="00491CE2">
        <w:t>t</w:t>
      </w:r>
      <w:r w:rsidR="00682016">
        <w:t xml:space="preserve"> be surprising</w:t>
      </w:r>
      <w:r w:rsidR="00491CE2">
        <w:t xml:space="preserve"> as they fitted into the pattern of saints’ lives and where likely to be fabricated.</w:t>
      </w:r>
      <w:r w:rsidR="00491CE2">
        <w:rPr>
          <w:rStyle w:val="FootnoteReference"/>
        </w:rPr>
        <w:footnoteReference w:id="6"/>
      </w:r>
      <w:r w:rsidR="00491CE2">
        <w:t xml:space="preserve"> B</w:t>
      </w:r>
      <w:r w:rsidR="00682016">
        <w:t xml:space="preserve">iographers state that </w:t>
      </w:r>
      <w:r w:rsidR="00491CE2">
        <w:t>his mother, Matilda, had prophetic dreams and images throughout her pregnancy. Edward Grim, for example, described several visions experienced by Matilda during her pregnancy that she in fact feared and required the help of wise men to comfort her, “Shortly after his mother conceived, she saw in a vision that the entire River Thames was flowing within her. Filled with womanly fear, she suspected the vision signified some strange trouble, as the common people tend to interpret an overflowing of water”.</w:t>
      </w:r>
      <w:r w:rsidR="00491CE2">
        <w:rPr>
          <w:rStyle w:val="FootnoteReference"/>
        </w:rPr>
        <w:footnoteReference w:id="7"/>
      </w:r>
      <w:r w:rsidR="009D37DE">
        <w:t xml:space="preserve"> Not only does this </w:t>
      </w:r>
      <w:r w:rsidR="00097AC4">
        <w:t>play on ‘common’ origins but also reinforces the importance Becket had for England by creating a symbol from the River Thames. Beckets significance to England is further emphasised when, in a dream, his mother and nurse struggle</w:t>
      </w:r>
      <w:r w:rsidR="00B173DF">
        <w:t xml:space="preserve"> to</w:t>
      </w:r>
      <w:r w:rsidR="00097AC4">
        <w:t xml:space="preserve"> remove him from a folded purple cloth. After several attempts a thundering voice from the heavens says “Your efforts are in vain. All England is smaller than this purple cloth and cannot </w:t>
      </w:r>
      <w:r w:rsidR="00097AC4">
        <w:lastRenderedPageBreak/>
        <w:t>contain it”.</w:t>
      </w:r>
      <w:r w:rsidR="00097AC4">
        <w:rPr>
          <w:rStyle w:val="FootnoteReference"/>
        </w:rPr>
        <w:footnoteReference w:id="8"/>
      </w:r>
      <w:r w:rsidR="00097AC4">
        <w:t xml:space="preserve"> The piece goes on further to link this dream with Becket’s martyrdom, </w:t>
      </w:r>
      <w:r w:rsidR="0074766C">
        <w:t>stating that the colour purple “signifies the blood of the martyr innocently killed, which covered him in his passion as he lay dead”.</w:t>
      </w:r>
      <w:r w:rsidR="0074766C">
        <w:rPr>
          <w:rStyle w:val="FootnoteReference"/>
        </w:rPr>
        <w:footnoteReference w:id="9"/>
      </w:r>
      <w:r w:rsidR="0074766C">
        <w:t xml:space="preserve"> </w:t>
      </w:r>
      <w:r w:rsidR="00745799">
        <w:t xml:space="preserve"> This symbolic link of the martyr and colour purple is also emphasised later in the scenes of his death. </w:t>
      </w:r>
      <w:r w:rsidR="0074766C">
        <w:t>The words ‘innocently killed’ is interesting as it suggests that there are some doubts about the martyrdom of Becket, what is it that Becket is innocent of?</w:t>
      </w:r>
      <w:r w:rsidR="00084787">
        <w:t xml:space="preserve"> Duggan suggests that the </w:t>
      </w:r>
      <w:r w:rsidR="00666C69">
        <w:t>desire to write a life of Becket to encourage his cult led biographers to falsify the reality of the time, this distorts the truth of the ‘real’ man and the ‘real’ issues of Beckets life.</w:t>
      </w:r>
      <w:r w:rsidR="00666C69">
        <w:rPr>
          <w:rStyle w:val="FootnoteReference"/>
        </w:rPr>
        <w:footnoteReference w:id="10"/>
      </w:r>
    </w:p>
    <w:p w:rsidR="003B5256" w:rsidRDefault="001A29B6" w:rsidP="003B5256">
      <w:r>
        <w:tab/>
      </w:r>
      <w:r w:rsidR="00240384">
        <w:t xml:space="preserve">Becket was educated at Merton Abbey and at Paris, his biographers focus very little on his education. </w:t>
      </w:r>
      <w:r w:rsidR="00240384">
        <w:rPr>
          <w:rStyle w:val="FootnoteReference"/>
        </w:rPr>
        <w:footnoteReference w:id="11"/>
      </w:r>
      <w:r w:rsidR="00240384">
        <w:t xml:space="preserve"> Authors such as Edward Grim and Roger of </w:t>
      </w:r>
      <w:proofErr w:type="spellStart"/>
      <w:r w:rsidR="00240384">
        <w:t>Pontigny</w:t>
      </w:r>
      <w:proofErr w:type="spellEnd"/>
      <w:r w:rsidR="00240384">
        <w:t xml:space="preserve"> combine </w:t>
      </w:r>
      <w:r w:rsidR="006854CF">
        <w:t>his</w:t>
      </w:r>
      <w:r w:rsidR="00240384">
        <w:t xml:space="preserve"> reading</w:t>
      </w:r>
      <w:r w:rsidR="006854CF">
        <w:t>s</w:t>
      </w:r>
      <w:r w:rsidR="00240384">
        <w:t xml:space="preserve"> and the advancements of Becket as a spiritual symbol of greatness and as indications of his saintliness.</w:t>
      </w:r>
      <w:r w:rsidR="00240384">
        <w:rPr>
          <w:rStyle w:val="FootnoteReference"/>
        </w:rPr>
        <w:footnoteReference w:id="12"/>
      </w:r>
      <w:r w:rsidR="00240384">
        <w:t xml:space="preserve"> It appears these were attempts to counter balance his later life style as Chancellor to Henry II</w:t>
      </w:r>
      <w:r w:rsidR="0007409F">
        <w:t>, Becket was known to have lived a lavished lifestyle and often went hunting and drinking with the King.</w:t>
      </w:r>
      <w:r w:rsidR="0007409F">
        <w:rPr>
          <w:rStyle w:val="FootnoteReference"/>
        </w:rPr>
        <w:footnoteReference w:id="13"/>
      </w:r>
      <w:r w:rsidR="0007409F">
        <w:t xml:space="preserve"> This can be seen in the work of Roger of </w:t>
      </w:r>
      <w:proofErr w:type="spellStart"/>
      <w:r w:rsidR="0007409F">
        <w:t>Pontigny</w:t>
      </w:r>
      <w:proofErr w:type="spellEnd"/>
      <w:r w:rsidR="0007409F">
        <w:t xml:space="preserve"> when he introduces a knight called Roger of </w:t>
      </w:r>
      <w:proofErr w:type="spellStart"/>
      <w:r w:rsidR="0007409F">
        <w:t>Laigle</w:t>
      </w:r>
      <w:proofErr w:type="spellEnd"/>
      <w:r w:rsidR="0007409F">
        <w:t>, a friend of Becket’s father, who was fond of hunting with dogs and birds and appears to have passed the habit onto Becket.</w:t>
      </w:r>
      <w:r w:rsidR="0007409F">
        <w:rPr>
          <w:rStyle w:val="FootnoteReference"/>
        </w:rPr>
        <w:footnoteReference w:id="14"/>
      </w:r>
      <w:r w:rsidR="001B67C4">
        <w:t xml:space="preserve"> </w:t>
      </w:r>
      <w:r w:rsidR="0096151D">
        <w:t>Becket was</w:t>
      </w:r>
      <w:r w:rsidR="001B67C4">
        <w:t xml:space="preserve"> ordained deacon</w:t>
      </w:r>
      <w:r w:rsidR="0096151D">
        <w:t xml:space="preserve"> and later</w:t>
      </w:r>
      <w:r w:rsidR="001B67C4">
        <w:t xml:space="preserve"> became archdeacon of Canterbury in 1154 under Theobald, archbishop of Canterbury.</w:t>
      </w:r>
      <w:r w:rsidR="001B67C4">
        <w:rPr>
          <w:rStyle w:val="FootnoteReference"/>
        </w:rPr>
        <w:footnoteReference w:id="15"/>
      </w:r>
      <w:r w:rsidR="001B67C4">
        <w:t xml:space="preserve"> Henry II succeeded to the throne of England and within one year of his reign he appointed Becket as Chancellor of England in 1155, at the suggestion of Theobald. It appears that Becket thrived in his new position, he was responsible for securing the marriage of prince Henry to Margaret, </w:t>
      </w:r>
      <w:r w:rsidR="004F21AF">
        <w:t xml:space="preserve">the French princess, and led troops on several military expeditions. </w:t>
      </w:r>
      <w:r w:rsidR="008E016B">
        <w:t>It comes as no surprise that Henry II sees Becket’s potential outside of his court also and appoints Becket as Archbishop of Canterbury in 1162.</w:t>
      </w:r>
      <w:r w:rsidR="008E016B">
        <w:rPr>
          <w:rStyle w:val="FootnoteReference"/>
        </w:rPr>
        <w:footnoteReference w:id="16"/>
      </w:r>
      <w:r w:rsidR="008E016B">
        <w:t xml:space="preserve"> </w:t>
      </w:r>
      <w:r w:rsidR="003B5256">
        <w:t>Henry II appointed Becket as Archbishop in order to gain support from the increasingly independent church courts, and with Becket fulfilling two roles, of state and church, he hoped to strengthen and build a state dominated by the crown.</w:t>
      </w:r>
      <w:r w:rsidR="003B5256">
        <w:rPr>
          <w:rStyle w:val="FootnoteReference"/>
        </w:rPr>
        <w:footnoteReference w:id="17"/>
      </w:r>
      <w:r w:rsidR="003B5256">
        <w:t xml:space="preserve"> This idea of creating an archbishop that would obey the kings command as the kings motif can bee seen in the textual sources. For example, Edward Grim writes “The king, then, thinking that the chancellor would follow his desire in all things, as before, and obey his orders, bestowed the office of archbishop on him”.</w:t>
      </w:r>
      <w:r w:rsidR="003B5256">
        <w:rPr>
          <w:rStyle w:val="FootnoteReference"/>
        </w:rPr>
        <w:footnoteReference w:id="18"/>
      </w:r>
      <w:r w:rsidR="003B5256">
        <w:t xml:space="preserve"> Edward Grim explicitly states the motif behind the kings appointing of Becket, suggesting that the medieval populace at the time were aware of his sly </w:t>
      </w:r>
      <w:r w:rsidR="0096151D">
        <w:t>intent</w:t>
      </w:r>
      <w:r w:rsidR="003B5256">
        <w:t xml:space="preserve">. </w:t>
      </w:r>
    </w:p>
    <w:p w:rsidR="00036A25" w:rsidRDefault="00666C69" w:rsidP="00FF0FF1">
      <w:r>
        <w:tab/>
        <w:t>However, the new archbishop did not intend to follow the rule of the king in his new position or carry his habits into this new office. Becket resigned as Chancellor, rejecting his old commitments and fully submerging himself in the role of the church.</w:t>
      </w:r>
      <w:r>
        <w:rPr>
          <w:rStyle w:val="FootnoteReference"/>
        </w:rPr>
        <w:footnoteReference w:id="19"/>
      </w:r>
      <w:r>
        <w:t xml:space="preserve"> </w:t>
      </w:r>
      <w:r w:rsidR="00C84A6D">
        <w:t xml:space="preserve">William of Canterbury describes him as a ‘changed man’ and paints the picture of a man humbled by his new position in the church, “And having put on the monastic habit with the </w:t>
      </w:r>
      <w:proofErr w:type="spellStart"/>
      <w:r w:rsidR="00C84A6D">
        <w:t>hairshirt</w:t>
      </w:r>
      <w:proofErr w:type="spellEnd"/>
      <w:r w:rsidR="00C84A6D">
        <w:t>, the spiritual man, which nevertheless under the seemliness of his clothes he hid from the eyes of men, he filled with merits. And few being aware, he served as a soldier under the breastplate of faith”.</w:t>
      </w:r>
      <w:r w:rsidR="00C84A6D">
        <w:rPr>
          <w:rStyle w:val="FootnoteReference"/>
        </w:rPr>
        <w:footnoteReference w:id="20"/>
      </w:r>
      <w:r w:rsidR="00F821E9">
        <w:t xml:space="preserve"> </w:t>
      </w:r>
      <w:r w:rsidR="007A6D8C">
        <w:t xml:space="preserve">Duggan states that </w:t>
      </w:r>
      <w:r w:rsidR="0043276C">
        <w:t>‘</w:t>
      </w:r>
      <w:r w:rsidR="007A6D8C">
        <w:t xml:space="preserve">All </w:t>
      </w:r>
      <w:r w:rsidR="007A6D8C">
        <w:lastRenderedPageBreak/>
        <w:t xml:space="preserve">records are products of their time; all were written for a purpose; and all were subjects to the bias and selective or defective memory </w:t>
      </w:r>
      <w:r w:rsidR="00BA0788">
        <w:t>of their author</w:t>
      </w:r>
      <w:r w:rsidR="0043276C">
        <w:t>’</w:t>
      </w:r>
      <w:r w:rsidR="00BA0788">
        <w:t>.</w:t>
      </w:r>
      <w:r w:rsidR="00BA0788">
        <w:rPr>
          <w:rStyle w:val="FootnoteReference"/>
        </w:rPr>
        <w:footnoteReference w:id="21"/>
      </w:r>
      <w:r w:rsidR="001D41CC">
        <w:t xml:space="preserve"> This can be applied to William of Canterbury as he was a witness to the murder of Thomas Becket.</w:t>
      </w:r>
      <w:r w:rsidR="00C84A6D">
        <w:t xml:space="preserve"> </w:t>
      </w:r>
      <w:r w:rsidR="001D41CC">
        <w:t>His agenda when writing about Becket may be perceived as biased as he was a witness to the brutality of the king and was also ordained deacon a few days earlier.</w:t>
      </w:r>
      <w:r w:rsidR="001D41CC">
        <w:rPr>
          <w:rStyle w:val="FootnoteReference"/>
        </w:rPr>
        <w:footnoteReference w:id="22"/>
      </w:r>
      <w:r w:rsidR="001D41CC">
        <w:t xml:space="preserve"> </w:t>
      </w:r>
      <w:r w:rsidR="00720263">
        <w:t>Becket opposed the king on several things such as the taxation of the church, on the claims of secular courts to punish members of the clergy and on the freedom to appeal to Rome.</w:t>
      </w:r>
      <w:r w:rsidR="001D41CC">
        <w:rPr>
          <w:rStyle w:val="FootnoteReference"/>
        </w:rPr>
        <w:footnoteReference w:id="23"/>
      </w:r>
      <w:r w:rsidR="001D41CC">
        <w:t xml:space="preserve"> </w:t>
      </w:r>
    </w:p>
    <w:p w:rsidR="00666C69" w:rsidRDefault="001D41CC" w:rsidP="00036A25">
      <w:pPr>
        <w:ind w:firstLine="720"/>
      </w:pPr>
      <w:r>
        <w:t xml:space="preserve">These appear to be praiseworthy causes but not all </w:t>
      </w:r>
      <w:r w:rsidR="00B506C6">
        <w:t xml:space="preserve">sympathise with </w:t>
      </w:r>
      <w:r w:rsidR="0096151D">
        <w:t xml:space="preserve">the </w:t>
      </w:r>
      <w:r w:rsidR="00B506C6">
        <w:t xml:space="preserve">archbishop. Egbert Turk refers to Becket as </w:t>
      </w:r>
      <w:r w:rsidR="0043276C">
        <w:t>a ‘</w:t>
      </w:r>
      <w:proofErr w:type="spellStart"/>
      <w:r w:rsidR="00B506C6">
        <w:t>Curialist</w:t>
      </w:r>
      <w:proofErr w:type="spellEnd"/>
      <w:r w:rsidR="00B506C6">
        <w:t xml:space="preserve"> who bit the hand that fed him</w:t>
      </w:r>
      <w:r w:rsidR="0043276C">
        <w:t>’</w:t>
      </w:r>
      <w:r w:rsidR="00B506C6">
        <w:t xml:space="preserve"> in 1977 while studying the court of Henry II. Turk therefore blames Becket and his refusal to ‘compromise’ for the crisis, suggesting that Becket</w:t>
      </w:r>
      <w:r w:rsidR="0043276C">
        <w:t>’</w:t>
      </w:r>
      <w:r w:rsidR="00B506C6">
        <w:t xml:space="preserve">s murder was a </w:t>
      </w:r>
      <w:r w:rsidR="0043276C">
        <w:t>‘</w:t>
      </w:r>
      <w:r w:rsidR="00B506C6">
        <w:t xml:space="preserve">violent death, wished for and provoked </w:t>
      </w:r>
      <w:r w:rsidR="0043276C">
        <w:t xml:space="preserve">by the primate’, which, ‘could thus be seen both as an act of savage justice and as an extreme case of the settling of accounts between </w:t>
      </w:r>
      <w:proofErr w:type="spellStart"/>
      <w:r w:rsidR="0043276C">
        <w:t>curialsts</w:t>
      </w:r>
      <w:proofErr w:type="spellEnd"/>
      <w:r w:rsidR="0043276C">
        <w:t>’.</w:t>
      </w:r>
      <w:r w:rsidR="0043276C">
        <w:rPr>
          <w:rStyle w:val="FootnoteReference"/>
        </w:rPr>
        <w:footnoteReference w:id="24"/>
      </w:r>
      <w:r w:rsidR="0043276C">
        <w:t xml:space="preserve"> Warren in his study </w:t>
      </w:r>
      <w:r w:rsidR="0043276C">
        <w:rPr>
          <w:i/>
        </w:rPr>
        <w:t xml:space="preserve">Henry II, </w:t>
      </w:r>
      <w:r w:rsidR="0043276C">
        <w:t>claims that Becket’s actions were ‘grand gestures’, in which ‘he seemed to be deliberately picking a quarrel’.</w:t>
      </w:r>
      <w:r w:rsidR="0043276C">
        <w:rPr>
          <w:rStyle w:val="FootnoteReference"/>
        </w:rPr>
        <w:footnoteReference w:id="25"/>
      </w:r>
      <w:r w:rsidR="00B506C6">
        <w:t xml:space="preserve"> </w:t>
      </w:r>
      <w:r w:rsidR="0043276C">
        <w:t xml:space="preserve">In Roger of </w:t>
      </w:r>
      <w:proofErr w:type="spellStart"/>
      <w:r w:rsidR="0043276C">
        <w:t>Hoveden’s</w:t>
      </w:r>
      <w:proofErr w:type="spellEnd"/>
      <w:r w:rsidR="0043276C">
        <w:t xml:space="preserve"> Chronicle we can see that even Becket’s </w:t>
      </w:r>
      <w:r w:rsidR="005D27B6">
        <w:t>equals did not always approve of his actions, going as far as to wrestle the cross from Becket’s hands and warned that ‘evil will ensue to you therefrom’ for speaking against the kings interests.</w:t>
      </w:r>
      <w:r w:rsidR="005D27B6">
        <w:rPr>
          <w:rStyle w:val="FootnoteReference"/>
        </w:rPr>
        <w:footnoteReference w:id="26"/>
      </w:r>
      <w:r w:rsidR="005D27B6">
        <w:t xml:space="preserve"> </w:t>
      </w:r>
      <w:r w:rsidR="00E64BBA">
        <w:t xml:space="preserve">Austin Lane Poole writes in the </w:t>
      </w:r>
      <w:r w:rsidR="00E64BBA">
        <w:rPr>
          <w:i/>
        </w:rPr>
        <w:t>Oxford History of England</w:t>
      </w:r>
      <w:r w:rsidR="00E64BBA">
        <w:t xml:space="preserve"> that Becket had little support at home, further quoting William of Newburgh ‘the archbishop’s conduct could not be regarded as praiseworthy, however much it might have proceeded from a laudable zeal, since it served no useful purpose and only tended further to incense the king’.</w:t>
      </w:r>
      <w:r w:rsidR="00E64BBA">
        <w:rPr>
          <w:rStyle w:val="FootnoteReference"/>
        </w:rPr>
        <w:footnoteReference w:id="27"/>
      </w:r>
      <w:r w:rsidR="0096151D">
        <w:t xml:space="preserve"> </w:t>
      </w:r>
      <w:r w:rsidR="00695732">
        <w:t xml:space="preserve">However, not all look upon Becket’s actions as harshly. In 1943, Raymonde </w:t>
      </w:r>
      <w:proofErr w:type="spellStart"/>
      <w:r w:rsidR="00695732">
        <w:t>Foreville</w:t>
      </w:r>
      <w:proofErr w:type="spellEnd"/>
      <w:r w:rsidR="00695732">
        <w:t xml:space="preserve"> was sympathetic to the position of the church against the aggressive policies of Henry II.</w:t>
      </w:r>
      <w:r w:rsidR="00695732">
        <w:rPr>
          <w:rStyle w:val="FootnoteReference"/>
        </w:rPr>
        <w:footnoteReference w:id="28"/>
      </w:r>
      <w:r w:rsidR="00695732">
        <w:t xml:space="preserve"> </w:t>
      </w:r>
      <w:r w:rsidR="00695732" w:rsidRPr="00695732">
        <w:t>David Knowles addresses the issues of Becket’s dual life but does not over</w:t>
      </w:r>
      <w:r w:rsidR="00695732">
        <w:t>-</w:t>
      </w:r>
      <w:r w:rsidR="00695732" w:rsidRPr="00695732">
        <w:t>look that there was justice in his cause and dignity in the end.</w:t>
      </w:r>
      <w:r w:rsidR="00695732">
        <w:rPr>
          <w:rStyle w:val="FootnoteReference"/>
        </w:rPr>
        <w:footnoteReference w:id="29"/>
      </w:r>
      <w:r w:rsidR="00695732">
        <w:t xml:space="preserve"> How Becket was to confront the king on these issues were limited, as Hugh M. Thomas points out ‘any serious use of violence against a powerful magnate was generally hopeless, given the armed power nobles had at their disposal, and would simply result in the religious losing the moral high ground’.</w:t>
      </w:r>
      <w:r w:rsidR="00695732">
        <w:rPr>
          <w:rStyle w:val="FootnoteReference"/>
        </w:rPr>
        <w:footnoteReference w:id="30"/>
      </w:r>
      <w:r w:rsidR="00695732">
        <w:t xml:space="preserve"> </w:t>
      </w:r>
      <w:r w:rsidR="0091010B">
        <w:t xml:space="preserve">Hugh M. Thomas </w:t>
      </w:r>
      <w:r w:rsidR="00A77F6D">
        <w:t xml:space="preserve">suggests that the clergy had few tools at their disposal against such confrontations, it can be interpreted that the greatest weapon in their arsenal is to die for their cause and to achieve </w:t>
      </w:r>
      <w:r w:rsidR="008032A2">
        <w:t>martyrdom</w:t>
      </w:r>
      <w:r w:rsidR="00834154">
        <w:t>.</w:t>
      </w:r>
      <w:r w:rsidR="00FF0FF1">
        <w:t xml:space="preserve"> </w:t>
      </w:r>
      <w:r w:rsidR="002015F8">
        <w:t xml:space="preserve">Henry II claimed to be acting on the customs of his grandfather, Henry I, under the Constitutions of Clarendon which Becket had agreed upon in 1164. After realising the </w:t>
      </w:r>
      <w:proofErr w:type="gramStart"/>
      <w:r w:rsidR="002015F8">
        <w:t>implication</w:t>
      </w:r>
      <w:proofErr w:type="gramEnd"/>
      <w:r w:rsidR="00FF0FF1">
        <w:t xml:space="preserve"> </w:t>
      </w:r>
      <w:r w:rsidR="002015F8">
        <w:t>the constitutions had on the church,</w:t>
      </w:r>
      <w:r w:rsidR="00FF0FF1">
        <w:t xml:space="preserve"> Becket</w:t>
      </w:r>
      <w:r w:rsidR="002015F8">
        <w:t xml:space="preserve"> rejected them and fled to France where he lived in exile for over six years. Tensions reached boiling point in 1170 when young prince Henry was crowned and in </w:t>
      </w:r>
      <w:r w:rsidR="002015F8">
        <w:lastRenderedPageBreak/>
        <w:t>response Becket excommunicated the bishops involved.</w:t>
      </w:r>
      <w:r w:rsidR="002015F8">
        <w:rPr>
          <w:rStyle w:val="FootnoteReference"/>
        </w:rPr>
        <w:footnoteReference w:id="31"/>
      </w:r>
      <w:r w:rsidR="002015F8">
        <w:t xml:space="preserve"> In a dramatic conclusion, on the evening of December </w:t>
      </w:r>
      <w:r w:rsidR="00F821E9">
        <w:t>29,</w:t>
      </w:r>
      <w:r w:rsidR="00486CFC">
        <w:t xml:space="preserve"> 1170, four knights kill Thomas Becket in Canterbury Cathedral.</w:t>
      </w:r>
      <w:r w:rsidR="00486CFC">
        <w:rPr>
          <w:rStyle w:val="FootnoteReference"/>
        </w:rPr>
        <w:footnoteReference w:id="32"/>
      </w:r>
    </w:p>
    <w:p w:rsidR="00036A25" w:rsidRDefault="00036A25" w:rsidP="00FF0FF1"/>
    <w:p w:rsidR="00036A25" w:rsidRDefault="00036A25" w:rsidP="00FF0FF1">
      <w:r>
        <w:rPr>
          <w:u w:val="single"/>
        </w:rPr>
        <w:t>The Martyr.</w:t>
      </w:r>
    </w:p>
    <w:p w:rsidR="00036A25" w:rsidRDefault="00036A25" w:rsidP="00FF0FF1"/>
    <w:p w:rsidR="000759AA" w:rsidRDefault="000759AA" w:rsidP="00FF0FF1">
      <w:r>
        <w:tab/>
      </w:r>
      <w:r w:rsidR="00024256">
        <w:t xml:space="preserve">St Augustine of Hippo wrote it was the </w:t>
      </w:r>
      <w:r w:rsidR="00024256">
        <w:rPr>
          <w:i/>
        </w:rPr>
        <w:t xml:space="preserve">causa </w:t>
      </w:r>
      <w:r w:rsidR="00024256">
        <w:t xml:space="preserve">(cause) and not </w:t>
      </w:r>
      <w:proofErr w:type="spellStart"/>
      <w:r w:rsidR="00024256">
        <w:rPr>
          <w:i/>
        </w:rPr>
        <w:t>poena</w:t>
      </w:r>
      <w:proofErr w:type="spellEnd"/>
      <w:r w:rsidR="00024256">
        <w:rPr>
          <w:i/>
        </w:rPr>
        <w:t xml:space="preserve"> </w:t>
      </w:r>
      <w:r w:rsidR="00024256">
        <w:t>(suffering) that makes the martyr.</w:t>
      </w:r>
      <w:r w:rsidR="00024256">
        <w:rPr>
          <w:rStyle w:val="FootnoteReference"/>
        </w:rPr>
        <w:footnoteReference w:id="33"/>
      </w:r>
      <w:r w:rsidR="00024256">
        <w:t xml:space="preserve"> In the case of the martyrdom of Becket these two concepts are intertwined, was it his cause that gained him a seat in heaven or the brutality of the kings men that gained his immortality in the face of adversity? </w:t>
      </w:r>
      <w:r w:rsidR="0058602C">
        <w:t xml:space="preserve">There are numerous accounts of Beckets death, all with fine details that lay the blame sometimes at the door of the king but always with the cruelty of the knights. Having earlier discussed the opinion on whether Becket was entirely innocent in the affair, evaluating the sources on his death will give us insight into how the event can be translated to audiences to benefit his image as a saint and his cult. </w:t>
      </w:r>
      <w:r w:rsidR="00AD6221">
        <w:t xml:space="preserve">There were several witnesses to Becket’s murder such as, William </w:t>
      </w:r>
      <w:proofErr w:type="spellStart"/>
      <w:r w:rsidR="00AD6221">
        <w:t>FitzStephen</w:t>
      </w:r>
      <w:proofErr w:type="spellEnd"/>
      <w:r w:rsidR="00AD6221">
        <w:t xml:space="preserve">, Edward Grim, John of Salisbury, William of Canterbury and Benedict of Peterborough. Edward Grim, who was mentioned previously, had just been ordained a priest by Thomas and was severely wounded by Reginald </w:t>
      </w:r>
      <w:proofErr w:type="spellStart"/>
      <w:r w:rsidR="00AD6221">
        <w:t>FitzUse</w:t>
      </w:r>
      <w:proofErr w:type="spellEnd"/>
      <w:r w:rsidR="00AD6221">
        <w:t xml:space="preserve"> in an attempt to defend Becket from the blows.</w:t>
      </w:r>
      <w:r w:rsidR="00AD6221">
        <w:rPr>
          <w:rStyle w:val="FootnoteReference"/>
        </w:rPr>
        <w:footnoteReference w:id="34"/>
      </w:r>
      <w:r w:rsidR="00AD6221">
        <w:t xml:space="preserve"> William of Canterbury, also discussed previously, was making his way down the steps from the choir when the knights perused Becket into the Cathedral.</w:t>
      </w:r>
      <w:r w:rsidR="00AD6221">
        <w:rPr>
          <w:rStyle w:val="FootnoteReference"/>
        </w:rPr>
        <w:footnoteReference w:id="35"/>
      </w:r>
      <w:r w:rsidR="00AD6221">
        <w:t xml:space="preserve"> When engaging with the material it is important to keep in mind the previous words of Duggan in regards to the agenda of the authors and how the are indeed ‘products of their time’. </w:t>
      </w:r>
      <w:r w:rsidR="00C74F8C">
        <w:t xml:space="preserve">There are key aspects to the events that need singling out in order to fully evaluate the sources such as the involvement of the king, the actions or words of the knights, Becket’s defiance and the death itself. </w:t>
      </w:r>
    </w:p>
    <w:p w:rsidR="00C74F8C" w:rsidRDefault="00C74F8C" w:rsidP="00FF0FF1">
      <w:r>
        <w:tab/>
        <w:t xml:space="preserve">Damning Henry II as Beckets murdered would have been very unwise considering he is the King of England and what had recently happened to Becket. It was dangerous to risk the </w:t>
      </w:r>
      <w:proofErr w:type="gramStart"/>
      <w:r>
        <w:t>kings</w:t>
      </w:r>
      <w:proofErr w:type="gramEnd"/>
      <w:r>
        <w:t xml:space="preserve"> wrath. In some examples, such as the Chronicle of Benedict of Peterborough, Henry II is unaware of the knights and their mission. They do not act on the desire of the king but rather take it upon themselves to unburden him of the troubles</w:t>
      </w:r>
      <w:r w:rsidR="00B123B1">
        <w:t>ome archbishop</w:t>
      </w:r>
      <w:r>
        <w:t>, “Four knights of his household, on account of the disturbed spirits which they saw in him, desiring to defend him, secretly, without the knowledge of the king, hurried to the sea to cross the channel to England”.</w:t>
      </w:r>
      <w:r>
        <w:rPr>
          <w:rStyle w:val="FootnoteReference"/>
        </w:rPr>
        <w:footnoteReference w:id="36"/>
      </w:r>
      <w:r w:rsidR="00C23864">
        <w:t xml:space="preserve"> This removes all guilt from the king, </w:t>
      </w:r>
      <w:r w:rsidR="00B123B1">
        <w:t>and implies that the loyalty of his knights are to blame</w:t>
      </w:r>
      <w:r w:rsidR="00C23864">
        <w:t>.</w:t>
      </w:r>
      <w:r w:rsidR="002D4B46">
        <w:t xml:space="preserve"> Benedict of </w:t>
      </w:r>
      <w:r w:rsidR="00A008EE">
        <w:t xml:space="preserve">Peterborough goes further still and describes the </w:t>
      </w:r>
      <w:r w:rsidR="00B123B1">
        <w:t>misery of the king on discovering what happened to Becket, “His life was miserable beyond words. Truly he did not wish to eat anything for three days, nor to speak with anyone”.</w:t>
      </w:r>
      <w:r w:rsidR="00B123B1">
        <w:rPr>
          <w:rStyle w:val="FootnoteReference"/>
        </w:rPr>
        <w:footnoteReference w:id="37"/>
      </w:r>
      <w:r w:rsidR="00B123B1">
        <w:t xml:space="preserve"> Here the king is remorseful even though he did not order the murder and is later reinforced when he pays penance.</w:t>
      </w:r>
      <w:r w:rsidR="00C23864">
        <w:t xml:space="preserve"> William of Newburgh also describes the king as blameless however, instead the king loses control over himself and in his emotions encourages the knights, “The king was exasperated by the complaints of some of them, and grew angry and indignant </w:t>
      </w:r>
      <w:r w:rsidR="00C23864">
        <w:lastRenderedPageBreak/>
        <w:t>beyond measure, and losing the mastery of himself, in the head of his exuberant passion, from the abundance of his perturbed spirit, poured forth the language of indiscretion”.</w:t>
      </w:r>
      <w:r w:rsidR="00C23864">
        <w:rPr>
          <w:rStyle w:val="FootnoteReference"/>
        </w:rPr>
        <w:footnoteReference w:id="38"/>
      </w:r>
      <w:r w:rsidR="00B123B1">
        <w:t xml:space="preserve"> The king must appear knowledgeable of the crimes in order to later pay penance for them, this account appears more realistic in regards to the building tension between the two.</w:t>
      </w:r>
      <w:r w:rsidR="00B158D4">
        <w:t xml:space="preserve"> William goes on to describe the humility presented by the king in receiving his punishment, and appears to have thrown himself at the mercy of the Church, “I do not refuse the discipline of the Church: I will submit devotedly to whatever you decree, and I will fulfil your injunction”</w:t>
      </w:r>
      <w:r w:rsidR="00F50981">
        <w:t>.</w:t>
      </w:r>
      <w:r w:rsidR="00B158D4">
        <w:rPr>
          <w:rStyle w:val="FootnoteReference"/>
        </w:rPr>
        <w:footnoteReference w:id="39"/>
      </w:r>
      <w:r w:rsidR="000E1487">
        <w:t xml:space="preserve"> After saying this he is described to have thrown his clothes off and </w:t>
      </w:r>
      <w:r w:rsidR="00B92F14">
        <w:t>bringing the cardinals to tears wit</w:t>
      </w:r>
      <w:r w:rsidR="00F50981">
        <w:t>h</w:t>
      </w:r>
      <w:r w:rsidR="00B92F14">
        <w:t xml:space="preserve"> his remorse. In this we can interpret that the king may have been required to appease the church, Henry II was currently </w:t>
      </w:r>
      <w:proofErr w:type="gramStart"/>
      <w:r w:rsidR="00B92F14">
        <w:t>in the midst of</w:t>
      </w:r>
      <w:proofErr w:type="gramEnd"/>
      <w:r w:rsidR="00B92F14">
        <w:t xml:space="preserve"> a rebellion and needed more allies then enemies. Henry II did public penance at Canterbury in 1174.</w:t>
      </w:r>
      <w:r w:rsidR="00B92F14">
        <w:rPr>
          <w:rStyle w:val="FootnoteReference"/>
        </w:rPr>
        <w:footnoteReference w:id="40"/>
      </w:r>
    </w:p>
    <w:p w:rsidR="0018154C" w:rsidRDefault="0018154C" w:rsidP="00FF0FF1">
      <w:r>
        <w:tab/>
        <w:t>The knights are often referred to as ‘vassals of Satan’, and show complete disregard for the sacred space that is the Cathedral, “The servants of Satan pursued having neither respect as Christians to his holy order, not to the sacred place, or season”.</w:t>
      </w:r>
      <w:r>
        <w:rPr>
          <w:rStyle w:val="FootnoteReference"/>
        </w:rPr>
        <w:footnoteReference w:id="41"/>
      </w:r>
      <w:r>
        <w:t xml:space="preserve"> It is a common motif that the saint is threatened by men set against God, by murdering Becket in the month of December it can be interpreted that they are attacking Jesus himself. In contrast to this the knights often ask for Becket as the ‘traitor to the king’ and in the History of Archbishop of Canterbury he is described as ‘that notorious traitor’.</w:t>
      </w:r>
      <w:r w:rsidR="0058128F" w:rsidRPr="0058128F">
        <w:t xml:space="preserve"> </w:t>
      </w:r>
      <w:r w:rsidR="0058128F">
        <w:rPr>
          <w:rStyle w:val="FootnoteReference"/>
        </w:rPr>
        <w:footnoteReference w:id="42"/>
      </w:r>
      <w:r w:rsidR="002D4B46">
        <w:t xml:space="preserve"> Benedict of Peterborough describes the punishment the knights receive from God, revealing that they are the lowliest of creatures and that everyone and everything hated them, “Truly everyone avoided their company, nor did anyone wish to eat or drink with them. They ate and drank alone, and they were banished to the scraps of food with dogs. And when they had tasted from that dish, even the dogs no longer wished to eat anything from there. Behold the manifest and worthy vengeance of God, that those who defied the anointed of the Lord were despised even by their dogs”.</w:t>
      </w:r>
      <w:r w:rsidR="002D4B46">
        <w:rPr>
          <w:rStyle w:val="FootnoteReference"/>
        </w:rPr>
        <w:footnoteReference w:id="43"/>
      </w:r>
      <w:r w:rsidR="00052182">
        <w:t xml:space="preserve"> </w:t>
      </w:r>
      <w:r w:rsidR="00FB7802">
        <w:t xml:space="preserve">Benedict was </w:t>
      </w:r>
      <w:proofErr w:type="spellStart"/>
      <w:r w:rsidR="00FB7802">
        <w:t>know</w:t>
      </w:r>
      <w:proofErr w:type="spellEnd"/>
      <w:r w:rsidR="00FB7802">
        <w:t xml:space="preserve"> as ‘of Peterborough</w:t>
      </w:r>
      <w:r w:rsidR="00F50981">
        <w:t>’</w:t>
      </w:r>
      <w:r w:rsidR="00FB7802">
        <w:t xml:space="preserve"> due to the fact that he was a monk who ended his days as Abbot of the Peterborough monastery,</w:t>
      </w:r>
      <w:r w:rsidR="00FB7802">
        <w:rPr>
          <w:rStyle w:val="FootnoteReference"/>
        </w:rPr>
        <w:footnoteReference w:id="44"/>
      </w:r>
      <w:r w:rsidR="00FB7802">
        <w:t xml:space="preserve"> he was a highly religious man and the isolation the knights faced is similar to that of Adam and Eve being thrown from the Garden. </w:t>
      </w:r>
    </w:p>
    <w:p w:rsidR="00B123B1" w:rsidRDefault="00B92F14" w:rsidP="00FF0FF1">
      <w:r>
        <w:tab/>
        <w:t xml:space="preserve">When faced with the armed knights Becket in nearly all sources is strong and defiant even though it could mean his death. This can be interpreted as spiritual strength, that his faith in God is what makes him fearless. On the other hand, Becket’s lack of struggle </w:t>
      </w:r>
      <w:proofErr w:type="gramStart"/>
      <w:r>
        <w:t>can be seen as</w:t>
      </w:r>
      <w:proofErr w:type="gramEnd"/>
      <w:r>
        <w:t xml:space="preserve"> him encouraging the knights to act and make him a martyr. As previously stated by Hugh M. Thomas, the clergy had few tools to counter such </w:t>
      </w:r>
      <w:r w:rsidR="00055377">
        <w:t>aggressive encounters.</w:t>
      </w:r>
      <w:r w:rsidR="00EB3C99">
        <w:t xml:space="preserve"> </w:t>
      </w:r>
      <w:r w:rsidR="00055377">
        <w:t xml:space="preserve"> </w:t>
      </w:r>
      <w:r w:rsidR="00EB3C99">
        <w:t>This is reinforced by several accounts of Becket requesting that no other person is to be harmed and that he makes no attempt at protecting himself and requests that the doors remain open. “It is not proper,” he said, “that a house of prayer, a church of Christ, be made a fortress since although it is not shut up, it serves as a fortification for his people; we will triumph over the enemy through suffering rather than by fighting- and we come to suffer, not to resist”.</w:t>
      </w:r>
      <w:r w:rsidR="00EB3C99">
        <w:rPr>
          <w:rStyle w:val="FootnoteReference"/>
        </w:rPr>
        <w:footnoteReference w:id="45"/>
      </w:r>
      <w:r w:rsidR="00EB3C99">
        <w:t xml:space="preserve"> Edward Grim is emphasising the superiority of the martyr and that through suffering and death, Becket is able to triumph for the Church. </w:t>
      </w:r>
      <w:r w:rsidR="00CA0543">
        <w:t xml:space="preserve">The idea is repeated by Edward Grim, </w:t>
      </w:r>
      <w:r w:rsidR="00CA0543">
        <w:lastRenderedPageBreak/>
        <w:t>“And because he abandoned the world, the world- wanting to overpower him- unknowingly elevated him”,</w:t>
      </w:r>
      <w:r w:rsidR="00CA0543">
        <w:rPr>
          <w:rStyle w:val="FootnoteReference"/>
        </w:rPr>
        <w:footnoteReference w:id="46"/>
      </w:r>
      <w:r w:rsidR="00CA0543">
        <w:t xml:space="preserve"> explicitly stating that the martyr transcends any earthly power. In Gervase of Canterbury’s account, Becket was, “willing to embrace death, provided only that the church obtain liberty and peace at the price of my blood”.</w:t>
      </w:r>
      <w:r w:rsidR="00CA0543">
        <w:rPr>
          <w:rStyle w:val="FootnoteReference"/>
        </w:rPr>
        <w:footnoteReference w:id="47"/>
      </w:r>
      <w:r w:rsidR="00CA0543">
        <w:t xml:space="preserve"> This emphasises the just cause of the Church and its fight against corruption.</w:t>
      </w:r>
    </w:p>
    <w:p w:rsidR="00A515DD" w:rsidRDefault="00A515DD" w:rsidP="00FF0FF1">
      <w:r>
        <w:tab/>
      </w:r>
      <w:r w:rsidR="005757ED">
        <w:t xml:space="preserve">Becket’s biographer </w:t>
      </w:r>
      <w:proofErr w:type="gramStart"/>
      <w:r w:rsidR="005757ED">
        <w:t>use</w:t>
      </w:r>
      <w:proofErr w:type="gramEnd"/>
      <w:r w:rsidR="005757ED">
        <w:t xml:space="preserve"> several literary techniques often seen in the saints lives in order to emphasis that his death was a spiritual enlightenment and his fight was not in vain. Benedict of Peterborough states “Then in all these tortures the martyr, of unconquered soul and admirable steadfastness, did not utter a word or cry, did not bring forth a groan, nor lay bare his arms or his garment to the one striking him, but offered his bowed head to their swords, holding fast until it was accomplished”.</w:t>
      </w:r>
      <w:r w:rsidR="005757ED">
        <w:rPr>
          <w:rStyle w:val="FootnoteReference"/>
        </w:rPr>
        <w:footnoteReference w:id="48"/>
      </w:r>
      <w:r w:rsidR="005757ED">
        <w:t xml:space="preserve"> It is emphasises that Becket is silent, a common motif that the saint no longer feels physical pain due to his spiritual enlightenment and that Becket’s head is bowed as if in prayer. Even in his final hour he is humble and loyal before God. Another common motif is found in the work of Edward Grim, “But when it was not possible to easily move him from the column”,</w:t>
      </w:r>
      <w:r w:rsidR="005757ED">
        <w:rPr>
          <w:rStyle w:val="FootnoteReference"/>
        </w:rPr>
        <w:footnoteReference w:id="49"/>
      </w:r>
      <w:r w:rsidR="005757ED">
        <w:t xml:space="preserve"> the saint is held in place through spiritual powers. </w:t>
      </w:r>
      <w:r w:rsidR="00886D4F">
        <w:t>Edward Grim repeats the motif of prophecy used in Beckets earlier life by claiming that Beckets death was promised to him by God, “seeing that the hour which would bring the end to his miserable mortal life was at hand and already promised to him by God to be the next to receive the crown of immortality”, and with the description of Beckets blood to have “purpled the appearance of the church”.</w:t>
      </w:r>
      <w:r w:rsidR="00886D4F">
        <w:rPr>
          <w:rStyle w:val="FootnoteReference"/>
        </w:rPr>
        <w:footnoteReference w:id="50"/>
      </w:r>
      <w:r w:rsidR="00886D4F">
        <w:t xml:space="preserve"> It is clear that Edward Grim is aware of the connotations and that his agenda is to have Becket canonised as a saint. </w:t>
      </w:r>
      <w:r w:rsidR="00A85BA2">
        <w:t xml:space="preserve">The death of Becket can be perceived as the crucial point of his lasting influence on English history, it is clear to see that if Becket had not been martyred </w:t>
      </w:r>
      <w:proofErr w:type="gramStart"/>
      <w:r w:rsidR="00A85BA2">
        <w:t>perhaps</w:t>
      </w:r>
      <w:proofErr w:type="gramEnd"/>
      <w:r w:rsidR="00A85BA2">
        <w:t xml:space="preserve"> we would not be discussing him so today. Anne Duggan </w:t>
      </w:r>
      <w:proofErr w:type="gramStart"/>
      <w:r w:rsidR="00A85BA2">
        <w:t>said</w:t>
      </w:r>
      <w:proofErr w:type="gramEnd"/>
      <w:r w:rsidR="00A85BA2">
        <w:t xml:space="preserve"> “Nothing so became him in life as the manner of his leaving”, </w:t>
      </w:r>
      <w:r w:rsidR="00A85BA2">
        <w:rPr>
          <w:rStyle w:val="FootnoteReference"/>
        </w:rPr>
        <w:footnoteReference w:id="51"/>
      </w:r>
      <w:r w:rsidR="00A85BA2">
        <w:t xml:space="preserve"> which perfectly summarises transcendence Becket was able to achieve through his murder.</w:t>
      </w:r>
    </w:p>
    <w:p w:rsidR="003E0D15" w:rsidRDefault="003E0D15" w:rsidP="00FF0FF1"/>
    <w:p w:rsidR="003E0D15" w:rsidRDefault="003E0D15" w:rsidP="00FF0FF1">
      <w:pPr>
        <w:rPr>
          <w:u w:val="single"/>
        </w:rPr>
      </w:pPr>
      <w:r>
        <w:rPr>
          <w:u w:val="single"/>
        </w:rPr>
        <w:t>The Saint.</w:t>
      </w:r>
    </w:p>
    <w:p w:rsidR="003E0D15" w:rsidRDefault="003E0D15" w:rsidP="00FF0FF1">
      <w:pPr>
        <w:rPr>
          <w:u w:val="single"/>
        </w:rPr>
      </w:pPr>
    </w:p>
    <w:p w:rsidR="001B609C" w:rsidRDefault="00A85BA2" w:rsidP="00FF0FF1">
      <w:r>
        <w:tab/>
      </w:r>
      <w:r w:rsidR="006B7F79">
        <w:t xml:space="preserve">One of Beckets earliest miracles </w:t>
      </w:r>
      <w:r w:rsidR="00E06DD4">
        <w:t>comes from John</w:t>
      </w:r>
      <w:r w:rsidR="001E0DC0">
        <w:t xml:space="preserve"> of</w:t>
      </w:r>
      <w:r w:rsidR="00E06DD4">
        <w:t xml:space="preserve"> Salisbury. A highly regarded writer and thinker, John of Salisbury had been a colleague and friend to Becket for fifteen years.</w:t>
      </w:r>
      <w:r w:rsidR="00E06DD4">
        <w:rPr>
          <w:rStyle w:val="FootnoteReference"/>
        </w:rPr>
        <w:footnoteReference w:id="52"/>
      </w:r>
      <w:r w:rsidR="00E06DD4">
        <w:t xml:space="preserve"> “In the place where Thomas suffered, and where he lay the night through, before the high altar, awaiting burial, and where he was buried at last, the palsied are cured, the blind see, the deaf hear, the dumb speak, the lame walk, folk suffering from fevers are cured, the lepers are cleansed, those possessed of a devil are freed, and the sick are made whole from all manner of disease, blasphemers taken over by the devil are put to confusion”.</w:t>
      </w:r>
      <w:r w:rsidR="00E06DD4">
        <w:rPr>
          <w:rStyle w:val="FootnoteReference"/>
        </w:rPr>
        <w:footnoteReference w:id="53"/>
      </w:r>
      <w:r w:rsidR="00E06DD4">
        <w:t xml:space="preserve"> </w:t>
      </w:r>
      <w:r w:rsidR="001E0DC0">
        <w:t xml:space="preserve">Clearly from John of Salisbury’s point of view there is nothing that Becket can’t do. Beckets potency as a saint can be seen through the variety of miracles that are linked to him, leaving a very strong impression in the mind of medieval audiences. Beckets popularity is evident in the fact that The Pilgrims Way, from London or Winchester to Canterbury, </w:t>
      </w:r>
      <w:r w:rsidR="001E0DC0">
        <w:lastRenderedPageBreak/>
        <w:t>can still be traced.</w:t>
      </w:r>
      <w:r w:rsidR="001E0DC0">
        <w:rPr>
          <w:rStyle w:val="FootnoteReference"/>
        </w:rPr>
        <w:footnoteReference w:id="54"/>
      </w:r>
      <w:r w:rsidR="00D875ED">
        <w:t xml:space="preserve"> </w:t>
      </w:r>
      <w:r w:rsidR="00B37C8E">
        <w:t xml:space="preserve">William </w:t>
      </w:r>
      <w:proofErr w:type="spellStart"/>
      <w:r w:rsidR="00B37C8E">
        <w:t>Fitzstephen</w:t>
      </w:r>
      <w:proofErr w:type="spellEnd"/>
      <w:r w:rsidR="00B37C8E">
        <w:t xml:space="preserve"> writes of a miracle achieved using a piece of the shirt dipped in the martyr’s blood. The man was a spectator to the death of Becket and in the moments after</w:t>
      </w:r>
      <w:r w:rsidR="004B5317">
        <w:t>,</w:t>
      </w:r>
      <w:r w:rsidR="00B37C8E">
        <w:t xml:space="preserve"> dipped his clothing in the blood. This illustrates the importance of the </w:t>
      </w:r>
      <w:proofErr w:type="gramStart"/>
      <w:r w:rsidR="00B37C8E">
        <w:t>saints</w:t>
      </w:r>
      <w:proofErr w:type="gramEnd"/>
      <w:r w:rsidR="00B37C8E">
        <w:t xml:space="preserve"> body and its capabilities after the saints death. When arriving home later that night, his wife</w:t>
      </w:r>
      <w:r w:rsidR="001B609C">
        <w:t xml:space="preserve"> who had been paralysed for some time asked</w:t>
      </w:r>
      <w:r w:rsidR="00B37C8E">
        <w:t xml:space="preserve"> “with devoted faith in the Lord, greater hope for her health, and humble hope in the martyr, she asked to be washed, and the blood to be mixed in the water, so that she derive health and benefit”.</w:t>
      </w:r>
      <w:r w:rsidR="00B37C8E">
        <w:rPr>
          <w:rStyle w:val="FootnoteReference"/>
        </w:rPr>
        <w:footnoteReference w:id="55"/>
      </w:r>
      <w:r w:rsidR="00B37C8E">
        <w:t xml:space="preserve"> William </w:t>
      </w:r>
      <w:proofErr w:type="spellStart"/>
      <w:r w:rsidR="00B37C8E">
        <w:t>Fitzstephen</w:t>
      </w:r>
      <w:proofErr w:type="spellEnd"/>
      <w:r w:rsidR="00B37C8E">
        <w:t xml:space="preserve"> states that “This was the first sign God performed on behalf of his martyr, immediately that very night”</w:t>
      </w:r>
      <w:r w:rsidR="00843A48">
        <w:t>.</w:t>
      </w:r>
      <w:r w:rsidR="00B37C8E">
        <w:rPr>
          <w:rStyle w:val="FootnoteReference"/>
        </w:rPr>
        <w:footnoteReference w:id="56"/>
      </w:r>
      <w:r w:rsidR="00B37C8E">
        <w:t xml:space="preserve"> So strong was the understanding of sainthood and the potency of martyr saints that Becket was able to perform a miracle the night he died.</w:t>
      </w:r>
      <w:r w:rsidR="001B609C">
        <w:t xml:space="preserve"> Other miracles describe saving a small infant boy from death on more than one occasion. Written by William of Canterbury, the boy is saved from a fever when he “drank from the water of St Thomas”,</w:t>
      </w:r>
      <w:r w:rsidR="001B609C">
        <w:rPr>
          <w:rStyle w:val="FootnoteReference"/>
        </w:rPr>
        <w:footnoteReference w:id="57"/>
      </w:r>
      <w:r w:rsidR="001B609C">
        <w:t xml:space="preserve"> the blood of Becket was diluted down into phials of water in order to spread his relics. This method is mentioned in the miracle of the paralysed wife, “that the blood of St Thomas came to be dipped in water, and that mixture of blood and water came to distributed to the pilgrims”.</w:t>
      </w:r>
      <w:r w:rsidR="001B609C">
        <w:rPr>
          <w:rStyle w:val="FootnoteReference"/>
        </w:rPr>
        <w:footnoteReference w:id="58"/>
      </w:r>
      <w:r w:rsidR="00393EE6">
        <w:t xml:space="preserve"> </w:t>
      </w:r>
      <w:r w:rsidR="00843A48">
        <w:t>By distributing the blood</w:t>
      </w:r>
      <w:r w:rsidR="00393EE6">
        <w:t xml:space="preserve">, Beckets influence and popularity was able </w:t>
      </w:r>
      <w:r w:rsidR="00843A48">
        <w:t xml:space="preserve">to </w:t>
      </w:r>
      <w:r w:rsidR="00393EE6">
        <w:t>spread easily across Europe. Becket grew so popular that in 1179, King Louis VII of France wen</w:t>
      </w:r>
      <w:r w:rsidR="00843A48">
        <w:t>t</w:t>
      </w:r>
      <w:r w:rsidR="00393EE6">
        <w:t xml:space="preserve"> on pilgrimage to his shrine in order to pray for the recovery of his son.</w:t>
      </w:r>
      <w:r w:rsidR="00393EE6">
        <w:rPr>
          <w:rStyle w:val="FootnoteReference"/>
        </w:rPr>
        <w:footnoteReference w:id="59"/>
      </w:r>
      <w:r w:rsidR="00393EE6">
        <w:t xml:space="preserve"> More royalty came to Becket’s shrine, on the Feast day of his translation, 1285, King Edward I and his family offered gifts at his shrine in Canterbury, including several images of the saint in pure gold.</w:t>
      </w:r>
      <w:r w:rsidR="00393EE6">
        <w:rPr>
          <w:rStyle w:val="FootnoteReference"/>
        </w:rPr>
        <w:footnoteReference w:id="60"/>
      </w:r>
      <w:r w:rsidR="00393EE6">
        <w:t xml:space="preserve"> Beckets popularity as a healing saint can be seen in the amount of pilgrims who visited his shrine in years of the Black Death in the late 1340s and with over eighty parish churches in England dedicated to him, he was accessible to the common person.</w:t>
      </w:r>
      <w:r w:rsidR="00393EE6">
        <w:rPr>
          <w:rStyle w:val="FootnoteReference"/>
        </w:rPr>
        <w:footnoteReference w:id="61"/>
      </w:r>
    </w:p>
    <w:p w:rsidR="00A85BA2" w:rsidRDefault="00C60E28" w:rsidP="001B609C">
      <w:pPr>
        <w:ind w:firstLine="720"/>
      </w:pPr>
      <w:r>
        <w:t xml:space="preserve"> </w:t>
      </w:r>
      <w:r w:rsidR="001B609C">
        <w:t>Professor Barlow writes, “We can see that after Thomas’s death things were never the same again, whether in the English Church or in Latin Christendom at large. He had, through his stand against Henry and his martyrdom, brought the archaic English customs to the notice of the pope and cardinals and all canon lawyers and had succeeded in getting them scrutinized, debated, and in part abolished or reformed”.</w:t>
      </w:r>
      <w:r w:rsidR="001B609C">
        <w:rPr>
          <w:rStyle w:val="FootnoteReference"/>
        </w:rPr>
        <w:footnoteReference w:id="62"/>
      </w:r>
      <w:r w:rsidR="00393EE6">
        <w:t xml:space="preserve"> Beckets reach</w:t>
      </w:r>
      <w:r w:rsidR="00843A48">
        <w:t xml:space="preserve"> was</w:t>
      </w:r>
      <w:r w:rsidR="00393EE6">
        <w:t xml:space="preserve"> so wide that it continued to influence the monarchy long after he had passed. Henry VIII detested Becket and what he came to represent, a cult that</w:t>
      </w:r>
      <w:r w:rsidR="00F94219">
        <w:t xml:space="preserve"> showed the</w:t>
      </w:r>
      <w:r w:rsidR="00393EE6">
        <w:t xml:space="preserve"> “triumph</w:t>
      </w:r>
      <w:r w:rsidR="00F94219">
        <w:t xml:space="preserve"> of the Western Church over a king of England”.</w:t>
      </w:r>
      <w:r w:rsidR="00F94219">
        <w:rPr>
          <w:rStyle w:val="FootnoteReference"/>
        </w:rPr>
        <w:footnoteReference w:id="63"/>
      </w:r>
      <w:r w:rsidR="00F94219">
        <w:t xml:space="preserve"> On the 16 November, 1538, Henry VIII and Cromwell issued a proclamation that concluded, “Thomas Becket shall not be esteemed, names, reputed, nor called a saint” and “his images and pictures through the whole of the realm shall be put down and avoided out of all churches, chapels, and other places”.</w:t>
      </w:r>
      <w:r w:rsidR="00F94219">
        <w:rPr>
          <w:rStyle w:val="FootnoteReference"/>
        </w:rPr>
        <w:footnoteReference w:id="64"/>
      </w:r>
      <w:r w:rsidR="00F94219">
        <w:t xml:space="preserve"> This aggressive attack against Becket was not overlooked by the church, on 17 December, 1538, Henry VIII was excommunicated by Pope Paul III. Among the reasons given by the pope, the destruction of the shrine of St Thomas Becket and the destruction of his remains were listed.</w:t>
      </w:r>
      <w:r w:rsidR="00F94219">
        <w:rPr>
          <w:rStyle w:val="FootnoteReference"/>
        </w:rPr>
        <w:footnoteReference w:id="65"/>
      </w:r>
      <w:r w:rsidR="00F94219">
        <w:t xml:space="preserve"> </w:t>
      </w:r>
      <w:r w:rsidR="00843A48">
        <w:t xml:space="preserve">The fact that </w:t>
      </w:r>
      <w:r w:rsidR="00F94219">
        <w:t xml:space="preserve">Henry VIII </w:t>
      </w:r>
      <w:r w:rsidR="00843A48">
        <w:t>targeted</w:t>
      </w:r>
      <w:r w:rsidR="00F94219">
        <w:t xml:space="preserve"> Becket not only shows a change in religious standing but</w:t>
      </w:r>
      <w:r w:rsidR="00843A48">
        <w:t xml:space="preserve"> </w:t>
      </w:r>
      <w:proofErr w:type="spellStart"/>
      <w:r w:rsidR="00843A48">
        <w:t>demonstates</w:t>
      </w:r>
      <w:proofErr w:type="spellEnd"/>
      <w:r w:rsidR="00F94219">
        <w:t xml:space="preserve"> the political </w:t>
      </w:r>
      <w:r w:rsidR="00F94219">
        <w:lastRenderedPageBreak/>
        <w:t>power behind Becket and his martyrdom. Becket was destroyed because in the eyes of the new monarchy, he had been a ‘rebel’ and a ‘traitor’.</w:t>
      </w:r>
      <w:r w:rsidR="00F94219">
        <w:rPr>
          <w:rStyle w:val="FootnoteReference"/>
        </w:rPr>
        <w:footnoteReference w:id="66"/>
      </w:r>
      <w:r w:rsidR="00F94219">
        <w:t xml:space="preserve"> </w:t>
      </w:r>
    </w:p>
    <w:p w:rsidR="00CB3F79" w:rsidRDefault="00CB3F79" w:rsidP="001B609C">
      <w:pPr>
        <w:ind w:firstLine="720"/>
      </w:pPr>
      <w:r>
        <w:t>The idea of martyrdom as a political tool was still prevalent during the reign of Henry VIII. On the 6 July, 1535, on the eve of the Feast day of the translation of Becket, Thomas More was executed for standing against the ecclesiastical supremacy of Henry VIII.</w:t>
      </w:r>
      <w:r>
        <w:rPr>
          <w:rStyle w:val="FootnoteReference"/>
        </w:rPr>
        <w:footnoteReference w:id="67"/>
      </w:r>
      <w:r>
        <w:t xml:space="preserve"> It is easy to see the execution of More as a repetition of Becket’s death, with the eve of his translation and the parallels of name.</w:t>
      </w:r>
      <w:r>
        <w:rPr>
          <w:rStyle w:val="FootnoteReference"/>
        </w:rPr>
        <w:footnoteReference w:id="68"/>
      </w:r>
      <w:r w:rsidR="00FC37D2">
        <w:t xml:space="preserve"> Beckets death can be interpreted as a script for martyrdom, with Tertullian famously stating that ‘the blood of martyrs as the seed of the church’ emphasising that martyrdom is by no means a defeat.</w:t>
      </w:r>
      <w:r w:rsidR="00FC37D2">
        <w:rPr>
          <w:rStyle w:val="FootnoteReference"/>
        </w:rPr>
        <w:footnoteReference w:id="69"/>
      </w:r>
      <w:r w:rsidR="00FC37D2">
        <w:t xml:space="preserve"> Others were soon to follow in Becket’s footsteps and his death was being interpreted as a massive political and spiritual triumph. In 1532 William </w:t>
      </w:r>
      <w:proofErr w:type="spellStart"/>
      <w:r w:rsidR="00FC37D2">
        <w:t>Warham</w:t>
      </w:r>
      <w:proofErr w:type="spellEnd"/>
      <w:r w:rsidR="00FC37D2">
        <w:t xml:space="preserve"> declared, “it </w:t>
      </w:r>
      <w:proofErr w:type="gramStart"/>
      <w:r w:rsidR="00FC37D2">
        <w:t>were</w:t>
      </w:r>
      <w:proofErr w:type="gramEnd"/>
      <w:r w:rsidR="00FC37D2">
        <w:t xml:space="preserve"> better for me to suffer the same [martyrdom] then </w:t>
      </w:r>
      <w:proofErr w:type="spellStart"/>
      <w:r w:rsidR="00FC37D2">
        <w:t>ayenst</w:t>
      </w:r>
      <w:proofErr w:type="spellEnd"/>
      <w:r w:rsidR="00FC37D2">
        <w:t xml:space="preserve"> my conscience to </w:t>
      </w:r>
      <w:proofErr w:type="spellStart"/>
      <w:r w:rsidR="00FC37D2">
        <w:t>confesse</w:t>
      </w:r>
      <w:proofErr w:type="spellEnd"/>
      <w:r w:rsidR="00FC37D2">
        <w:t xml:space="preserve"> this article to be a premunire for the which </w:t>
      </w:r>
      <w:proofErr w:type="spellStart"/>
      <w:r w:rsidR="00FC37D2">
        <w:t>Sancte</w:t>
      </w:r>
      <w:proofErr w:type="spellEnd"/>
      <w:r w:rsidR="00FC37D2">
        <w:t xml:space="preserve"> Thomas dyed”.</w:t>
      </w:r>
      <w:r w:rsidR="00FC37D2">
        <w:rPr>
          <w:rStyle w:val="FootnoteReference"/>
        </w:rPr>
        <w:footnoteReference w:id="70"/>
      </w:r>
      <w:r w:rsidR="00FC37D2">
        <w:t xml:space="preserve"> </w:t>
      </w:r>
    </w:p>
    <w:p w:rsidR="00FC37D2" w:rsidRPr="002F3219" w:rsidRDefault="00FC37D2" w:rsidP="001B609C">
      <w:pPr>
        <w:ind w:firstLine="720"/>
      </w:pPr>
      <w:r>
        <w:t xml:space="preserve">A figure of Becket at Chartres on the Confessors Portal </w:t>
      </w:r>
      <w:r w:rsidR="002F3219">
        <w:t xml:space="preserve">visually represents Beckets triumph over the kings of England. The figure is depicted holding a crozier which is piercing the throat of a figure wearing a crown, it can only be interpreted as Beckets triumph through martyrdom. </w:t>
      </w:r>
      <w:r w:rsidR="002F3219">
        <w:rPr>
          <w:rStyle w:val="FootnoteReference"/>
        </w:rPr>
        <w:footnoteReference w:id="71"/>
      </w:r>
      <w:r w:rsidR="002F3219">
        <w:t xml:space="preserve"> The piercing of the throat could symbolise how Becket was able to silence Henry II and how in the end Becket was able to achieve the moral high ground. This interpretation is questionable since Henry II was absolved by Pope Alexander in 1172, a year before Becket was canonised. However, as Clark Maine’s has noted, for over a year Henry II was under papal interdict forbidding entrance to any church, participate in religious assemblies and church burials.</w:t>
      </w:r>
      <w:r w:rsidR="002F3219">
        <w:rPr>
          <w:rStyle w:val="FootnoteReference"/>
        </w:rPr>
        <w:footnoteReference w:id="72"/>
      </w:r>
      <w:r w:rsidR="002F3219">
        <w:t xml:space="preserve"> Clark Maine’s has also suggested that a passage in the </w:t>
      </w:r>
      <w:proofErr w:type="spellStart"/>
      <w:r w:rsidR="002F3219">
        <w:rPr>
          <w:i/>
        </w:rPr>
        <w:t>Passio</w:t>
      </w:r>
      <w:proofErr w:type="spellEnd"/>
      <w:r w:rsidR="002F3219">
        <w:rPr>
          <w:i/>
        </w:rPr>
        <w:t xml:space="preserve"> alia </w:t>
      </w:r>
      <w:proofErr w:type="spellStart"/>
      <w:r w:rsidR="002F3219">
        <w:rPr>
          <w:i/>
        </w:rPr>
        <w:t>secunde</w:t>
      </w:r>
      <w:proofErr w:type="spellEnd"/>
      <w:r w:rsidR="002F3219">
        <w:t>, read in the Cathedral Chartres on Beckets feast, calls for the church to “rejoice for the blood of the new Abel crying to the new Lord for himself against the men of blood”</w:t>
      </w:r>
      <w:r w:rsidR="00AB5F3B">
        <w:t xml:space="preserve"> is a reference to the brotherly relationship shared between Becket and Henry II.</w:t>
      </w:r>
      <w:r w:rsidR="00AB5F3B">
        <w:rPr>
          <w:rStyle w:val="FootnoteReference"/>
        </w:rPr>
        <w:footnoteReference w:id="73"/>
      </w:r>
      <w:r w:rsidR="0035285B">
        <w:t xml:space="preserve"> </w:t>
      </w:r>
    </w:p>
    <w:p w:rsidR="003E0D15" w:rsidRDefault="002A2AB0" w:rsidP="00FF0FF1">
      <w:r>
        <w:tab/>
      </w:r>
      <w:r w:rsidR="0035285B">
        <w:t xml:space="preserve">Becket came to represent, whether intentionally or through circumstances alone, the dualistic nature of martyrdom. How in one interpretation the martyr is perceived as a defender of </w:t>
      </w:r>
      <w:r w:rsidR="00197A66">
        <w:t>faith</w:t>
      </w:r>
      <w:r w:rsidR="0035285B">
        <w:t>, but also in the eyes of others as a traitor.</w:t>
      </w:r>
      <w:r w:rsidR="0035285B">
        <w:rPr>
          <w:rStyle w:val="FootnoteReference"/>
        </w:rPr>
        <w:footnoteReference w:id="74"/>
      </w:r>
      <w:r w:rsidR="0035285B">
        <w:t xml:space="preserve"> As Robert E. Scully wrote “To his enemies he was a traitor who tempted death by trying to usurp royal authority and replace it with the dominance of the Church. To his admirers he was a man of great physical and spiritual courage who died a martyr while trying to protect the independence of the Church”.</w:t>
      </w:r>
      <w:r w:rsidR="0035285B">
        <w:rPr>
          <w:rStyle w:val="FootnoteReference"/>
        </w:rPr>
        <w:footnoteReference w:id="75"/>
      </w:r>
      <w:r w:rsidR="0035285B">
        <w:t xml:space="preserve"> In understanding the conflicting views on Becket and his sainthood can we gain better insight into the prevalence of his following. Even through political adversity, Beckets cult and image is still evident, with physical evidence surviving in Iceland, Sicily, Poland and Hungary.</w:t>
      </w:r>
      <w:r w:rsidR="0035285B">
        <w:rPr>
          <w:rStyle w:val="FootnoteReference"/>
        </w:rPr>
        <w:footnoteReference w:id="76"/>
      </w:r>
      <w:r w:rsidR="00197A66">
        <w:t xml:space="preserve"> In the Chronicle of Roger of </w:t>
      </w:r>
      <w:proofErr w:type="spellStart"/>
      <w:r w:rsidR="00197A66">
        <w:t>Hoveden</w:t>
      </w:r>
      <w:proofErr w:type="spellEnd"/>
      <w:r w:rsidR="00197A66">
        <w:t xml:space="preserve">, Becket exclaims, “If the </w:t>
      </w:r>
      <w:r w:rsidR="00197A66">
        <w:lastRenderedPageBreak/>
        <w:t xml:space="preserve">king’s sword carnally slays the body, my sword pierces spirituality, and sends the soul to hell”. </w:t>
      </w:r>
      <w:r w:rsidR="00197A66">
        <w:rPr>
          <w:rStyle w:val="FootnoteReference"/>
        </w:rPr>
        <w:footnoteReference w:id="77"/>
      </w:r>
      <w:r w:rsidR="00197A66">
        <w:t xml:space="preserve"> Beckets message, strengthened by his murder, was still strong enough to be targeted by a later Henry and all attempts to erase him has failed for he is still prevalent today. </w:t>
      </w:r>
    </w:p>
    <w:p w:rsidR="005A298A" w:rsidRDefault="005A298A">
      <w:r>
        <w:br w:type="page"/>
      </w:r>
    </w:p>
    <w:p w:rsidR="005A298A" w:rsidRDefault="005A298A" w:rsidP="00FF0FF1">
      <w:pPr>
        <w:rPr>
          <w:u w:val="single"/>
        </w:rPr>
      </w:pPr>
      <w:r w:rsidRPr="005A298A">
        <w:rPr>
          <w:u w:val="single"/>
        </w:rPr>
        <w:lastRenderedPageBreak/>
        <w:t>Bibliography</w:t>
      </w:r>
      <w:r>
        <w:rPr>
          <w:u w:val="single"/>
        </w:rPr>
        <w:t>.</w:t>
      </w:r>
    </w:p>
    <w:p w:rsidR="005A298A" w:rsidRDefault="005A298A" w:rsidP="00FF0FF1">
      <w:pPr>
        <w:rPr>
          <w:u w:val="single"/>
        </w:rPr>
      </w:pPr>
    </w:p>
    <w:p w:rsidR="005A298A" w:rsidRDefault="005A298A" w:rsidP="00FF0FF1">
      <w:r>
        <w:rPr>
          <w:u w:val="single"/>
        </w:rPr>
        <w:t>Primary Sources.</w:t>
      </w:r>
    </w:p>
    <w:p w:rsidR="00C2020A" w:rsidRPr="00C2020A" w:rsidRDefault="00C2020A" w:rsidP="00FF0FF1">
      <w:r>
        <w:t xml:space="preserve">-The Chronicle Of “Benedict </w:t>
      </w:r>
      <w:proofErr w:type="gramStart"/>
      <w:r>
        <w:t>Of</w:t>
      </w:r>
      <w:proofErr w:type="gramEnd"/>
      <w:r>
        <w:t xml:space="preserve"> Peterborough”: The Murder Of Thomas Becket, Archbishop Of Canterbury. </w:t>
      </w:r>
      <w:r>
        <w:rPr>
          <w:i/>
        </w:rPr>
        <w:t xml:space="preserve">Medieval Sourcebook </w:t>
      </w:r>
      <w:hyperlink r:id="rId7" w:history="1">
        <w:r w:rsidRPr="0038673A">
          <w:rPr>
            <w:rStyle w:val="Hyperlink"/>
          </w:rPr>
          <w:t>https://sourcebooks.fordham.edu/source/1170benedict-becket.asp</w:t>
        </w:r>
      </w:hyperlink>
      <w:r>
        <w:t xml:space="preserve"> [Accessed 7</w:t>
      </w:r>
      <w:r w:rsidRPr="00C2020A">
        <w:rPr>
          <w:vertAlign w:val="superscript"/>
        </w:rPr>
        <w:t>th</w:t>
      </w:r>
      <w:r>
        <w:t xml:space="preserve"> April 2019].</w:t>
      </w:r>
    </w:p>
    <w:p w:rsidR="005A298A" w:rsidRDefault="005A298A" w:rsidP="00FF0FF1">
      <w:r>
        <w:t xml:space="preserve">-Edward Grim: The Murder </w:t>
      </w:r>
      <w:proofErr w:type="gramStart"/>
      <w:r>
        <w:t>Of</w:t>
      </w:r>
      <w:proofErr w:type="gramEnd"/>
      <w:r>
        <w:t xml:space="preserve"> Thomas Becket. </w:t>
      </w:r>
      <w:r>
        <w:rPr>
          <w:i/>
        </w:rPr>
        <w:t xml:space="preserve">Medieval Sourcebook </w:t>
      </w:r>
      <w:hyperlink r:id="rId8" w:history="1">
        <w:r w:rsidRPr="0038673A">
          <w:rPr>
            <w:rStyle w:val="Hyperlink"/>
          </w:rPr>
          <w:t>https://sourcebooks.fordham.edu/source/Grim-becket.asp</w:t>
        </w:r>
      </w:hyperlink>
      <w:r>
        <w:t xml:space="preserve"> [Accessed 7</w:t>
      </w:r>
      <w:r w:rsidRPr="005A298A">
        <w:rPr>
          <w:vertAlign w:val="superscript"/>
        </w:rPr>
        <w:t>th</w:t>
      </w:r>
      <w:r>
        <w:t xml:space="preserve"> April 2019].</w:t>
      </w:r>
    </w:p>
    <w:p w:rsidR="00C2020A" w:rsidRPr="00C2020A" w:rsidRDefault="00C2020A" w:rsidP="00FF0FF1">
      <w:r>
        <w:t xml:space="preserve">-Gervase Of Canterbury, d. 1205: Thomas Becket’s Death, From History </w:t>
      </w:r>
      <w:proofErr w:type="gramStart"/>
      <w:r>
        <w:t>Of</w:t>
      </w:r>
      <w:proofErr w:type="gramEnd"/>
      <w:r>
        <w:t xml:space="preserve"> The Archbishops Of Canterbury. </w:t>
      </w:r>
      <w:r>
        <w:rPr>
          <w:i/>
        </w:rPr>
        <w:t xml:space="preserve">Medieval Sourcebook </w:t>
      </w:r>
      <w:hyperlink r:id="rId9" w:history="1">
        <w:r w:rsidRPr="0038673A">
          <w:rPr>
            <w:rStyle w:val="Hyperlink"/>
          </w:rPr>
          <w:t>https://sourcebooks.fordham.edu/source/1205gervase2.asp</w:t>
        </w:r>
      </w:hyperlink>
      <w:r>
        <w:t xml:space="preserve"> [Accessed 7</w:t>
      </w:r>
      <w:r w:rsidRPr="00C2020A">
        <w:rPr>
          <w:vertAlign w:val="superscript"/>
        </w:rPr>
        <w:t>th</w:t>
      </w:r>
      <w:r>
        <w:t xml:space="preserve"> April 2019].</w:t>
      </w:r>
    </w:p>
    <w:p w:rsidR="005A298A" w:rsidRPr="005A298A" w:rsidRDefault="005A298A" w:rsidP="00FF0FF1">
      <w:r>
        <w:t xml:space="preserve">-Roger </w:t>
      </w:r>
      <w:proofErr w:type="gramStart"/>
      <w:r>
        <w:t>Of</w:t>
      </w:r>
      <w:proofErr w:type="gramEnd"/>
      <w:r>
        <w:t xml:space="preserve"> </w:t>
      </w:r>
      <w:proofErr w:type="spellStart"/>
      <w:r>
        <w:t>Hoveden</w:t>
      </w:r>
      <w:proofErr w:type="spellEnd"/>
      <w:r>
        <w:t xml:space="preserve">: The Chronicle. </w:t>
      </w:r>
      <w:r>
        <w:rPr>
          <w:i/>
        </w:rPr>
        <w:t xml:space="preserve">Medieval Sourcebook </w:t>
      </w:r>
      <w:hyperlink r:id="rId10" w:history="1">
        <w:r w:rsidRPr="0038673A">
          <w:rPr>
            <w:rStyle w:val="Hyperlink"/>
          </w:rPr>
          <w:t>https://sourcebooks.fordham.edu/source/hoveden-becket.asp#1166d</w:t>
        </w:r>
      </w:hyperlink>
      <w:r>
        <w:t xml:space="preserve"> [Accessed 7</w:t>
      </w:r>
      <w:r w:rsidRPr="005A298A">
        <w:rPr>
          <w:vertAlign w:val="superscript"/>
        </w:rPr>
        <w:t>th</w:t>
      </w:r>
      <w:r>
        <w:t xml:space="preserve"> April 2019].</w:t>
      </w:r>
    </w:p>
    <w:p w:rsidR="005A298A" w:rsidRDefault="005A298A" w:rsidP="00FF0FF1">
      <w:r>
        <w:t xml:space="preserve">-Staunton, M. </w:t>
      </w:r>
      <w:r>
        <w:rPr>
          <w:i/>
        </w:rPr>
        <w:t xml:space="preserve">The Lives </w:t>
      </w:r>
      <w:proofErr w:type="gramStart"/>
      <w:r>
        <w:rPr>
          <w:i/>
        </w:rPr>
        <w:t>Of</w:t>
      </w:r>
      <w:proofErr w:type="gramEnd"/>
      <w:r>
        <w:rPr>
          <w:i/>
        </w:rPr>
        <w:t xml:space="preserve"> Thomas Becket. </w:t>
      </w:r>
      <w:r>
        <w:t>Manchester: Manchester University Press, 2001.</w:t>
      </w:r>
    </w:p>
    <w:p w:rsidR="005A298A" w:rsidRDefault="005A298A" w:rsidP="00FF0FF1">
      <w:r>
        <w:t xml:space="preserve">-William Of Newburgh: Becket </w:t>
      </w:r>
      <w:proofErr w:type="gramStart"/>
      <w:r>
        <w:t>And</w:t>
      </w:r>
      <w:proofErr w:type="gramEnd"/>
      <w:r>
        <w:t xml:space="preserve"> Henry, Selections From Book II Of His History. </w:t>
      </w:r>
      <w:r>
        <w:rPr>
          <w:i/>
        </w:rPr>
        <w:t xml:space="preserve">Medieval Sourcebook </w:t>
      </w:r>
      <w:hyperlink r:id="rId11" w:history="1">
        <w:r w:rsidRPr="0038673A">
          <w:rPr>
            <w:rStyle w:val="Hyperlink"/>
          </w:rPr>
          <w:t>https://sourcebooks.fordham.edu/source/williamnewburgh-becket1.asp</w:t>
        </w:r>
      </w:hyperlink>
      <w:r>
        <w:t xml:space="preserve"> [Accessed 7</w:t>
      </w:r>
      <w:r w:rsidRPr="005A298A">
        <w:rPr>
          <w:vertAlign w:val="superscript"/>
        </w:rPr>
        <w:t>th</w:t>
      </w:r>
      <w:r>
        <w:t xml:space="preserve"> April 2019].</w:t>
      </w:r>
    </w:p>
    <w:p w:rsidR="005A298A" w:rsidRDefault="005A298A" w:rsidP="00FF0FF1"/>
    <w:p w:rsidR="00C2020A" w:rsidRDefault="00C2020A" w:rsidP="00C2020A">
      <w:pPr>
        <w:rPr>
          <w:u w:val="single"/>
        </w:rPr>
      </w:pPr>
      <w:r>
        <w:rPr>
          <w:u w:val="single"/>
        </w:rPr>
        <w:t>Secondary Sources.</w:t>
      </w:r>
    </w:p>
    <w:p w:rsidR="00C2020A" w:rsidRDefault="00C2020A" w:rsidP="00C2020A">
      <w:r>
        <w:t xml:space="preserve">-Duggan, A. </w:t>
      </w:r>
      <w:r>
        <w:rPr>
          <w:i/>
        </w:rPr>
        <w:t xml:space="preserve">Thomas Becket. </w:t>
      </w:r>
      <w:r>
        <w:t>London: Arnold, 2004.</w:t>
      </w:r>
    </w:p>
    <w:p w:rsidR="00C2020A" w:rsidRDefault="00C2020A" w:rsidP="00C2020A">
      <w:r>
        <w:t xml:space="preserve">-Jones, T. M. </w:t>
      </w:r>
      <w:r>
        <w:rPr>
          <w:i/>
        </w:rPr>
        <w:t xml:space="preserve">The Becket Controversy. </w:t>
      </w:r>
      <w:r>
        <w:t xml:space="preserve">New York: John Wiley </w:t>
      </w:r>
      <w:proofErr w:type="gramStart"/>
      <w:r>
        <w:t>And</w:t>
      </w:r>
      <w:proofErr w:type="gramEnd"/>
      <w:r>
        <w:t xml:space="preserve"> Sons Inc, 1970.</w:t>
      </w:r>
    </w:p>
    <w:p w:rsidR="00C2020A" w:rsidRDefault="00C2020A" w:rsidP="00C2020A">
      <w:r>
        <w:t xml:space="preserve">-Lines, C. ‘Secret Violence: Becket, More </w:t>
      </w:r>
      <w:proofErr w:type="gramStart"/>
      <w:r>
        <w:t>And</w:t>
      </w:r>
      <w:proofErr w:type="gramEnd"/>
      <w:r>
        <w:t xml:space="preserve"> The Scripting Of Martyrdom’, </w:t>
      </w:r>
      <w:r>
        <w:rPr>
          <w:i/>
        </w:rPr>
        <w:t xml:space="preserve">Religion &amp; Literature, </w:t>
      </w:r>
      <w:r>
        <w:t>32(2), (2000), pp. 11-28.</w:t>
      </w:r>
    </w:p>
    <w:p w:rsidR="00C2020A" w:rsidRDefault="00C2020A" w:rsidP="00C2020A">
      <w:r>
        <w:t>-</w:t>
      </w:r>
      <w:proofErr w:type="spellStart"/>
      <w:r>
        <w:t>Maines</w:t>
      </w:r>
      <w:proofErr w:type="spellEnd"/>
      <w:r>
        <w:t xml:space="preserve">, C. ‘A Figure </w:t>
      </w:r>
      <w:proofErr w:type="gramStart"/>
      <w:r>
        <w:t>Of</w:t>
      </w:r>
      <w:proofErr w:type="gramEnd"/>
      <w:r>
        <w:t xml:space="preserve"> St. Thomas At Chartres’, </w:t>
      </w:r>
      <w:proofErr w:type="spellStart"/>
      <w:r>
        <w:rPr>
          <w:i/>
        </w:rPr>
        <w:t>Zeitschrift</w:t>
      </w:r>
      <w:proofErr w:type="spellEnd"/>
      <w:r>
        <w:rPr>
          <w:i/>
        </w:rPr>
        <w:t xml:space="preserve"> Fur </w:t>
      </w:r>
      <w:proofErr w:type="spellStart"/>
      <w:r>
        <w:rPr>
          <w:i/>
        </w:rPr>
        <w:t>Kunstgeschichte</w:t>
      </w:r>
      <w:proofErr w:type="spellEnd"/>
      <w:r>
        <w:rPr>
          <w:i/>
        </w:rPr>
        <w:t xml:space="preserve">, </w:t>
      </w:r>
      <w:r>
        <w:t>36, (1973), pp. 163-173.</w:t>
      </w:r>
    </w:p>
    <w:p w:rsidR="00C2020A" w:rsidRDefault="00C2020A" w:rsidP="00C2020A">
      <w:r>
        <w:t xml:space="preserve">-Scully, R. E, ‘The Unmaking </w:t>
      </w:r>
      <w:proofErr w:type="gramStart"/>
      <w:r>
        <w:t>Of</w:t>
      </w:r>
      <w:proofErr w:type="gramEnd"/>
      <w:r>
        <w:t xml:space="preserve"> A Saint: Thomas Becket And The English Reformation’, </w:t>
      </w:r>
      <w:r>
        <w:rPr>
          <w:i/>
        </w:rPr>
        <w:t xml:space="preserve">The Catholic Historical Review, </w:t>
      </w:r>
      <w:r>
        <w:t>86(4), (2000), pp. 579-602.</w:t>
      </w:r>
    </w:p>
    <w:p w:rsidR="002B2A90" w:rsidRPr="002B2A90" w:rsidRDefault="002B2A90" w:rsidP="00C2020A">
      <w:r>
        <w:t xml:space="preserve">-Thomas, H. M, ‘Shame, Masculinity, And </w:t>
      </w:r>
      <w:proofErr w:type="gramStart"/>
      <w:r>
        <w:t>The</w:t>
      </w:r>
      <w:proofErr w:type="gramEnd"/>
      <w:r>
        <w:t xml:space="preserve"> Death Of Thomas Becket’, </w:t>
      </w:r>
      <w:r>
        <w:rPr>
          <w:i/>
        </w:rPr>
        <w:t xml:space="preserve">Speculum, </w:t>
      </w:r>
      <w:r>
        <w:t>87(4) (2012), pp. 1050-1088.</w:t>
      </w:r>
      <w:bookmarkStart w:id="0" w:name="_GoBack"/>
      <w:bookmarkEnd w:id="0"/>
    </w:p>
    <w:p w:rsidR="005A298A" w:rsidRDefault="005A298A" w:rsidP="00FF0FF1"/>
    <w:p w:rsidR="005A298A" w:rsidRPr="002A2AB0" w:rsidRDefault="005A298A" w:rsidP="00FF0FF1"/>
    <w:p w:rsidR="00AD6221" w:rsidRPr="00024256" w:rsidRDefault="00AD6221" w:rsidP="00FF0FF1">
      <w:r>
        <w:tab/>
      </w:r>
    </w:p>
    <w:p w:rsidR="00036A25" w:rsidRPr="00036A25" w:rsidRDefault="00036A25" w:rsidP="00FF0FF1">
      <w:r>
        <w:tab/>
      </w:r>
    </w:p>
    <w:p w:rsidR="00D2056A" w:rsidRPr="00701AA2" w:rsidRDefault="00D2056A" w:rsidP="00DC54E0"/>
    <w:sectPr w:rsidR="00D2056A" w:rsidRPr="00701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06C1" w:rsidRDefault="002B06C1" w:rsidP="00CA5F0F">
      <w:pPr>
        <w:spacing w:after="0" w:line="240" w:lineRule="auto"/>
      </w:pPr>
      <w:r>
        <w:separator/>
      </w:r>
    </w:p>
  </w:endnote>
  <w:endnote w:type="continuationSeparator" w:id="0">
    <w:p w:rsidR="002B06C1" w:rsidRDefault="002B06C1" w:rsidP="00CA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06C1" w:rsidRDefault="002B06C1" w:rsidP="00CA5F0F">
      <w:pPr>
        <w:spacing w:after="0" w:line="240" w:lineRule="auto"/>
      </w:pPr>
      <w:r>
        <w:separator/>
      </w:r>
    </w:p>
  </w:footnote>
  <w:footnote w:type="continuationSeparator" w:id="0">
    <w:p w:rsidR="002B06C1" w:rsidRDefault="002B06C1" w:rsidP="00CA5F0F">
      <w:pPr>
        <w:spacing w:after="0" w:line="240" w:lineRule="auto"/>
      </w:pPr>
      <w:r>
        <w:continuationSeparator/>
      </w:r>
    </w:p>
  </w:footnote>
  <w:footnote w:id="1">
    <w:p w:rsidR="00C60E28" w:rsidRPr="00CA5F0F" w:rsidRDefault="00C60E28">
      <w:pPr>
        <w:pStyle w:val="FootnoteText"/>
      </w:pPr>
      <w:r>
        <w:rPr>
          <w:rStyle w:val="FootnoteReference"/>
        </w:rPr>
        <w:footnoteRef/>
      </w:r>
      <w:r>
        <w:t xml:space="preserve"> David Farmer, </w:t>
      </w:r>
      <w:r>
        <w:rPr>
          <w:i/>
        </w:rPr>
        <w:t xml:space="preserve">Oxford Dictionary </w:t>
      </w:r>
      <w:proofErr w:type="gramStart"/>
      <w:r>
        <w:rPr>
          <w:i/>
        </w:rPr>
        <w:t>Of</w:t>
      </w:r>
      <w:proofErr w:type="gramEnd"/>
      <w:r>
        <w:rPr>
          <w:i/>
        </w:rPr>
        <w:t xml:space="preserve"> Saints </w:t>
      </w:r>
      <w:r>
        <w:t>(Oxford: Oxford University Press, 2011) p.420.</w:t>
      </w:r>
    </w:p>
  </w:footnote>
  <w:footnote w:id="2">
    <w:p w:rsidR="00C60E28" w:rsidRPr="00CF7B40" w:rsidRDefault="00C60E28">
      <w:pPr>
        <w:pStyle w:val="FootnoteText"/>
      </w:pPr>
      <w:r>
        <w:rPr>
          <w:rStyle w:val="FootnoteReference"/>
        </w:rPr>
        <w:footnoteRef/>
      </w:r>
      <w:r>
        <w:t xml:space="preserve"> Farmer, </w:t>
      </w:r>
      <w:r>
        <w:rPr>
          <w:i/>
        </w:rPr>
        <w:t xml:space="preserve">Oxford Dictionary Of, </w:t>
      </w:r>
      <w:r>
        <w:t>p. 420.</w:t>
      </w:r>
    </w:p>
  </w:footnote>
  <w:footnote w:id="3">
    <w:p w:rsidR="00C60E28" w:rsidRPr="000D69FE" w:rsidRDefault="00C60E28">
      <w:pPr>
        <w:pStyle w:val="FootnoteText"/>
      </w:pPr>
      <w:r>
        <w:rPr>
          <w:rStyle w:val="FootnoteReference"/>
        </w:rPr>
        <w:footnoteRef/>
      </w:r>
      <w:r>
        <w:t xml:space="preserve"> Ibid</w:t>
      </w:r>
      <w:r>
        <w:rPr>
          <w:i/>
        </w:rPr>
        <w:t xml:space="preserve">, </w:t>
      </w:r>
      <w:r>
        <w:t>p. 421.</w:t>
      </w:r>
    </w:p>
  </w:footnote>
  <w:footnote w:id="4">
    <w:p w:rsidR="00C60E28" w:rsidRDefault="00C60E28">
      <w:pPr>
        <w:pStyle w:val="FootnoteText"/>
      </w:pPr>
      <w:r>
        <w:rPr>
          <w:rStyle w:val="FootnoteReference"/>
        </w:rPr>
        <w:footnoteRef/>
      </w:r>
      <w:r>
        <w:t xml:space="preserve"> Ibid, p. 419.</w:t>
      </w:r>
    </w:p>
  </w:footnote>
  <w:footnote w:id="5">
    <w:p w:rsidR="00C60E28" w:rsidRPr="00682016" w:rsidRDefault="00C60E28">
      <w:pPr>
        <w:pStyle w:val="FootnoteText"/>
      </w:pPr>
      <w:r>
        <w:rPr>
          <w:rStyle w:val="FootnoteReference"/>
        </w:rPr>
        <w:footnoteRef/>
      </w:r>
      <w:r>
        <w:t xml:space="preserve"> Anne Duggan, </w:t>
      </w:r>
      <w:r>
        <w:rPr>
          <w:i/>
        </w:rPr>
        <w:t xml:space="preserve">Thomas Becket </w:t>
      </w:r>
      <w:r>
        <w:t>(London: Arnold, 2004) p. 8.</w:t>
      </w:r>
    </w:p>
  </w:footnote>
  <w:footnote w:id="6">
    <w:p w:rsidR="00C60E28" w:rsidRPr="00491CE2" w:rsidRDefault="00C60E28">
      <w:pPr>
        <w:pStyle w:val="FootnoteText"/>
      </w:pPr>
      <w:r>
        <w:rPr>
          <w:rStyle w:val="FootnoteReference"/>
        </w:rPr>
        <w:footnoteRef/>
      </w:r>
      <w:r>
        <w:t xml:space="preserve"> Duggan, </w:t>
      </w:r>
      <w:r>
        <w:rPr>
          <w:i/>
        </w:rPr>
        <w:t xml:space="preserve">Thomas Becket, </w:t>
      </w:r>
      <w:r>
        <w:t>p. 8.</w:t>
      </w:r>
    </w:p>
  </w:footnote>
  <w:footnote w:id="7">
    <w:p w:rsidR="00C60E28" w:rsidRPr="00491CE2" w:rsidRDefault="00C60E28">
      <w:pPr>
        <w:pStyle w:val="FootnoteText"/>
      </w:pPr>
      <w:r>
        <w:rPr>
          <w:rStyle w:val="FootnoteReference"/>
        </w:rPr>
        <w:footnoteRef/>
      </w:r>
      <w:r>
        <w:t xml:space="preserve"> Michael Staunton, </w:t>
      </w:r>
      <w:r>
        <w:rPr>
          <w:i/>
        </w:rPr>
        <w:t xml:space="preserve">The Lives of Thomas Becket </w:t>
      </w:r>
      <w:r>
        <w:t>(Manchester: Manchester University Press, 2001) p. 40.</w:t>
      </w:r>
    </w:p>
  </w:footnote>
  <w:footnote w:id="8">
    <w:p w:rsidR="00C60E28" w:rsidRPr="00097AC4" w:rsidRDefault="00C60E28">
      <w:pPr>
        <w:pStyle w:val="FootnoteText"/>
      </w:pPr>
      <w:r>
        <w:rPr>
          <w:rStyle w:val="FootnoteReference"/>
        </w:rPr>
        <w:footnoteRef/>
      </w:r>
      <w:r>
        <w:t xml:space="preserve"> Staunton, </w:t>
      </w:r>
      <w:r>
        <w:rPr>
          <w:i/>
        </w:rPr>
        <w:t xml:space="preserve">The Lives </w:t>
      </w:r>
      <w:proofErr w:type="gramStart"/>
      <w:r>
        <w:rPr>
          <w:i/>
        </w:rPr>
        <w:t>Of</w:t>
      </w:r>
      <w:proofErr w:type="gramEnd"/>
      <w:r>
        <w:rPr>
          <w:i/>
        </w:rPr>
        <w:t xml:space="preserve"> Thomas</w:t>
      </w:r>
      <w:r>
        <w:t>, p. 41.</w:t>
      </w:r>
    </w:p>
  </w:footnote>
  <w:footnote w:id="9">
    <w:p w:rsidR="00C60E28" w:rsidRDefault="00C60E28">
      <w:pPr>
        <w:pStyle w:val="FootnoteText"/>
      </w:pPr>
      <w:r>
        <w:rPr>
          <w:rStyle w:val="FootnoteReference"/>
        </w:rPr>
        <w:footnoteRef/>
      </w:r>
      <w:r>
        <w:t xml:space="preserve"> Ibid. </w:t>
      </w:r>
    </w:p>
  </w:footnote>
  <w:footnote w:id="10">
    <w:p w:rsidR="00C60E28" w:rsidRPr="00666C69" w:rsidRDefault="00C60E28">
      <w:pPr>
        <w:pStyle w:val="FootnoteText"/>
      </w:pPr>
      <w:r>
        <w:rPr>
          <w:rStyle w:val="FootnoteReference"/>
        </w:rPr>
        <w:footnoteRef/>
      </w:r>
      <w:r>
        <w:t xml:space="preserve"> Duggan, </w:t>
      </w:r>
      <w:r>
        <w:rPr>
          <w:i/>
        </w:rPr>
        <w:t xml:space="preserve">Thomas Becket, </w:t>
      </w:r>
      <w:r>
        <w:t>p. 5.</w:t>
      </w:r>
    </w:p>
  </w:footnote>
  <w:footnote w:id="11">
    <w:p w:rsidR="00C60E28" w:rsidRPr="00240384" w:rsidRDefault="00C60E28">
      <w:pPr>
        <w:pStyle w:val="FootnoteText"/>
      </w:pPr>
      <w:r>
        <w:rPr>
          <w:rStyle w:val="FootnoteReference"/>
        </w:rPr>
        <w:footnoteRef/>
      </w:r>
      <w:r>
        <w:t xml:space="preserve"> Farmer, </w:t>
      </w:r>
      <w:r>
        <w:rPr>
          <w:i/>
        </w:rPr>
        <w:t xml:space="preserve">Oxford Dictionary Of, </w:t>
      </w:r>
      <w:r>
        <w:t>p. 419.</w:t>
      </w:r>
    </w:p>
  </w:footnote>
  <w:footnote w:id="12">
    <w:p w:rsidR="00C60E28" w:rsidRPr="00240384" w:rsidRDefault="00C60E28">
      <w:pPr>
        <w:pStyle w:val="FootnoteText"/>
      </w:pPr>
      <w:r>
        <w:rPr>
          <w:rStyle w:val="FootnoteReference"/>
        </w:rPr>
        <w:footnoteRef/>
      </w:r>
      <w:r>
        <w:t xml:space="preserve"> Staunton, </w:t>
      </w:r>
      <w:r>
        <w:rPr>
          <w:i/>
        </w:rPr>
        <w:t xml:space="preserve">The Lives </w:t>
      </w:r>
      <w:proofErr w:type="gramStart"/>
      <w:r>
        <w:rPr>
          <w:i/>
        </w:rPr>
        <w:t>Of</w:t>
      </w:r>
      <w:proofErr w:type="gramEnd"/>
      <w:r>
        <w:rPr>
          <w:i/>
        </w:rPr>
        <w:t xml:space="preserve"> Thomas, </w:t>
      </w:r>
      <w:r>
        <w:t>p. 43.</w:t>
      </w:r>
    </w:p>
  </w:footnote>
  <w:footnote w:id="13">
    <w:p w:rsidR="00C60E28" w:rsidRPr="0007409F" w:rsidRDefault="00C60E28">
      <w:pPr>
        <w:pStyle w:val="FootnoteText"/>
      </w:pPr>
      <w:r>
        <w:rPr>
          <w:rStyle w:val="FootnoteReference"/>
        </w:rPr>
        <w:footnoteRef/>
      </w:r>
      <w:r>
        <w:t xml:space="preserve"> Thomas M. Jones, </w:t>
      </w:r>
      <w:r>
        <w:rPr>
          <w:i/>
        </w:rPr>
        <w:t xml:space="preserve">The Becket Controversy </w:t>
      </w:r>
      <w:r>
        <w:t xml:space="preserve">(New York: John Wiley </w:t>
      </w:r>
      <w:proofErr w:type="gramStart"/>
      <w:r>
        <w:t>And</w:t>
      </w:r>
      <w:proofErr w:type="gramEnd"/>
      <w:r>
        <w:t xml:space="preserve"> Sons Inc, 1970) p. 1.</w:t>
      </w:r>
    </w:p>
  </w:footnote>
  <w:footnote w:id="14">
    <w:p w:rsidR="00C60E28" w:rsidRPr="0007409F" w:rsidRDefault="00C60E28">
      <w:pPr>
        <w:pStyle w:val="FootnoteText"/>
      </w:pPr>
      <w:r>
        <w:rPr>
          <w:rStyle w:val="FootnoteReference"/>
        </w:rPr>
        <w:footnoteRef/>
      </w:r>
      <w:r>
        <w:t xml:space="preserve"> Staunton, </w:t>
      </w:r>
      <w:r>
        <w:rPr>
          <w:i/>
        </w:rPr>
        <w:t xml:space="preserve">The Lives </w:t>
      </w:r>
      <w:proofErr w:type="gramStart"/>
      <w:r>
        <w:rPr>
          <w:i/>
        </w:rPr>
        <w:t>Of</w:t>
      </w:r>
      <w:proofErr w:type="gramEnd"/>
      <w:r>
        <w:rPr>
          <w:i/>
        </w:rPr>
        <w:t xml:space="preserve"> Thomas, </w:t>
      </w:r>
      <w:r>
        <w:t xml:space="preserve">p. 43. </w:t>
      </w:r>
    </w:p>
  </w:footnote>
  <w:footnote w:id="15">
    <w:p w:rsidR="00C60E28" w:rsidRPr="001B67C4" w:rsidRDefault="00C60E28">
      <w:pPr>
        <w:pStyle w:val="FootnoteText"/>
      </w:pPr>
      <w:r>
        <w:rPr>
          <w:rStyle w:val="FootnoteReference"/>
        </w:rPr>
        <w:footnoteRef/>
      </w:r>
      <w:r>
        <w:t xml:space="preserve"> Farmer, </w:t>
      </w:r>
      <w:r>
        <w:rPr>
          <w:i/>
        </w:rPr>
        <w:t xml:space="preserve">Oxford Dictionary Of, </w:t>
      </w:r>
      <w:r>
        <w:t>p. 419.</w:t>
      </w:r>
    </w:p>
  </w:footnote>
  <w:footnote w:id="16">
    <w:p w:rsidR="00C60E28" w:rsidRDefault="00C60E28">
      <w:pPr>
        <w:pStyle w:val="FootnoteText"/>
      </w:pPr>
      <w:r>
        <w:rPr>
          <w:rStyle w:val="FootnoteReference"/>
        </w:rPr>
        <w:footnoteRef/>
      </w:r>
      <w:r>
        <w:t xml:space="preserve"> Ibid, p. 420.</w:t>
      </w:r>
    </w:p>
  </w:footnote>
  <w:footnote w:id="17">
    <w:p w:rsidR="00C60E28" w:rsidRPr="003B5256" w:rsidRDefault="00C60E28">
      <w:pPr>
        <w:pStyle w:val="FootnoteText"/>
      </w:pPr>
      <w:r>
        <w:rPr>
          <w:rStyle w:val="FootnoteReference"/>
        </w:rPr>
        <w:footnoteRef/>
      </w:r>
      <w:r>
        <w:t xml:space="preserve"> Jones, </w:t>
      </w:r>
      <w:r>
        <w:rPr>
          <w:i/>
        </w:rPr>
        <w:t xml:space="preserve">The Becket Controversy, </w:t>
      </w:r>
      <w:r>
        <w:t>p. 2.</w:t>
      </w:r>
    </w:p>
  </w:footnote>
  <w:footnote w:id="18">
    <w:p w:rsidR="00C60E28" w:rsidRPr="003B5256" w:rsidRDefault="00C60E28">
      <w:pPr>
        <w:pStyle w:val="FootnoteText"/>
      </w:pPr>
      <w:r>
        <w:rPr>
          <w:rStyle w:val="FootnoteReference"/>
        </w:rPr>
        <w:footnoteRef/>
      </w:r>
      <w:r>
        <w:t xml:space="preserve"> Staunton, </w:t>
      </w:r>
      <w:r>
        <w:rPr>
          <w:i/>
        </w:rPr>
        <w:t xml:space="preserve">The Lives </w:t>
      </w:r>
      <w:proofErr w:type="gramStart"/>
      <w:r>
        <w:rPr>
          <w:i/>
        </w:rPr>
        <w:t>Of</w:t>
      </w:r>
      <w:proofErr w:type="gramEnd"/>
      <w:r>
        <w:rPr>
          <w:i/>
        </w:rPr>
        <w:t xml:space="preserve"> Thomas, </w:t>
      </w:r>
      <w:r>
        <w:t>p. 62.</w:t>
      </w:r>
    </w:p>
  </w:footnote>
  <w:footnote w:id="19">
    <w:p w:rsidR="00C60E28" w:rsidRPr="00666C69" w:rsidRDefault="00C60E28">
      <w:pPr>
        <w:pStyle w:val="FootnoteText"/>
      </w:pPr>
      <w:r>
        <w:rPr>
          <w:rStyle w:val="FootnoteReference"/>
        </w:rPr>
        <w:footnoteRef/>
      </w:r>
      <w:r>
        <w:t xml:space="preserve"> Jones, </w:t>
      </w:r>
      <w:r>
        <w:rPr>
          <w:i/>
        </w:rPr>
        <w:t xml:space="preserve">The Becket Controversy, </w:t>
      </w:r>
      <w:r>
        <w:t>p. 2.</w:t>
      </w:r>
    </w:p>
  </w:footnote>
  <w:footnote w:id="20">
    <w:p w:rsidR="00C60E28" w:rsidRPr="00C84A6D" w:rsidRDefault="00C60E28">
      <w:pPr>
        <w:pStyle w:val="FootnoteText"/>
      </w:pPr>
      <w:r>
        <w:rPr>
          <w:rStyle w:val="FootnoteReference"/>
        </w:rPr>
        <w:footnoteRef/>
      </w:r>
      <w:r>
        <w:t xml:space="preserve"> Staunton, </w:t>
      </w:r>
      <w:r>
        <w:rPr>
          <w:i/>
        </w:rPr>
        <w:t xml:space="preserve">The Lives </w:t>
      </w:r>
      <w:proofErr w:type="gramStart"/>
      <w:r>
        <w:rPr>
          <w:i/>
        </w:rPr>
        <w:t>Of</w:t>
      </w:r>
      <w:proofErr w:type="gramEnd"/>
      <w:r>
        <w:rPr>
          <w:i/>
        </w:rPr>
        <w:t xml:space="preserve"> Thomas, </w:t>
      </w:r>
      <w:r>
        <w:t>p. 67.</w:t>
      </w:r>
    </w:p>
  </w:footnote>
  <w:footnote w:id="21">
    <w:p w:rsidR="00C60E28" w:rsidRPr="001D41CC" w:rsidRDefault="00C60E28">
      <w:pPr>
        <w:pStyle w:val="FootnoteText"/>
      </w:pPr>
      <w:r>
        <w:rPr>
          <w:rStyle w:val="FootnoteReference"/>
        </w:rPr>
        <w:footnoteRef/>
      </w:r>
      <w:r>
        <w:t xml:space="preserve"> Duggan, </w:t>
      </w:r>
      <w:r>
        <w:rPr>
          <w:i/>
        </w:rPr>
        <w:t xml:space="preserve">Thomas Becket, </w:t>
      </w:r>
      <w:r>
        <w:t>p. 7.</w:t>
      </w:r>
    </w:p>
  </w:footnote>
  <w:footnote w:id="22">
    <w:p w:rsidR="00C60E28" w:rsidRDefault="00C60E28">
      <w:pPr>
        <w:pStyle w:val="FootnoteText"/>
      </w:pPr>
      <w:r>
        <w:rPr>
          <w:rStyle w:val="FootnoteReference"/>
        </w:rPr>
        <w:footnoteRef/>
      </w:r>
      <w:r>
        <w:t xml:space="preserve"> Ibid.</w:t>
      </w:r>
    </w:p>
  </w:footnote>
  <w:footnote w:id="23">
    <w:p w:rsidR="00C60E28" w:rsidRPr="001D41CC" w:rsidRDefault="00C60E28">
      <w:pPr>
        <w:pStyle w:val="FootnoteText"/>
      </w:pPr>
      <w:r>
        <w:rPr>
          <w:rStyle w:val="FootnoteReference"/>
        </w:rPr>
        <w:footnoteRef/>
      </w:r>
      <w:r>
        <w:t xml:space="preserve"> Farmer, </w:t>
      </w:r>
      <w:r>
        <w:rPr>
          <w:i/>
        </w:rPr>
        <w:t xml:space="preserve">Oxford Dictionary Of, </w:t>
      </w:r>
      <w:r>
        <w:t>p. 420.</w:t>
      </w:r>
    </w:p>
  </w:footnote>
  <w:footnote w:id="24">
    <w:p w:rsidR="00C60E28" w:rsidRPr="0043276C" w:rsidRDefault="00C60E28">
      <w:pPr>
        <w:pStyle w:val="FootnoteText"/>
      </w:pPr>
      <w:r>
        <w:rPr>
          <w:rStyle w:val="FootnoteReference"/>
        </w:rPr>
        <w:footnoteRef/>
      </w:r>
      <w:r>
        <w:t xml:space="preserve"> Duggan, </w:t>
      </w:r>
      <w:r>
        <w:rPr>
          <w:i/>
        </w:rPr>
        <w:t xml:space="preserve">Thomas Becket, </w:t>
      </w:r>
      <w:r>
        <w:t>p. 253.</w:t>
      </w:r>
    </w:p>
  </w:footnote>
  <w:footnote w:id="25">
    <w:p w:rsidR="00C60E28" w:rsidRDefault="00C60E28">
      <w:pPr>
        <w:pStyle w:val="FootnoteText"/>
      </w:pPr>
      <w:r>
        <w:rPr>
          <w:rStyle w:val="FootnoteReference"/>
        </w:rPr>
        <w:footnoteRef/>
      </w:r>
      <w:r>
        <w:t xml:space="preserve"> Ibid.</w:t>
      </w:r>
    </w:p>
  </w:footnote>
  <w:footnote w:id="26">
    <w:p w:rsidR="00C60E28" w:rsidRPr="005D27B6" w:rsidRDefault="00C60E28">
      <w:pPr>
        <w:pStyle w:val="FootnoteText"/>
      </w:pPr>
      <w:r>
        <w:rPr>
          <w:rStyle w:val="FootnoteReference"/>
        </w:rPr>
        <w:footnoteRef/>
      </w:r>
      <w:r>
        <w:t xml:space="preserve"> Roger of </w:t>
      </w:r>
      <w:proofErr w:type="spellStart"/>
      <w:r>
        <w:t>Hoveden</w:t>
      </w:r>
      <w:proofErr w:type="spellEnd"/>
      <w:r>
        <w:t xml:space="preserve">: The Chronicle: On </w:t>
      </w:r>
      <w:proofErr w:type="gramStart"/>
      <w:r>
        <w:t>The</w:t>
      </w:r>
      <w:proofErr w:type="gramEnd"/>
      <w:r>
        <w:t xml:space="preserve"> Dispute between Thomas Becket, Archbishop Of Canterbury And King Henry II Of England. </w:t>
      </w:r>
      <w:r>
        <w:rPr>
          <w:i/>
        </w:rPr>
        <w:t xml:space="preserve">Medieval Sourcebook, </w:t>
      </w:r>
      <w:r>
        <w:t>&lt;</w:t>
      </w:r>
      <w:r w:rsidRPr="005D27B6">
        <w:t xml:space="preserve"> </w:t>
      </w:r>
      <w:hyperlink r:id="rId1" w:history="1">
        <w:r w:rsidRPr="0038673A">
          <w:rPr>
            <w:rStyle w:val="Hyperlink"/>
          </w:rPr>
          <w:t>https://sourcebooks.fordham.edu/source/hoveden-becket.asp#1166d</w:t>
        </w:r>
      </w:hyperlink>
      <w:r>
        <w:t>&gt; [Accessed 7</w:t>
      </w:r>
      <w:r w:rsidRPr="005D27B6">
        <w:rPr>
          <w:vertAlign w:val="superscript"/>
        </w:rPr>
        <w:t>th</w:t>
      </w:r>
      <w:r>
        <w:t xml:space="preserve"> April 2019].</w:t>
      </w:r>
    </w:p>
  </w:footnote>
  <w:footnote w:id="27">
    <w:p w:rsidR="00C60E28" w:rsidRPr="00E64BBA" w:rsidRDefault="00C60E28">
      <w:pPr>
        <w:pStyle w:val="FootnoteText"/>
      </w:pPr>
      <w:r>
        <w:rPr>
          <w:rStyle w:val="FootnoteReference"/>
        </w:rPr>
        <w:footnoteRef/>
      </w:r>
      <w:r>
        <w:t xml:space="preserve"> Austin Lane Poole, ‘From Domesday Book To Magna Carta’, in </w:t>
      </w:r>
      <w:r>
        <w:rPr>
          <w:i/>
        </w:rPr>
        <w:t xml:space="preserve">The Becket Controversy, </w:t>
      </w:r>
      <w:r>
        <w:t xml:space="preserve">ed. By Thomas M. </w:t>
      </w:r>
      <w:proofErr w:type="spellStart"/>
      <w:r>
        <w:t>Jomes</w:t>
      </w:r>
      <w:proofErr w:type="spellEnd"/>
      <w:r>
        <w:t xml:space="preserve"> (New York: John Wiley </w:t>
      </w:r>
      <w:proofErr w:type="gramStart"/>
      <w:r>
        <w:t>And</w:t>
      </w:r>
      <w:proofErr w:type="gramEnd"/>
      <w:r>
        <w:t xml:space="preserve"> Sons Inc, 1970), pp 135-138, (p. 136).</w:t>
      </w:r>
    </w:p>
  </w:footnote>
  <w:footnote w:id="28">
    <w:p w:rsidR="00C60E28" w:rsidRPr="00695732" w:rsidRDefault="00C60E28">
      <w:pPr>
        <w:pStyle w:val="FootnoteText"/>
      </w:pPr>
      <w:r>
        <w:rPr>
          <w:rStyle w:val="FootnoteReference"/>
        </w:rPr>
        <w:footnoteRef/>
      </w:r>
      <w:r>
        <w:t xml:space="preserve"> Duggan, </w:t>
      </w:r>
      <w:r>
        <w:rPr>
          <w:i/>
        </w:rPr>
        <w:t xml:space="preserve">Thomas Becket, </w:t>
      </w:r>
      <w:r>
        <w:t xml:space="preserve">pp. 253-254. </w:t>
      </w:r>
    </w:p>
  </w:footnote>
  <w:footnote w:id="29">
    <w:p w:rsidR="00C60E28" w:rsidRDefault="00C60E28">
      <w:pPr>
        <w:pStyle w:val="FootnoteText"/>
      </w:pPr>
      <w:r>
        <w:rPr>
          <w:rStyle w:val="FootnoteReference"/>
        </w:rPr>
        <w:footnoteRef/>
      </w:r>
      <w:r>
        <w:t xml:space="preserve"> Ibid, p. 254.</w:t>
      </w:r>
    </w:p>
  </w:footnote>
  <w:footnote w:id="30">
    <w:p w:rsidR="00C60E28" w:rsidRPr="00695732" w:rsidRDefault="00C60E28">
      <w:pPr>
        <w:pStyle w:val="FootnoteText"/>
      </w:pPr>
      <w:r>
        <w:rPr>
          <w:rStyle w:val="FootnoteReference"/>
        </w:rPr>
        <w:footnoteRef/>
      </w:r>
      <w:r>
        <w:t xml:space="preserve"> Hugh M. Thomas, ‘Shame, Masculinity, And </w:t>
      </w:r>
      <w:proofErr w:type="gramStart"/>
      <w:r>
        <w:t>The</w:t>
      </w:r>
      <w:proofErr w:type="gramEnd"/>
      <w:r>
        <w:t xml:space="preserve"> Death Of Thomas Becket’, </w:t>
      </w:r>
      <w:r>
        <w:rPr>
          <w:i/>
        </w:rPr>
        <w:t xml:space="preserve">Speculum, </w:t>
      </w:r>
      <w:r>
        <w:t>87(4) (2012), 1050-1088 (p. 1060).</w:t>
      </w:r>
    </w:p>
  </w:footnote>
  <w:footnote w:id="31">
    <w:p w:rsidR="00C60E28" w:rsidRPr="002015F8" w:rsidRDefault="00C60E28">
      <w:pPr>
        <w:pStyle w:val="FootnoteText"/>
      </w:pPr>
      <w:r>
        <w:rPr>
          <w:rStyle w:val="FootnoteReference"/>
        </w:rPr>
        <w:footnoteRef/>
      </w:r>
      <w:r>
        <w:t xml:space="preserve"> Farmer, </w:t>
      </w:r>
      <w:r>
        <w:rPr>
          <w:i/>
        </w:rPr>
        <w:t xml:space="preserve">Oxford Dictionary Of, </w:t>
      </w:r>
      <w:r>
        <w:t>p. 420.</w:t>
      </w:r>
    </w:p>
  </w:footnote>
  <w:footnote w:id="32">
    <w:p w:rsidR="00C60E28" w:rsidRPr="00486CFC" w:rsidRDefault="00C60E28">
      <w:pPr>
        <w:pStyle w:val="FootnoteText"/>
      </w:pPr>
      <w:r>
        <w:rPr>
          <w:rStyle w:val="FootnoteReference"/>
        </w:rPr>
        <w:footnoteRef/>
      </w:r>
      <w:r>
        <w:t xml:space="preserve"> Robert E. Scully, ‘The Unmaking </w:t>
      </w:r>
      <w:proofErr w:type="gramStart"/>
      <w:r>
        <w:t>Of</w:t>
      </w:r>
      <w:proofErr w:type="gramEnd"/>
      <w:r>
        <w:t xml:space="preserve"> A Saint: Thomas Becket And The English Reformation’, </w:t>
      </w:r>
      <w:r>
        <w:rPr>
          <w:i/>
        </w:rPr>
        <w:t xml:space="preserve">The Catholic Historical Review, </w:t>
      </w:r>
      <w:r>
        <w:t>86 (4) (2000), 579-602 (p. 581).</w:t>
      </w:r>
    </w:p>
  </w:footnote>
  <w:footnote w:id="33">
    <w:p w:rsidR="00C60E28" w:rsidRPr="00024256" w:rsidRDefault="00C60E28">
      <w:pPr>
        <w:pStyle w:val="FootnoteText"/>
      </w:pPr>
      <w:r>
        <w:rPr>
          <w:rStyle w:val="FootnoteReference"/>
        </w:rPr>
        <w:footnoteRef/>
      </w:r>
      <w:r>
        <w:t xml:space="preserve"> Duggan, </w:t>
      </w:r>
      <w:r>
        <w:rPr>
          <w:i/>
        </w:rPr>
        <w:t xml:space="preserve">Thomas Becket, </w:t>
      </w:r>
      <w:r>
        <w:t>p. 2.</w:t>
      </w:r>
    </w:p>
  </w:footnote>
  <w:footnote w:id="34">
    <w:p w:rsidR="00C60E28" w:rsidRDefault="00C60E28">
      <w:pPr>
        <w:pStyle w:val="FootnoteText"/>
      </w:pPr>
      <w:r>
        <w:rPr>
          <w:rStyle w:val="FootnoteReference"/>
        </w:rPr>
        <w:footnoteRef/>
      </w:r>
      <w:r>
        <w:t xml:space="preserve"> Ibid.</w:t>
      </w:r>
    </w:p>
  </w:footnote>
  <w:footnote w:id="35">
    <w:p w:rsidR="00C60E28" w:rsidRDefault="00C60E28">
      <w:pPr>
        <w:pStyle w:val="FootnoteText"/>
      </w:pPr>
      <w:r>
        <w:rPr>
          <w:rStyle w:val="FootnoteReference"/>
        </w:rPr>
        <w:footnoteRef/>
      </w:r>
      <w:r>
        <w:t xml:space="preserve"> Ibid, p. 3.</w:t>
      </w:r>
    </w:p>
  </w:footnote>
  <w:footnote w:id="36">
    <w:p w:rsidR="00C60E28" w:rsidRPr="00C23864" w:rsidRDefault="00C60E28">
      <w:pPr>
        <w:pStyle w:val="FootnoteText"/>
      </w:pPr>
      <w:r>
        <w:rPr>
          <w:rStyle w:val="FootnoteReference"/>
        </w:rPr>
        <w:footnoteRef/>
      </w:r>
      <w:r>
        <w:t xml:space="preserve">The Chronicle Of “Benedict </w:t>
      </w:r>
      <w:proofErr w:type="gramStart"/>
      <w:r>
        <w:t>Of</w:t>
      </w:r>
      <w:proofErr w:type="gramEnd"/>
      <w:r>
        <w:t xml:space="preserve"> Peterborough”: The Murder Of Thomas Becket, Archbishop of Canterbury, 29 December 1170. </w:t>
      </w:r>
      <w:r>
        <w:rPr>
          <w:i/>
        </w:rPr>
        <w:t>Medieval Sourcebook</w:t>
      </w:r>
      <w:r>
        <w:t xml:space="preserve"> &lt;</w:t>
      </w:r>
      <w:r w:rsidRPr="00C23864">
        <w:t xml:space="preserve"> </w:t>
      </w:r>
      <w:hyperlink r:id="rId2" w:history="1">
        <w:r w:rsidRPr="0038673A">
          <w:rPr>
            <w:rStyle w:val="Hyperlink"/>
          </w:rPr>
          <w:t>https://sourcebooks.fordham.edu/source/1170benedict-becket.asp</w:t>
        </w:r>
      </w:hyperlink>
      <w:r>
        <w:t>&gt; [Accessed 7</w:t>
      </w:r>
      <w:r w:rsidRPr="00C23864">
        <w:rPr>
          <w:vertAlign w:val="superscript"/>
        </w:rPr>
        <w:t>th</w:t>
      </w:r>
      <w:r>
        <w:t xml:space="preserve"> April 2019].</w:t>
      </w:r>
    </w:p>
  </w:footnote>
  <w:footnote w:id="37">
    <w:p w:rsidR="00C60E28" w:rsidRDefault="00C60E28">
      <w:pPr>
        <w:pStyle w:val="FootnoteText"/>
      </w:pPr>
      <w:r>
        <w:rPr>
          <w:rStyle w:val="FootnoteReference"/>
        </w:rPr>
        <w:footnoteRef/>
      </w:r>
      <w:r>
        <w:t xml:space="preserve"> The Chronicle Of “Peter </w:t>
      </w:r>
      <w:proofErr w:type="gramStart"/>
      <w:r>
        <w:t>Of</w:t>
      </w:r>
      <w:proofErr w:type="gramEnd"/>
      <w:r>
        <w:t xml:space="preserve"> Peterborough”. </w:t>
      </w:r>
    </w:p>
  </w:footnote>
  <w:footnote w:id="38">
    <w:p w:rsidR="00C60E28" w:rsidRPr="00C23864" w:rsidRDefault="00C60E28">
      <w:pPr>
        <w:pStyle w:val="FootnoteText"/>
      </w:pPr>
      <w:r>
        <w:rPr>
          <w:rStyle w:val="FootnoteReference"/>
        </w:rPr>
        <w:footnoteRef/>
      </w:r>
      <w:r>
        <w:t xml:space="preserve"> William Of Newburgh: Becket </w:t>
      </w:r>
      <w:proofErr w:type="gramStart"/>
      <w:r>
        <w:t>And</w:t>
      </w:r>
      <w:proofErr w:type="gramEnd"/>
      <w:r>
        <w:t xml:space="preserve"> Henry, Selections From Book II Of His History. </w:t>
      </w:r>
      <w:r>
        <w:rPr>
          <w:i/>
        </w:rPr>
        <w:t>Medieval Sourcebook</w:t>
      </w:r>
      <w:r>
        <w:t xml:space="preserve"> &lt;</w:t>
      </w:r>
      <w:r w:rsidRPr="00C23864">
        <w:t xml:space="preserve"> </w:t>
      </w:r>
      <w:hyperlink r:id="rId3" w:history="1">
        <w:r w:rsidRPr="0038673A">
          <w:rPr>
            <w:rStyle w:val="Hyperlink"/>
          </w:rPr>
          <w:t>https://sourcebooks.fordham.edu/source/williamnewburgh-becket1.asp</w:t>
        </w:r>
      </w:hyperlink>
      <w:r>
        <w:t>&gt; [Accessed 7</w:t>
      </w:r>
      <w:r w:rsidRPr="00C23864">
        <w:rPr>
          <w:vertAlign w:val="superscript"/>
        </w:rPr>
        <w:t>th</w:t>
      </w:r>
      <w:r>
        <w:t xml:space="preserve"> April].</w:t>
      </w:r>
    </w:p>
  </w:footnote>
  <w:footnote w:id="39">
    <w:p w:rsidR="00C60E28" w:rsidRDefault="00C60E28">
      <w:pPr>
        <w:pStyle w:val="FootnoteText"/>
      </w:pPr>
      <w:r>
        <w:rPr>
          <w:rStyle w:val="FootnoteReference"/>
        </w:rPr>
        <w:footnoteRef/>
      </w:r>
      <w:r>
        <w:t xml:space="preserve"> William Of Newburgh.</w:t>
      </w:r>
    </w:p>
  </w:footnote>
  <w:footnote w:id="40">
    <w:p w:rsidR="00C60E28" w:rsidRDefault="00C60E28">
      <w:pPr>
        <w:pStyle w:val="FootnoteText"/>
      </w:pPr>
      <w:r>
        <w:rPr>
          <w:rStyle w:val="FootnoteReference"/>
        </w:rPr>
        <w:footnoteRef/>
      </w:r>
      <w:r>
        <w:t xml:space="preserve"> Robert E. Scully, ‘The Unmaking Of’, p. 582.</w:t>
      </w:r>
    </w:p>
  </w:footnote>
  <w:footnote w:id="41">
    <w:p w:rsidR="00C60E28" w:rsidRDefault="00C60E28">
      <w:pPr>
        <w:pStyle w:val="FootnoteText"/>
      </w:pPr>
      <w:r>
        <w:rPr>
          <w:rStyle w:val="FootnoteReference"/>
        </w:rPr>
        <w:footnoteRef/>
      </w:r>
      <w:r>
        <w:t xml:space="preserve"> William Of Newburgh.</w:t>
      </w:r>
    </w:p>
  </w:footnote>
  <w:footnote w:id="42">
    <w:p w:rsidR="00C60E28" w:rsidRDefault="00C60E28">
      <w:pPr>
        <w:pStyle w:val="FootnoteText"/>
      </w:pPr>
      <w:r>
        <w:rPr>
          <w:rStyle w:val="FootnoteReference"/>
        </w:rPr>
        <w:footnoteRef/>
      </w:r>
      <w:r>
        <w:t xml:space="preserve"> Gervase Of Canterbury, d. 1205: Thomas Becket’s Death, From History </w:t>
      </w:r>
      <w:proofErr w:type="gramStart"/>
      <w:r>
        <w:t>Of</w:t>
      </w:r>
      <w:proofErr w:type="gramEnd"/>
      <w:r>
        <w:t xml:space="preserve"> The Archbishop Of Canterbury. </w:t>
      </w:r>
      <w:r>
        <w:rPr>
          <w:i/>
        </w:rPr>
        <w:t xml:space="preserve">Medieval Sourcebook </w:t>
      </w:r>
      <w:r>
        <w:t xml:space="preserve">&lt; </w:t>
      </w:r>
      <w:hyperlink r:id="rId4" w:history="1">
        <w:r w:rsidRPr="0038673A">
          <w:rPr>
            <w:rStyle w:val="Hyperlink"/>
          </w:rPr>
          <w:t>https://sourcebooks.fordham.edu/source/1205gervase2.asp</w:t>
        </w:r>
      </w:hyperlink>
      <w:r>
        <w:t>&gt; [Accessed 7</w:t>
      </w:r>
      <w:r w:rsidRPr="0058128F">
        <w:rPr>
          <w:vertAlign w:val="superscript"/>
        </w:rPr>
        <w:t>th</w:t>
      </w:r>
      <w:r>
        <w:t xml:space="preserve"> April 2019].</w:t>
      </w:r>
    </w:p>
  </w:footnote>
  <w:footnote w:id="43">
    <w:p w:rsidR="00C60E28" w:rsidRDefault="00C60E28">
      <w:pPr>
        <w:pStyle w:val="FootnoteText"/>
      </w:pPr>
      <w:r>
        <w:rPr>
          <w:rStyle w:val="FootnoteReference"/>
        </w:rPr>
        <w:footnoteRef/>
      </w:r>
      <w:r>
        <w:t xml:space="preserve"> The Chronicle of “Benedict </w:t>
      </w:r>
      <w:proofErr w:type="gramStart"/>
      <w:r>
        <w:t>Of</w:t>
      </w:r>
      <w:proofErr w:type="gramEnd"/>
      <w:r>
        <w:t xml:space="preserve"> Peterborough”.</w:t>
      </w:r>
    </w:p>
  </w:footnote>
  <w:footnote w:id="44">
    <w:p w:rsidR="00C60E28" w:rsidRPr="00FB7802" w:rsidRDefault="00C60E28">
      <w:pPr>
        <w:pStyle w:val="FootnoteText"/>
      </w:pPr>
      <w:r>
        <w:rPr>
          <w:rStyle w:val="FootnoteReference"/>
        </w:rPr>
        <w:footnoteRef/>
      </w:r>
      <w:r>
        <w:t xml:space="preserve"> Duggan, </w:t>
      </w:r>
      <w:r>
        <w:rPr>
          <w:i/>
        </w:rPr>
        <w:t xml:space="preserve">Thomas Becket, </w:t>
      </w:r>
      <w:r>
        <w:t>p. 3.</w:t>
      </w:r>
    </w:p>
  </w:footnote>
  <w:footnote w:id="45">
    <w:p w:rsidR="00C60E28" w:rsidRPr="00EB3C99" w:rsidRDefault="00C60E28">
      <w:pPr>
        <w:pStyle w:val="FootnoteText"/>
      </w:pPr>
      <w:r>
        <w:rPr>
          <w:rStyle w:val="FootnoteReference"/>
        </w:rPr>
        <w:footnoteRef/>
      </w:r>
      <w:r>
        <w:t xml:space="preserve"> Edward Grim: The Murder </w:t>
      </w:r>
      <w:proofErr w:type="gramStart"/>
      <w:r>
        <w:t>Of</w:t>
      </w:r>
      <w:proofErr w:type="gramEnd"/>
      <w:r>
        <w:t xml:space="preserve"> Thomas Becket. </w:t>
      </w:r>
      <w:r>
        <w:rPr>
          <w:i/>
        </w:rPr>
        <w:t xml:space="preserve">Medieval Sourcebook </w:t>
      </w:r>
      <w:hyperlink r:id="rId5" w:history="1">
        <w:r w:rsidRPr="0038673A">
          <w:rPr>
            <w:rStyle w:val="Hyperlink"/>
          </w:rPr>
          <w:t>https://sourcebooks.fordham.edu/source/Grim-becket.asp</w:t>
        </w:r>
      </w:hyperlink>
      <w:r>
        <w:t xml:space="preserve"> [Accessed 7</w:t>
      </w:r>
      <w:r w:rsidRPr="00EB3C99">
        <w:rPr>
          <w:vertAlign w:val="superscript"/>
        </w:rPr>
        <w:t>th</w:t>
      </w:r>
      <w:r>
        <w:t xml:space="preserve"> April 2019].</w:t>
      </w:r>
    </w:p>
  </w:footnote>
  <w:footnote w:id="46">
    <w:p w:rsidR="00C60E28" w:rsidRDefault="00C60E28">
      <w:pPr>
        <w:pStyle w:val="FootnoteText"/>
      </w:pPr>
      <w:r>
        <w:rPr>
          <w:rStyle w:val="FootnoteReference"/>
        </w:rPr>
        <w:footnoteRef/>
      </w:r>
      <w:r>
        <w:t xml:space="preserve"> Edward Grim.</w:t>
      </w:r>
    </w:p>
  </w:footnote>
  <w:footnote w:id="47">
    <w:p w:rsidR="00C60E28" w:rsidRDefault="00C60E28">
      <w:pPr>
        <w:pStyle w:val="FootnoteText"/>
      </w:pPr>
      <w:r>
        <w:rPr>
          <w:rStyle w:val="FootnoteReference"/>
        </w:rPr>
        <w:footnoteRef/>
      </w:r>
      <w:r>
        <w:t xml:space="preserve"> Gervase Of Canterbury.</w:t>
      </w:r>
    </w:p>
  </w:footnote>
  <w:footnote w:id="48">
    <w:p w:rsidR="00C60E28" w:rsidRDefault="00C60E28">
      <w:pPr>
        <w:pStyle w:val="FootnoteText"/>
      </w:pPr>
      <w:r>
        <w:rPr>
          <w:rStyle w:val="FootnoteReference"/>
        </w:rPr>
        <w:footnoteRef/>
      </w:r>
      <w:r>
        <w:t xml:space="preserve"> The Chronicles of “Benedict </w:t>
      </w:r>
      <w:proofErr w:type="gramStart"/>
      <w:r>
        <w:t>Of</w:t>
      </w:r>
      <w:proofErr w:type="gramEnd"/>
      <w:r>
        <w:t xml:space="preserve"> Peterborough”.</w:t>
      </w:r>
    </w:p>
  </w:footnote>
  <w:footnote w:id="49">
    <w:p w:rsidR="00C60E28" w:rsidRDefault="00C60E28">
      <w:pPr>
        <w:pStyle w:val="FootnoteText"/>
      </w:pPr>
      <w:r>
        <w:rPr>
          <w:rStyle w:val="FootnoteReference"/>
        </w:rPr>
        <w:footnoteRef/>
      </w:r>
      <w:r>
        <w:t xml:space="preserve"> Edward Grim.</w:t>
      </w:r>
    </w:p>
  </w:footnote>
  <w:footnote w:id="50">
    <w:p w:rsidR="00C60E28" w:rsidRDefault="00C60E28">
      <w:pPr>
        <w:pStyle w:val="FootnoteText"/>
      </w:pPr>
      <w:r>
        <w:rPr>
          <w:rStyle w:val="FootnoteReference"/>
        </w:rPr>
        <w:footnoteRef/>
      </w:r>
      <w:r>
        <w:t xml:space="preserve"> Ibid.</w:t>
      </w:r>
    </w:p>
  </w:footnote>
  <w:footnote w:id="51">
    <w:p w:rsidR="00C60E28" w:rsidRPr="00A85BA2" w:rsidRDefault="00C60E28">
      <w:pPr>
        <w:pStyle w:val="FootnoteText"/>
      </w:pPr>
      <w:r>
        <w:rPr>
          <w:rStyle w:val="FootnoteReference"/>
        </w:rPr>
        <w:footnoteRef/>
      </w:r>
      <w:r>
        <w:t xml:space="preserve"> Duggan, </w:t>
      </w:r>
      <w:r>
        <w:rPr>
          <w:i/>
        </w:rPr>
        <w:t xml:space="preserve">Thomas Becket, </w:t>
      </w:r>
      <w:r>
        <w:t>p. 2.</w:t>
      </w:r>
    </w:p>
  </w:footnote>
  <w:footnote w:id="52">
    <w:p w:rsidR="00C60E28" w:rsidRDefault="00C60E28">
      <w:pPr>
        <w:pStyle w:val="FootnoteText"/>
      </w:pPr>
      <w:r>
        <w:rPr>
          <w:rStyle w:val="FootnoteReference"/>
        </w:rPr>
        <w:footnoteRef/>
      </w:r>
      <w:r>
        <w:t xml:space="preserve"> Ibid, pp. 2-3.</w:t>
      </w:r>
    </w:p>
  </w:footnote>
  <w:footnote w:id="53">
    <w:p w:rsidR="00C60E28" w:rsidRPr="00E06DD4" w:rsidRDefault="00C60E28">
      <w:pPr>
        <w:pStyle w:val="FootnoteText"/>
      </w:pPr>
      <w:r>
        <w:rPr>
          <w:rStyle w:val="FootnoteReference"/>
        </w:rPr>
        <w:footnoteRef/>
      </w:r>
      <w:r>
        <w:t xml:space="preserve"> Staunton, </w:t>
      </w:r>
      <w:r>
        <w:rPr>
          <w:i/>
        </w:rPr>
        <w:t xml:space="preserve">The Lives </w:t>
      </w:r>
      <w:proofErr w:type="gramStart"/>
      <w:r>
        <w:rPr>
          <w:i/>
        </w:rPr>
        <w:t>Of</w:t>
      </w:r>
      <w:proofErr w:type="gramEnd"/>
      <w:r>
        <w:rPr>
          <w:i/>
        </w:rPr>
        <w:t xml:space="preserve"> Thomas,</w:t>
      </w:r>
      <w:r>
        <w:t xml:space="preserve"> p. 205.</w:t>
      </w:r>
    </w:p>
  </w:footnote>
  <w:footnote w:id="54">
    <w:p w:rsidR="00C60E28" w:rsidRPr="001E0DC0" w:rsidRDefault="00C60E28">
      <w:pPr>
        <w:pStyle w:val="FootnoteText"/>
      </w:pPr>
      <w:r>
        <w:rPr>
          <w:rStyle w:val="FootnoteReference"/>
        </w:rPr>
        <w:footnoteRef/>
      </w:r>
      <w:r>
        <w:t xml:space="preserve"> Farmer, </w:t>
      </w:r>
      <w:r>
        <w:rPr>
          <w:i/>
        </w:rPr>
        <w:t xml:space="preserve">Oxford Dictionary Of, </w:t>
      </w:r>
      <w:r>
        <w:t>p. 420.</w:t>
      </w:r>
    </w:p>
  </w:footnote>
  <w:footnote w:id="55">
    <w:p w:rsidR="00C60E28" w:rsidRPr="00B37C8E" w:rsidRDefault="00C60E28">
      <w:pPr>
        <w:pStyle w:val="FootnoteText"/>
      </w:pPr>
      <w:r>
        <w:rPr>
          <w:rStyle w:val="FootnoteReference"/>
        </w:rPr>
        <w:footnoteRef/>
      </w:r>
      <w:r>
        <w:t xml:space="preserve"> Staunton, </w:t>
      </w:r>
      <w:r>
        <w:rPr>
          <w:i/>
        </w:rPr>
        <w:t xml:space="preserve">The Lives </w:t>
      </w:r>
      <w:proofErr w:type="gramStart"/>
      <w:r>
        <w:rPr>
          <w:i/>
        </w:rPr>
        <w:t>Of</w:t>
      </w:r>
      <w:proofErr w:type="gramEnd"/>
      <w:r>
        <w:rPr>
          <w:i/>
        </w:rPr>
        <w:t xml:space="preserve"> Thomas, </w:t>
      </w:r>
      <w:r>
        <w:t>pp. 205-206.</w:t>
      </w:r>
    </w:p>
  </w:footnote>
  <w:footnote w:id="56">
    <w:p w:rsidR="00C60E28" w:rsidRDefault="00C60E28">
      <w:pPr>
        <w:pStyle w:val="FootnoteText"/>
      </w:pPr>
      <w:r>
        <w:rPr>
          <w:rStyle w:val="FootnoteReference"/>
        </w:rPr>
        <w:footnoteRef/>
      </w:r>
      <w:r>
        <w:t xml:space="preserve"> Ibid.</w:t>
      </w:r>
    </w:p>
  </w:footnote>
  <w:footnote w:id="57">
    <w:p w:rsidR="001B609C" w:rsidRDefault="001B609C">
      <w:pPr>
        <w:pStyle w:val="FootnoteText"/>
      </w:pPr>
      <w:r>
        <w:rPr>
          <w:rStyle w:val="FootnoteReference"/>
        </w:rPr>
        <w:footnoteRef/>
      </w:r>
      <w:r>
        <w:t xml:space="preserve"> Ibid, p. 208.</w:t>
      </w:r>
    </w:p>
  </w:footnote>
  <w:footnote w:id="58">
    <w:p w:rsidR="001B609C" w:rsidRDefault="001B609C">
      <w:pPr>
        <w:pStyle w:val="FootnoteText"/>
      </w:pPr>
      <w:r>
        <w:rPr>
          <w:rStyle w:val="FootnoteReference"/>
        </w:rPr>
        <w:footnoteRef/>
      </w:r>
      <w:r>
        <w:t xml:space="preserve"> Ibid, p. 206.</w:t>
      </w:r>
    </w:p>
  </w:footnote>
  <w:footnote w:id="59">
    <w:p w:rsidR="00393EE6" w:rsidRDefault="00393EE6">
      <w:pPr>
        <w:pStyle w:val="FootnoteText"/>
      </w:pPr>
      <w:r>
        <w:rPr>
          <w:rStyle w:val="FootnoteReference"/>
        </w:rPr>
        <w:footnoteRef/>
      </w:r>
      <w:r>
        <w:t xml:space="preserve"> Robert E. Scully, ‘The Unmaking Of’, p. 583.</w:t>
      </w:r>
    </w:p>
  </w:footnote>
  <w:footnote w:id="60">
    <w:p w:rsidR="00393EE6" w:rsidRDefault="00393EE6">
      <w:pPr>
        <w:pStyle w:val="FootnoteText"/>
      </w:pPr>
      <w:r>
        <w:rPr>
          <w:rStyle w:val="FootnoteReference"/>
        </w:rPr>
        <w:footnoteRef/>
      </w:r>
      <w:r>
        <w:t xml:space="preserve"> Ibid.</w:t>
      </w:r>
    </w:p>
  </w:footnote>
  <w:footnote w:id="61">
    <w:p w:rsidR="00393EE6" w:rsidRDefault="00393EE6">
      <w:pPr>
        <w:pStyle w:val="FootnoteText"/>
      </w:pPr>
      <w:r>
        <w:rPr>
          <w:rStyle w:val="FootnoteReference"/>
        </w:rPr>
        <w:footnoteRef/>
      </w:r>
      <w:r>
        <w:t xml:space="preserve"> Ibid, p. 584.</w:t>
      </w:r>
    </w:p>
  </w:footnote>
  <w:footnote w:id="62">
    <w:p w:rsidR="001B609C" w:rsidRPr="001B609C" w:rsidRDefault="001B609C">
      <w:pPr>
        <w:pStyle w:val="FootnoteText"/>
      </w:pPr>
      <w:r>
        <w:rPr>
          <w:rStyle w:val="FootnoteReference"/>
        </w:rPr>
        <w:footnoteRef/>
      </w:r>
      <w:r>
        <w:t xml:space="preserve"> Duggan, </w:t>
      </w:r>
      <w:r>
        <w:rPr>
          <w:i/>
        </w:rPr>
        <w:t xml:space="preserve">Thomas Becket, </w:t>
      </w:r>
      <w:r>
        <w:t>p. 254.</w:t>
      </w:r>
    </w:p>
  </w:footnote>
  <w:footnote w:id="63">
    <w:p w:rsidR="00F94219" w:rsidRDefault="00F94219">
      <w:pPr>
        <w:pStyle w:val="FootnoteText"/>
      </w:pPr>
      <w:r>
        <w:rPr>
          <w:rStyle w:val="FootnoteReference"/>
        </w:rPr>
        <w:footnoteRef/>
      </w:r>
      <w:r>
        <w:t xml:space="preserve"> Robert E. Scully, ‘The Unmaking Of’, p. 592.</w:t>
      </w:r>
    </w:p>
  </w:footnote>
  <w:footnote w:id="64">
    <w:p w:rsidR="00F94219" w:rsidRDefault="00F94219">
      <w:pPr>
        <w:pStyle w:val="FootnoteText"/>
      </w:pPr>
      <w:r>
        <w:rPr>
          <w:rStyle w:val="FootnoteReference"/>
        </w:rPr>
        <w:footnoteRef/>
      </w:r>
      <w:r>
        <w:t xml:space="preserve"> Ibid, p. 595.</w:t>
      </w:r>
    </w:p>
  </w:footnote>
  <w:footnote w:id="65">
    <w:p w:rsidR="00F94219" w:rsidRDefault="00F94219">
      <w:pPr>
        <w:pStyle w:val="FootnoteText"/>
      </w:pPr>
      <w:r>
        <w:rPr>
          <w:rStyle w:val="FootnoteReference"/>
        </w:rPr>
        <w:footnoteRef/>
      </w:r>
      <w:r>
        <w:t xml:space="preserve"> Ibid, p. 596.</w:t>
      </w:r>
    </w:p>
  </w:footnote>
  <w:footnote w:id="66">
    <w:p w:rsidR="00F94219" w:rsidRDefault="00F94219">
      <w:pPr>
        <w:pStyle w:val="FootnoteText"/>
      </w:pPr>
      <w:r>
        <w:rPr>
          <w:rStyle w:val="FootnoteReference"/>
        </w:rPr>
        <w:footnoteRef/>
      </w:r>
      <w:r>
        <w:t xml:space="preserve"> Ibid, p. 598.</w:t>
      </w:r>
    </w:p>
  </w:footnote>
  <w:footnote w:id="67">
    <w:p w:rsidR="00CB3F79" w:rsidRPr="00CB3F79" w:rsidRDefault="00CB3F79">
      <w:pPr>
        <w:pStyle w:val="FootnoteText"/>
      </w:pPr>
      <w:r>
        <w:rPr>
          <w:rStyle w:val="FootnoteReference"/>
        </w:rPr>
        <w:footnoteRef/>
      </w:r>
      <w:r>
        <w:t xml:space="preserve"> Candace Lines, ‘Secret Violence: Becket, More, And </w:t>
      </w:r>
      <w:proofErr w:type="gramStart"/>
      <w:r>
        <w:t>The</w:t>
      </w:r>
      <w:proofErr w:type="gramEnd"/>
      <w:r>
        <w:t xml:space="preserve"> Scripting Of Martyrdom’, </w:t>
      </w:r>
      <w:r>
        <w:rPr>
          <w:i/>
        </w:rPr>
        <w:t xml:space="preserve">Religion &amp; Literature, </w:t>
      </w:r>
      <w:r>
        <w:t>32(2) (2000), 11-28 (p. 11).</w:t>
      </w:r>
    </w:p>
  </w:footnote>
  <w:footnote w:id="68">
    <w:p w:rsidR="00CB3F79" w:rsidRDefault="00CB3F79">
      <w:pPr>
        <w:pStyle w:val="FootnoteText"/>
      </w:pPr>
      <w:r>
        <w:rPr>
          <w:rStyle w:val="FootnoteReference"/>
        </w:rPr>
        <w:footnoteRef/>
      </w:r>
      <w:r>
        <w:t xml:space="preserve"> </w:t>
      </w:r>
      <w:r w:rsidR="00FC37D2">
        <w:t>Candace Lines, ‘Secret Violence: Becket’, p. 11.</w:t>
      </w:r>
    </w:p>
  </w:footnote>
  <w:footnote w:id="69">
    <w:p w:rsidR="00FC37D2" w:rsidRDefault="00FC37D2">
      <w:pPr>
        <w:pStyle w:val="FootnoteText"/>
      </w:pPr>
      <w:r>
        <w:rPr>
          <w:rStyle w:val="FootnoteReference"/>
        </w:rPr>
        <w:footnoteRef/>
      </w:r>
      <w:r>
        <w:t xml:space="preserve"> Ibid, p. 12.</w:t>
      </w:r>
    </w:p>
  </w:footnote>
  <w:footnote w:id="70">
    <w:p w:rsidR="00FC37D2" w:rsidRDefault="00FC37D2">
      <w:pPr>
        <w:pStyle w:val="FootnoteText"/>
      </w:pPr>
      <w:r>
        <w:rPr>
          <w:rStyle w:val="FootnoteReference"/>
        </w:rPr>
        <w:footnoteRef/>
      </w:r>
      <w:r>
        <w:t xml:space="preserve"> Ibid.</w:t>
      </w:r>
    </w:p>
  </w:footnote>
  <w:footnote w:id="71">
    <w:p w:rsidR="002F3219" w:rsidRPr="002F3219" w:rsidRDefault="002F3219">
      <w:pPr>
        <w:pStyle w:val="FootnoteText"/>
      </w:pPr>
      <w:r>
        <w:rPr>
          <w:rStyle w:val="FootnoteReference"/>
        </w:rPr>
        <w:footnoteRef/>
      </w:r>
      <w:r>
        <w:t xml:space="preserve"> Clark Maine’s, ‘A Figure </w:t>
      </w:r>
      <w:proofErr w:type="gramStart"/>
      <w:r>
        <w:t>Of</w:t>
      </w:r>
      <w:proofErr w:type="gramEnd"/>
      <w:r>
        <w:t xml:space="preserve"> St. Thomas Becket at Chartres’, </w:t>
      </w:r>
      <w:proofErr w:type="spellStart"/>
      <w:r>
        <w:rPr>
          <w:i/>
        </w:rPr>
        <w:t>Zeitschrift</w:t>
      </w:r>
      <w:proofErr w:type="spellEnd"/>
      <w:r>
        <w:rPr>
          <w:i/>
        </w:rPr>
        <w:t xml:space="preserve"> Fur </w:t>
      </w:r>
      <w:proofErr w:type="spellStart"/>
      <w:r>
        <w:rPr>
          <w:i/>
        </w:rPr>
        <w:t>Kunstgeschichte</w:t>
      </w:r>
      <w:proofErr w:type="spellEnd"/>
      <w:r>
        <w:rPr>
          <w:i/>
        </w:rPr>
        <w:t xml:space="preserve">, </w:t>
      </w:r>
      <w:r>
        <w:t>36 (1973), 163-173 (p. 170).</w:t>
      </w:r>
    </w:p>
  </w:footnote>
  <w:footnote w:id="72">
    <w:p w:rsidR="002F3219" w:rsidRDefault="002F3219">
      <w:pPr>
        <w:pStyle w:val="FootnoteText"/>
      </w:pPr>
      <w:r>
        <w:rPr>
          <w:rStyle w:val="FootnoteReference"/>
        </w:rPr>
        <w:footnoteRef/>
      </w:r>
      <w:r>
        <w:t xml:space="preserve"> Clark Maine’s, ‘A Figure </w:t>
      </w:r>
      <w:proofErr w:type="gramStart"/>
      <w:r>
        <w:t>Of</w:t>
      </w:r>
      <w:proofErr w:type="gramEnd"/>
      <w:r>
        <w:t xml:space="preserve"> St’, p. 170.</w:t>
      </w:r>
    </w:p>
  </w:footnote>
  <w:footnote w:id="73">
    <w:p w:rsidR="00AB5F3B" w:rsidRDefault="00AB5F3B">
      <w:pPr>
        <w:pStyle w:val="FootnoteText"/>
      </w:pPr>
      <w:r>
        <w:rPr>
          <w:rStyle w:val="FootnoteReference"/>
        </w:rPr>
        <w:footnoteRef/>
      </w:r>
      <w:r>
        <w:t xml:space="preserve"> Ibid, p.  171.</w:t>
      </w:r>
    </w:p>
  </w:footnote>
  <w:footnote w:id="74">
    <w:p w:rsidR="0035285B" w:rsidRDefault="0035285B">
      <w:pPr>
        <w:pStyle w:val="FootnoteText"/>
      </w:pPr>
      <w:r>
        <w:rPr>
          <w:rStyle w:val="FootnoteReference"/>
        </w:rPr>
        <w:footnoteRef/>
      </w:r>
      <w:r>
        <w:t xml:space="preserve"> Candace Lines, ‘Secret Violence: Becket’, p. 11.</w:t>
      </w:r>
    </w:p>
  </w:footnote>
  <w:footnote w:id="75">
    <w:p w:rsidR="0035285B" w:rsidRDefault="0035285B">
      <w:pPr>
        <w:pStyle w:val="FootnoteText"/>
      </w:pPr>
      <w:r>
        <w:rPr>
          <w:rStyle w:val="FootnoteReference"/>
        </w:rPr>
        <w:footnoteRef/>
      </w:r>
      <w:r>
        <w:t xml:space="preserve"> Robert E. Scully, ‘The Unmaking Of’, p. 581.</w:t>
      </w:r>
    </w:p>
  </w:footnote>
  <w:footnote w:id="76">
    <w:p w:rsidR="0035285B" w:rsidRPr="0035285B" w:rsidRDefault="0035285B">
      <w:pPr>
        <w:pStyle w:val="FootnoteText"/>
      </w:pPr>
      <w:r>
        <w:rPr>
          <w:rStyle w:val="FootnoteReference"/>
        </w:rPr>
        <w:footnoteRef/>
      </w:r>
      <w:r>
        <w:t xml:space="preserve"> Duggan, </w:t>
      </w:r>
      <w:r>
        <w:rPr>
          <w:i/>
        </w:rPr>
        <w:t xml:space="preserve">Thomas Becket, </w:t>
      </w:r>
      <w:r>
        <w:t>p. 6.</w:t>
      </w:r>
    </w:p>
  </w:footnote>
  <w:footnote w:id="77">
    <w:p w:rsidR="00197A66" w:rsidRPr="00197A66" w:rsidRDefault="00197A66">
      <w:pPr>
        <w:pStyle w:val="FootnoteText"/>
      </w:pPr>
      <w:r>
        <w:rPr>
          <w:rStyle w:val="FootnoteReference"/>
        </w:rPr>
        <w:footnoteRef/>
      </w:r>
      <w:r>
        <w:t xml:space="preserve"> Roger </w:t>
      </w:r>
      <w:proofErr w:type="gramStart"/>
      <w:r>
        <w:t>Of</w:t>
      </w:r>
      <w:proofErr w:type="gramEnd"/>
      <w:r>
        <w:t xml:space="preserve"> </w:t>
      </w:r>
      <w:proofErr w:type="spellStart"/>
      <w:r>
        <w:t>Hoveden</w:t>
      </w:r>
      <w:proofErr w:type="spellEnd"/>
      <w:r>
        <w:t xml:space="preserve">: The Chronicle. </w:t>
      </w:r>
      <w:r>
        <w:rPr>
          <w:i/>
        </w:rPr>
        <w:t xml:space="preserve">Medieval Sourcebook </w:t>
      </w:r>
      <w:hyperlink r:id="rId6" w:history="1">
        <w:r w:rsidRPr="0038673A">
          <w:rPr>
            <w:rStyle w:val="Hyperlink"/>
          </w:rPr>
          <w:t>https://sourcebooks.fordham.edu/source/hoveden-becket.asp#1166d</w:t>
        </w:r>
      </w:hyperlink>
      <w:r>
        <w:t xml:space="preserve"> [Accessed 7</w:t>
      </w:r>
      <w:r w:rsidRPr="00197A66">
        <w:rPr>
          <w:vertAlign w:val="superscript"/>
        </w:rPr>
        <w:t>th</w:t>
      </w:r>
      <w:r>
        <w:t xml:space="preserve"> April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C85EAB"/>
    <w:multiLevelType w:val="hybridMultilevel"/>
    <w:tmpl w:val="EA9ABB84"/>
    <w:lvl w:ilvl="0" w:tplc="0632172A">
      <w:start w:val="16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5BD"/>
    <w:rsid w:val="00024256"/>
    <w:rsid w:val="00036A25"/>
    <w:rsid w:val="00052182"/>
    <w:rsid w:val="00055377"/>
    <w:rsid w:val="0007409F"/>
    <w:rsid w:val="000759AA"/>
    <w:rsid w:val="00084787"/>
    <w:rsid w:val="00097AC4"/>
    <w:rsid w:val="000D69FE"/>
    <w:rsid w:val="000E1487"/>
    <w:rsid w:val="0018154C"/>
    <w:rsid w:val="00193C02"/>
    <w:rsid w:val="00194548"/>
    <w:rsid w:val="00197A66"/>
    <w:rsid w:val="001A29B6"/>
    <w:rsid w:val="001B609C"/>
    <w:rsid w:val="001B67C4"/>
    <w:rsid w:val="001D41CC"/>
    <w:rsid w:val="001E0DC0"/>
    <w:rsid w:val="001E1CF4"/>
    <w:rsid w:val="002015F8"/>
    <w:rsid w:val="00240384"/>
    <w:rsid w:val="002855DA"/>
    <w:rsid w:val="002A2AB0"/>
    <w:rsid w:val="002B06C1"/>
    <w:rsid w:val="002B2A90"/>
    <w:rsid w:val="002D4B46"/>
    <w:rsid w:val="002E35CC"/>
    <w:rsid w:val="002F3219"/>
    <w:rsid w:val="0035285B"/>
    <w:rsid w:val="00393EE6"/>
    <w:rsid w:val="003B5256"/>
    <w:rsid w:val="003E0D15"/>
    <w:rsid w:val="0043276C"/>
    <w:rsid w:val="00486CFC"/>
    <w:rsid w:val="00491CE2"/>
    <w:rsid w:val="004B5317"/>
    <w:rsid w:val="004F21AF"/>
    <w:rsid w:val="005455BD"/>
    <w:rsid w:val="005757ED"/>
    <w:rsid w:val="00577B8C"/>
    <w:rsid w:val="0058128F"/>
    <w:rsid w:val="005848B8"/>
    <w:rsid w:val="0058602C"/>
    <w:rsid w:val="005A298A"/>
    <w:rsid w:val="005D27B6"/>
    <w:rsid w:val="005D5F13"/>
    <w:rsid w:val="00637AC2"/>
    <w:rsid w:val="00666C69"/>
    <w:rsid w:val="00682016"/>
    <w:rsid w:val="006854CF"/>
    <w:rsid w:val="00695732"/>
    <w:rsid w:val="006A2E68"/>
    <w:rsid w:val="006B7F79"/>
    <w:rsid w:val="00701AA2"/>
    <w:rsid w:val="00720263"/>
    <w:rsid w:val="00745799"/>
    <w:rsid w:val="0074766C"/>
    <w:rsid w:val="007A6D8C"/>
    <w:rsid w:val="008032A2"/>
    <w:rsid w:val="00834154"/>
    <w:rsid w:val="00843A48"/>
    <w:rsid w:val="00886D4F"/>
    <w:rsid w:val="008A100D"/>
    <w:rsid w:val="008E016B"/>
    <w:rsid w:val="0091010B"/>
    <w:rsid w:val="0096151D"/>
    <w:rsid w:val="009A61C0"/>
    <w:rsid w:val="009D37DE"/>
    <w:rsid w:val="00A008EE"/>
    <w:rsid w:val="00A515DD"/>
    <w:rsid w:val="00A77F6D"/>
    <w:rsid w:val="00A85BA2"/>
    <w:rsid w:val="00AB5F3B"/>
    <w:rsid w:val="00AD6221"/>
    <w:rsid w:val="00B123B1"/>
    <w:rsid w:val="00B158D4"/>
    <w:rsid w:val="00B173DF"/>
    <w:rsid w:val="00B37C8E"/>
    <w:rsid w:val="00B506C6"/>
    <w:rsid w:val="00B92F14"/>
    <w:rsid w:val="00BA0788"/>
    <w:rsid w:val="00BB5408"/>
    <w:rsid w:val="00C2020A"/>
    <w:rsid w:val="00C23864"/>
    <w:rsid w:val="00C60E28"/>
    <w:rsid w:val="00C74F8C"/>
    <w:rsid w:val="00C84A6D"/>
    <w:rsid w:val="00C96085"/>
    <w:rsid w:val="00CA0543"/>
    <w:rsid w:val="00CA5F0F"/>
    <w:rsid w:val="00CB3F79"/>
    <w:rsid w:val="00CF7B40"/>
    <w:rsid w:val="00D2056A"/>
    <w:rsid w:val="00D875ED"/>
    <w:rsid w:val="00DA29AF"/>
    <w:rsid w:val="00DC54E0"/>
    <w:rsid w:val="00DE7940"/>
    <w:rsid w:val="00E06DD4"/>
    <w:rsid w:val="00E64BBA"/>
    <w:rsid w:val="00EB3C99"/>
    <w:rsid w:val="00F159C0"/>
    <w:rsid w:val="00F50981"/>
    <w:rsid w:val="00F821E9"/>
    <w:rsid w:val="00F94219"/>
    <w:rsid w:val="00FB7802"/>
    <w:rsid w:val="00FC37D2"/>
    <w:rsid w:val="00FF0FF1"/>
    <w:rsid w:val="00FF1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AB997C"/>
  <w15:chartTrackingRefBased/>
  <w15:docId w15:val="{93050FE0-5886-46F8-8E85-BAA8080CB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A5F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5F0F"/>
    <w:rPr>
      <w:sz w:val="20"/>
      <w:szCs w:val="20"/>
    </w:rPr>
  </w:style>
  <w:style w:type="character" w:styleId="FootnoteReference">
    <w:name w:val="footnote reference"/>
    <w:basedOn w:val="DefaultParagraphFont"/>
    <w:uiPriority w:val="99"/>
    <w:semiHidden/>
    <w:unhideWhenUsed/>
    <w:rsid w:val="00CA5F0F"/>
    <w:rPr>
      <w:vertAlign w:val="superscript"/>
    </w:rPr>
  </w:style>
  <w:style w:type="character" w:styleId="Hyperlink">
    <w:name w:val="Hyperlink"/>
    <w:basedOn w:val="DefaultParagraphFont"/>
    <w:uiPriority w:val="99"/>
    <w:unhideWhenUsed/>
    <w:rsid w:val="005D27B6"/>
    <w:rPr>
      <w:color w:val="0563C1" w:themeColor="hyperlink"/>
      <w:u w:val="single"/>
    </w:rPr>
  </w:style>
  <w:style w:type="character" w:styleId="UnresolvedMention">
    <w:name w:val="Unresolved Mention"/>
    <w:basedOn w:val="DefaultParagraphFont"/>
    <w:uiPriority w:val="99"/>
    <w:semiHidden/>
    <w:unhideWhenUsed/>
    <w:rsid w:val="005D27B6"/>
    <w:rPr>
      <w:color w:val="605E5C"/>
      <w:shd w:val="clear" w:color="auto" w:fill="E1DFDD"/>
    </w:rPr>
  </w:style>
  <w:style w:type="paragraph" w:styleId="ListParagraph">
    <w:name w:val="List Paragraph"/>
    <w:basedOn w:val="Normal"/>
    <w:uiPriority w:val="34"/>
    <w:qFormat/>
    <w:rsid w:val="00C202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urcebooks.fordham.edu/source/Grim-becket.as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ourcebooks.fordham.edu/source/1170benedict-becket.as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ourcebooks.fordham.edu/source/williamnewburgh-becket1.asp" TargetMode="External"/><Relationship Id="rId5" Type="http://schemas.openxmlformats.org/officeDocument/2006/relationships/footnotes" Target="footnotes.xml"/><Relationship Id="rId10" Type="http://schemas.openxmlformats.org/officeDocument/2006/relationships/hyperlink" Target="https://sourcebooks.fordham.edu/source/hoveden-becket.asp#1166d" TargetMode="External"/><Relationship Id="rId4" Type="http://schemas.openxmlformats.org/officeDocument/2006/relationships/webSettings" Target="webSettings.xml"/><Relationship Id="rId9" Type="http://schemas.openxmlformats.org/officeDocument/2006/relationships/hyperlink" Target="https://sourcebooks.fordham.edu/source/1205gervase2.asp"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sourcebooks.fordham.edu/source/williamnewburgh-becket1.asp" TargetMode="External"/><Relationship Id="rId2" Type="http://schemas.openxmlformats.org/officeDocument/2006/relationships/hyperlink" Target="https://sourcebooks.fordham.edu/source/1170benedict-becket.asp" TargetMode="External"/><Relationship Id="rId1" Type="http://schemas.openxmlformats.org/officeDocument/2006/relationships/hyperlink" Target="https://sourcebooks.fordham.edu/source/hoveden-becket.asp#1166d" TargetMode="External"/><Relationship Id="rId6" Type="http://schemas.openxmlformats.org/officeDocument/2006/relationships/hyperlink" Target="https://sourcebooks.fordham.edu/source/hoveden-becket.asp#1166d" TargetMode="External"/><Relationship Id="rId5" Type="http://schemas.openxmlformats.org/officeDocument/2006/relationships/hyperlink" Target="https://sourcebooks.fordham.edu/source/Grim-becket.asp" TargetMode="External"/><Relationship Id="rId4" Type="http://schemas.openxmlformats.org/officeDocument/2006/relationships/hyperlink" Target="https://sourcebooks.fordham.edu/source/1205gervase2.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749</TotalTime>
  <Pages>10</Pages>
  <Words>4173</Words>
  <Characters>23791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2019-04-13T10:27:00Z</dcterms:created>
  <dcterms:modified xsi:type="dcterms:W3CDTF">2019-04-14T22:53:00Z</dcterms:modified>
</cp:coreProperties>
</file>