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571E6BAE" w:rsidR="00986B43" w:rsidRPr="00AD5652" w:rsidRDefault="00986B43" w:rsidP="005D3F07">
            <w:pPr>
              <w:overflowPunct/>
              <w:autoSpaceDE/>
              <w:autoSpaceDN/>
              <w:adjustRightInd/>
              <w:ind w:right="-957"/>
              <w:textAlignment w:val="auto"/>
              <w:rPr>
                <w:rFonts w:ascii="Times New Roman" w:hAnsi="Times New Roman" w:cs="Times New Roman"/>
                <w:bCs/>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AD5652">
              <w:rPr>
                <w:rFonts w:ascii="Times New Roman" w:hAnsi="Times New Roman" w:cs="Times New Roman"/>
                <w:bCs/>
                <w:color w:val="auto"/>
                <w:sz w:val="48"/>
              </w:rPr>
              <w:t>Sandra John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A2A0C6F" w:rsidR="009C337F" w:rsidRPr="00AD5652" w:rsidRDefault="009C337F" w:rsidP="005D3F07">
            <w:pPr>
              <w:overflowPunct/>
              <w:autoSpaceDE/>
              <w:autoSpaceDN/>
              <w:adjustRightInd/>
              <w:ind w:right="-957"/>
              <w:textAlignment w:val="auto"/>
              <w:rPr>
                <w:rFonts w:ascii="Times New Roman" w:hAnsi="Times New Roman" w:cs="Times New Roman"/>
                <w:bCs/>
                <w:color w:val="auto"/>
                <w:sz w:val="48"/>
              </w:rPr>
            </w:pPr>
            <w:r>
              <w:rPr>
                <w:rFonts w:ascii="Times New Roman" w:hAnsi="Times New Roman" w:cs="Times New Roman"/>
                <w:b/>
                <w:color w:val="auto"/>
                <w:sz w:val="48"/>
              </w:rPr>
              <w:t>Email address:</w:t>
            </w:r>
            <w:r w:rsidR="00AD5652">
              <w:rPr>
                <w:rFonts w:ascii="Times New Roman" w:hAnsi="Times New Roman" w:cs="Times New Roman"/>
                <w:bCs/>
                <w:color w:val="auto"/>
                <w:sz w:val="48"/>
              </w:rPr>
              <w:t xml:space="preserve"> </w:t>
            </w:r>
            <w:hyperlink r:id="rId11" w:history="1">
              <w:r w:rsidR="00AD5652" w:rsidRPr="003E40DD">
                <w:rPr>
                  <w:rStyle w:val="Hyperlink"/>
                  <w:rFonts w:ascii="Times New Roman" w:hAnsi="Times New Roman" w:cs="Times New Roman"/>
                  <w:bCs/>
                  <w:sz w:val="48"/>
                </w:rPr>
                <w:t>sandz_d_j@hotmail.com</w:t>
              </w:r>
            </w:hyperlink>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0E0BE10E" w:rsidR="0085230E" w:rsidRPr="00AD5652" w:rsidRDefault="00AD5652" w:rsidP="005D3F07">
            <w:pPr>
              <w:overflowPunct/>
              <w:autoSpaceDE/>
              <w:autoSpaceDN/>
              <w:adjustRightInd/>
              <w:ind w:right="-957"/>
              <w:textAlignment w:val="auto"/>
              <w:rPr>
                <w:rFonts w:ascii="Times New Roman" w:hAnsi="Times New Roman" w:cs="Times New Roman"/>
                <w:bCs/>
                <w:color w:val="auto"/>
                <w:sz w:val="48"/>
              </w:rPr>
            </w:pPr>
            <w:r>
              <w:rPr>
                <w:rFonts w:ascii="Times New Roman" w:hAnsi="Times New Roman" w:cs="Times New Roman"/>
                <w:bCs/>
                <w:color w:val="auto"/>
                <w:sz w:val="48"/>
              </w:rPr>
              <w:t>1402247</w:t>
            </w: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r w:rsidR="00AD5652" w:rsidRPr="005D3F07" w14:paraId="630F2C05" w14:textId="77777777" w:rsidTr="005D3F07">
        <w:tc>
          <w:tcPr>
            <w:tcW w:w="10368" w:type="dxa"/>
            <w:shd w:val="clear" w:color="auto" w:fill="auto"/>
          </w:tcPr>
          <w:p w14:paraId="6A87492D" w14:textId="77777777" w:rsidR="00AD5652" w:rsidRDefault="00AD5652" w:rsidP="005D3F07">
            <w:pPr>
              <w:overflowPunct/>
              <w:autoSpaceDE/>
              <w:autoSpaceDN/>
              <w:adjustRightInd/>
              <w:ind w:right="-957"/>
              <w:textAlignment w:val="auto"/>
              <w:rPr>
                <w:rFonts w:ascii="Times New Roman" w:hAnsi="Times New Roman" w:cs="Times New Roman"/>
                <w:b/>
                <w:color w:val="auto"/>
                <w:sz w:val="48"/>
              </w:rPr>
            </w:pP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78C58609" w14:textId="77777777" w:rsidR="00AD5652" w:rsidRDefault="00AD5652" w:rsidP="00AD5652">
            <w:pPr>
              <w:spacing w:line="480" w:lineRule="auto"/>
              <w:rPr>
                <w:rFonts w:ascii="Times New Roman" w:hAnsi="Times New Roman" w:cs="Times New Roman"/>
                <w:sz w:val="24"/>
                <w:szCs w:val="24"/>
              </w:rPr>
            </w:pPr>
            <w:r w:rsidRPr="00AD5652">
              <w:rPr>
                <w:rFonts w:ascii="Times New Roman" w:hAnsi="Times New Roman" w:cs="Times New Roman"/>
                <w:sz w:val="24"/>
                <w:szCs w:val="24"/>
              </w:rPr>
              <w:t xml:space="preserve">Health and Social Care is a devolved matter for Wales, where decisions are made by the Welsh Government (Welsh Government, 2021).  The Social Services and Well being Wales Act 2014, states that is ‘everyone’s business’ to safeguard children from harm.  The SSWBW Act 2014 and Children Act 1989, also refer to a child as being a person under 18 years of age.  The implementation of the Social Services and Well-being Wales Act, 2014 (SSWBW Act 2014), in April of 2016, repealed many elements of the Children’s Act 1989 in Wales (Brammer, 2020; Welsh Government, 2021).  However, child protection process is governed by s47 of the Children Act 1989 (Frost, 2021; Hobart and Frankel, 2009; Welsh Government, 2021).  </w:t>
            </w:r>
          </w:p>
          <w:p w14:paraId="56D2F903" w14:textId="77777777" w:rsidR="009A5198" w:rsidRPr="00AD5652" w:rsidRDefault="009A5198" w:rsidP="00AD5652">
            <w:pPr>
              <w:spacing w:line="480" w:lineRule="auto"/>
              <w:rPr>
                <w:rFonts w:ascii="Times New Roman" w:hAnsi="Times New Roman" w:cs="Times New Roman"/>
                <w:sz w:val="24"/>
                <w:szCs w:val="24"/>
              </w:rPr>
            </w:pPr>
          </w:p>
          <w:p w14:paraId="4CB41110" w14:textId="77777777" w:rsidR="00AD5652" w:rsidRPr="00AD5652" w:rsidRDefault="00AD5652" w:rsidP="00AD5652">
            <w:pPr>
              <w:spacing w:line="480" w:lineRule="auto"/>
              <w:rPr>
                <w:rFonts w:ascii="Times New Roman" w:hAnsi="Times New Roman" w:cs="Times New Roman"/>
                <w:sz w:val="24"/>
                <w:szCs w:val="24"/>
              </w:rPr>
            </w:pPr>
            <w:r w:rsidRPr="00AD5652">
              <w:rPr>
                <w:rFonts w:ascii="Times New Roman" w:hAnsi="Times New Roman" w:cs="Times New Roman"/>
                <w:sz w:val="24"/>
                <w:szCs w:val="24"/>
              </w:rPr>
              <w:t xml:space="preserve">In order to initiate child protection procedures, it is important to understand that abuse can be seen in different forms (Hobart and Frankel, 2009; Frost, 2021).  Abuse can be physical, sexual, neglect, emotional, and financial, all are very distressing to children (Frost, 2021; Hobart and Frankel, 2009; Local Authority, 2024).  </w:t>
            </w:r>
          </w:p>
          <w:p w14:paraId="32FF6E27" w14:textId="77777777" w:rsidR="00AD5652" w:rsidRDefault="00AD5652" w:rsidP="00AD5652">
            <w:pPr>
              <w:spacing w:line="480" w:lineRule="auto"/>
              <w:rPr>
                <w:rFonts w:ascii="Times New Roman" w:hAnsi="Times New Roman" w:cs="Times New Roman"/>
                <w:sz w:val="24"/>
                <w:szCs w:val="24"/>
              </w:rPr>
            </w:pPr>
            <w:r w:rsidRPr="00AD5652">
              <w:rPr>
                <w:rFonts w:ascii="Times New Roman" w:hAnsi="Times New Roman" w:cs="Times New Roman"/>
                <w:sz w:val="24"/>
                <w:szCs w:val="24"/>
              </w:rPr>
              <w:lastRenderedPageBreak/>
              <w:t>Child protection legislation in Wales can be considered as complex and interweaving with the SSWBW Act 2014, particularly when considering the assessment of children (Clements, 2018).  SSWBW Act 2014 places a duty to assess and meet the needs of that assessment.  However, when initiating child protection procedures, practitioners have a duty to asses under s47 of the Children Act 1989 proceedings, when they find a child is at risk of harm (Welsh Government, 2023).  In comparing assessment of a child under part 3 of the SSWBW Act 2014 to s47 proceedings, it is important to point out that a parent/caregiver can refuse an assessment under SSWBW Act 2014.  However, s47 of the Children Act 1989 enforces the assessment (Brammer, 2020).</w:t>
            </w:r>
          </w:p>
          <w:p w14:paraId="1D62D227" w14:textId="77777777" w:rsidR="009A5198" w:rsidRPr="00AD5652" w:rsidRDefault="009A5198" w:rsidP="00AD5652">
            <w:pPr>
              <w:spacing w:line="480" w:lineRule="auto"/>
              <w:rPr>
                <w:rFonts w:ascii="Times New Roman" w:hAnsi="Times New Roman" w:cs="Times New Roman"/>
                <w:sz w:val="24"/>
                <w:szCs w:val="24"/>
              </w:rPr>
            </w:pPr>
          </w:p>
          <w:p w14:paraId="0C3191C2" w14:textId="77777777" w:rsidR="00AD5652" w:rsidRDefault="00AD5652" w:rsidP="00AD5652">
            <w:pPr>
              <w:spacing w:line="480" w:lineRule="auto"/>
              <w:rPr>
                <w:rFonts w:ascii="Times New Roman" w:hAnsi="Times New Roman" w:cs="Times New Roman"/>
                <w:sz w:val="24"/>
                <w:szCs w:val="24"/>
              </w:rPr>
            </w:pPr>
            <w:r w:rsidRPr="00AD5652">
              <w:rPr>
                <w:rFonts w:ascii="Times New Roman" w:hAnsi="Times New Roman" w:cs="Times New Roman"/>
                <w:sz w:val="24"/>
                <w:szCs w:val="24"/>
              </w:rPr>
              <w:t xml:space="preserve">If a child is required to be removed under s47 of the Children Act 1989, into the care of the Local Authority, in Wales, practitioners are required to adhere to Part 6 of the SSWBW Act 2014, which refers to the accommodation of the children.  The SSWBW Act 2014 refers to not only the Children Act 1989, it also notes there is an obligation of practitioners to obey the United Nations Convention on the Rights of the Child (UNCRC).  </w:t>
            </w:r>
          </w:p>
          <w:p w14:paraId="6838E032" w14:textId="77777777" w:rsidR="009A5198" w:rsidRPr="00AD5652" w:rsidRDefault="009A5198" w:rsidP="00AD5652">
            <w:pPr>
              <w:spacing w:line="480" w:lineRule="auto"/>
              <w:rPr>
                <w:rFonts w:ascii="Times New Roman" w:hAnsi="Times New Roman" w:cs="Times New Roman"/>
                <w:sz w:val="24"/>
                <w:szCs w:val="24"/>
              </w:rPr>
            </w:pPr>
          </w:p>
          <w:p w14:paraId="60D8C669" w14:textId="1DC5DE13" w:rsidR="00FC0334" w:rsidRDefault="00AD5652" w:rsidP="009A5198">
            <w:pPr>
              <w:spacing w:line="480" w:lineRule="auto"/>
              <w:rPr>
                <w:rFonts w:ascii="Times New Roman" w:hAnsi="Times New Roman" w:cs="Times New Roman"/>
                <w:sz w:val="24"/>
                <w:szCs w:val="24"/>
              </w:rPr>
            </w:pPr>
            <w:r w:rsidRPr="00AD5652">
              <w:rPr>
                <w:rFonts w:ascii="Times New Roman" w:hAnsi="Times New Roman" w:cs="Times New Roman"/>
                <w:sz w:val="24"/>
                <w:szCs w:val="24"/>
              </w:rPr>
              <w:t>The UNCRC treaty was adopted in Wales under the SSWBW Act 2014 where it ensures children have the right to an education, life, protection from abuse, a voice and to have an ongoing relationship with their parent/s (Brammer, 2020; Hobart and Frankel, 2009; Frost, 2021).</w:t>
            </w:r>
            <w:r w:rsidR="001B6477">
              <w:rPr>
                <w:rFonts w:ascii="Times New Roman" w:hAnsi="Times New Roman" w:cs="Times New Roman"/>
                <w:sz w:val="24"/>
                <w:szCs w:val="24"/>
              </w:rPr>
              <w:t xml:space="preserve">  Although, England have adopted the </w:t>
            </w:r>
            <w:r w:rsidR="002B5066">
              <w:rPr>
                <w:rFonts w:ascii="Times New Roman" w:hAnsi="Times New Roman" w:cs="Times New Roman"/>
                <w:sz w:val="24"/>
                <w:szCs w:val="24"/>
              </w:rPr>
              <w:t>UNCRC, they continue to protect children under the Children Act 1989 (Brammer, 2020).</w:t>
            </w:r>
            <w:r w:rsidR="002E02C7">
              <w:rPr>
                <w:rFonts w:ascii="Times New Roman" w:hAnsi="Times New Roman" w:cs="Times New Roman"/>
                <w:sz w:val="24"/>
                <w:szCs w:val="24"/>
              </w:rPr>
              <w:t xml:space="preserve">  When the Care Act 2014 was implement, in relation to child protection </w:t>
            </w:r>
            <w:r w:rsidR="00B356AE">
              <w:rPr>
                <w:rFonts w:ascii="Times New Roman" w:hAnsi="Times New Roman" w:cs="Times New Roman"/>
                <w:sz w:val="24"/>
                <w:szCs w:val="24"/>
              </w:rPr>
              <w:t xml:space="preserve">England continue to enforce the Children Act 1989.  In addition to the Children Act 1989, in 2004 the Lor Laming report highlighted significant changes to be </w:t>
            </w:r>
            <w:r w:rsidR="0087744B">
              <w:rPr>
                <w:rFonts w:ascii="Times New Roman" w:hAnsi="Times New Roman" w:cs="Times New Roman"/>
                <w:sz w:val="24"/>
                <w:szCs w:val="24"/>
              </w:rPr>
              <w:t xml:space="preserve">made.  Lord Laming </w:t>
            </w:r>
            <w:r w:rsidR="001B6194">
              <w:rPr>
                <w:rFonts w:ascii="Times New Roman" w:hAnsi="Times New Roman" w:cs="Times New Roman"/>
                <w:sz w:val="24"/>
                <w:szCs w:val="24"/>
              </w:rPr>
              <w:t xml:space="preserve">conducted an inquiry </w:t>
            </w:r>
            <w:r w:rsidR="006D059A">
              <w:rPr>
                <w:rFonts w:ascii="Times New Roman" w:hAnsi="Times New Roman" w:cs="Times New Roman"/>
                <w:sz w:val="24"/>
                <w:szCs w:val="24"/>
              </w:rPr>
              <w:t>subsequent to Victoria Climbie’s death</w:t>
            </w:r>
            <w:r w:rsidR="001E51E0">
              <w:rPr>
                <w:rFonts w:ascii="Times New Roman" w:hAnsi="Times New Roman" w:cs="Times New Roman"/>
                <w:sz w:val="24"/>
                <w:szCs w:val="24"/>
              </w:rPr>
              <w:t xml:space="preserve"> in the care of her great aunt</w:t>
            </w:r>
            <w:r w:rsidR="00D861AE">
              <w:rPr>
                <w:rFonts w:ascii="Times New Roman" w:hAnsi="Times New Roman" w:cs="Times New Roman"/>
                <w:sz w:val="24"/>
                <w:szCs w:val="24"/>
              </w:rPr>
              <w:t>, suffering over 128 injuries (Brammer, 2020)</w:t>
            </w:r>
            <w:r w:rsidR="006D059A">
              <w:rPr>
                <w:rFonts w:ascii="Times New Roman" w:hAnsi="Times New Roman" w:cs="Times New Roman"/>
                <w:sz w:val="24"/>
                <w:szCs w:val="24"/>
              </w:rPr>
              <w:t xml:space="preserve">.  </w:t>
            </w:r>
            <w:r w:rsidR="006D059A">
              <w:rPr>
                <w:rFonts w:ascii="Times New Roman" w:hAnsi="Times New Roman" w:cs="Times New Roman"/>
                <w:sz w:val="24"/>
                <w:szCs w:val="24"/>
              </w:rPr>
              <w:lastRenderedPageBreak/>
              <w:t xml:space="preserve">The inquiry </w:t>
            </w:r>
            <w:r w:rsidR="00D861AE">
              <w:rPr>
                <w:rFonts w:ascii="Times New Roman" w:hAnsi="Times New Roman" w:cs="Times New Roman"/>
                <w:sz w:val="24"/>
                <w:szCs w:val="24"/>
              </w:rPr>
              <w:t xml:space="preserve">let to significant changes in relation to </w:t>
            </w:r>
            <w:r w:rsidR="00A261E6">
              <w:rPr>
                <w:rFonts w:ascii="Times New Roman" w:hAnsi="Times New Roman" w:cs="Times New Roman"/>
                <w:sz w:val="24"/>
                <w:szCs w:val="24"/>
              </w:rPr>
              <w:t xml:space="preserve">multi-disciplinary working (Brammer, 2020).  </w:t>
            </w:r>
            <w:r w:rsidR="003901FA">
              <w:rPr>
                <w:rFonts w:ascii="Times New Roman" w:hAnsi="Times New Roman" w:cs="Times New Roman"/>
                <w:sz w:val="24"/>
                <w:szCs w:val="24"/>
              </w:rPr>
              <w:t>It is considered fundamental to child protection, that agencies share information and working in a mul</w:t>
            </w:r>
            <w:r w:rsidR="00893A12">
              <w:rPr>
                <w:rFonts w:ascii="Times New Roman" w:hAnsi="Times New Roman" w:cs="Times New Roman"/>
                <w:sz w:val="24"/>
                <w:szCs w:val="24"/>
              </w:rPr>
              <w:t xml:space="preserve">ti-disciplinary way </w:t>
            </w:r>
            <w:r w:rsidR="00893A12" w:rsidRPr="00AD5652">
              <w:rPr>
                <w:rFonts w:ascii="Times New Roman" w:hAnsi="Times New Roman" w:cs="Times New Roman"/>
                <w:sz w:val="24"/>
                <w:szCs w:val="24"/>
              </w:rPr>
              <w:t>(Brammer, 2020; Hobart and Frankel, 2009; Frost, 2021).</w:t>
            </w:r>
            <w:r w:rsidR="00893A12">
              <w:rPr>
                <w:rFonts w:ascii="Times New Roman" w:hAnsi="Times New Roman" w:cs="Times New Roman"/>
                <w:sz w:val="24"/>
                <w:szCs w:val="24"/>
              </w:rPr>
              <w:t xml:space="preserve"> </w:t>
            </w:r>
          </w:p>
          <w:p w14:paraId="6C712307" w14:textId="77777777" w:rsidR="009A5198" w:rsidRDefault="009A5198" w:rsidP="009A5198">
            <w:pPr>
              <w:spacing w:line="480" w:lineRule="auto"/>
              <w:rPr>
                <w:sz w:val="24"/>
                <w:szCs w:val="24"/>
              </w:rPr>
            </w:pPr>
          </w:p>
          <w:p w14:paraId="774095BD" w14:textId="67135803" w:rsidR="00FC0334" w:rsidRPr="00893A12" w:rsidRDefault="00893A12" w:rsidP="00FF7EBB">
            <w:pPr>
              <w:jc w:val="both"/>
              <w:rPr>
                <w:rFonts w:ascii="Times New Roman" w:hAnsi="Times New Roman" w:cs="Times New Roman"/>
                <w:sz w:val="24"/>
                <w:szCs w:val="24"/>
              </w:rPr>
            </w:pPr>
            <w:r w:rsidRPr="00893A12">
              <w:rPr>
                <w:rFonts w:ascii="Times New Roman" w:hAnsi="Times New Roman" w:cs="Times New Roman"/>
                <w:sz w:val="24"/>
                <w:szCs w:val="24"/>
              </w:rPr>
              <w:t xml:space="preserve">529 words. </w:t>
            </w:r>
          </w:p>
          <w:p w14:paraId="46DCAB7A" w14:textId="77777777" w:rsidR="00893A12" w:rsidRPr="006108C9" w:rsidRDefault="00893A12"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3BC0899C" w14:textId="77777777" w:rsidR="00491C9F" w:rsidRPr="00491C9F" w:rsidRDefault="00491C9F" w:rsidP="00491C9F">
            <w:pPr>
              <w:spacing w:line="480" w:lineRule="auto"/>
              <w:textAlignment w:val="auto"/>
              <w:rPr>
                <w:rFonts w:ascii="Times New Roman" w:hAnsi="Times New Roman" w:cs="Times New Roman"/>
                <w:sz w:val="24"/>
                <w:szCs w:val="24"/>
              </w:rPr>
            </w:pPr>
            <w:r w:rsidRPr="00491C9F">
              <w:rPr>
                <w:rFonts w:ascii="Times New Roman" w:hAnsi="Times New Roman" w:cs="Times New Roman"/>
                <w:sz w:val="24"/>
                <w:szCs w:val="24"/>
              </w:rPr>
              <w:t xml:space="preserve">It is noted that there are several differences between safeguarding adults and children, however, in this instance I will focus on self determination and timescales during assessments (Brammer, 2020).   When considering the safeguarding of adults, it is essential to note that individuals have the autonomy to make their own decisions when determining risk (Brammer, 2020).  The Mental Capacity Act 2005 state that adults have the right to make informed decisions, despite others believing it to be an unwise choice (Brammer, 2020).  However, should the adult lack capacity, the safeguarding decision is determined by a best interest meeting.  However, it is assumed that children lack the capacity to safeguard themselves, therefore do not have the choice to refuse an assessment (Welsh Government, 2017c).  However, it must be noted that “Gillick competence”, could be considered for older children, as it determines whether they have the intellect and competence to make their own decisions (Brammer, 2020; NSPCC, 2022).  </w:t>
            </w:r>
          </w:p>
          <w:p w14:paraId="646BED3A" w14:textId="77777777" w:rsidR="00491C9F" w:rsidRPr="00491C9F" w:rsidRDefault="00491C9F" w:rsidP="00491C9F">
            <w:pPr>
              <w:spacing w:line="480" w:lineRule="auto"/>
              <w:textAlignment w:val="auto"/>
              <w:rPr>
                <w:rFonts w:ascii="Times New Roman" w:hAnsi="Times New Roman" w:cs="Times New Roman"/>
                <w:sz w:val="24"/>
                <w:szCs w:val="24"/>
              </w:rPr>
            </w:pPr>
          </w:p>
          <w:p w14:paraId="1B78B5D2" w14:textId="77777777" w:rsidR="00491C9F" w:rsidRPr="00491C9F" w:rsidRDefault="00491C9F" w:rsidP="00491C9F">
            <w:pPr>
              <w:spacing w:line="480" w:lineRule="auto"/>
              <w:textAlignment w:val="auto"/>
              <w:rPr>
                <w:rFonts w:ascii="Times New Roman" w:hAnsi="Times New Roman" w:cs="Times New Roman"/>
                <w:sz w:val="24"/>
                <w:szCs w:val="24"/>
              </w:rPr>
            </w:pPr>
            <w:r w:rsidRPr="00491C9F">
              <w:rPr>
                <w:rFonts w:ascii="Times New Roman" w:hAnsi="Times New Roman" w:cs="Times New Roman"/>
                <w:sz w:val="24"/>
                <w:szCs w:val="24"/>
              </w:rPr>
              <w:t xml:space="preserve">Although there is a duty on adult Social Workers to assess the needs of adults, it is purely the adults choice in whether they would like to participate in the assessment process (Wilson, 2020).  Adults </w:t>
            </w:r>
            <w:r w:rsidRPr="00491C9F">
              <w:rPr>
                <w:rFonts w:ascii="Times New Roman" w:hAnsi="Times New Roman" w:cs="Times New Roman"/>
                <w:sz w:val="24"/>
                <w:szCs w:val="24"/>
              </w:rPr>
              <w:lastRenderedPageBreak/>
              <w:t>also have full autonomy over whether they accept the assessment/ support set out in the assessment too (Brammer, 2020; Wilson 2020).  Unlike the safeguarding of children, where they must be assessed to determine a safety plan (Brammer, 2020; O’Loughling and O’Loughling, 2016).  Nevertheless, there is an exception within adult safeguarding, placing a duty to protect should the adult not have capacity to make decision to protect themselves (Brammer, 2020).  In the incident that an adult lacks capacity, Social Workers are duty bound to protect.  Unless the adult had appointed a power of attorney when they were capacitated (Brammer, 2020, Williams, 2017).</w:t>
            </w:r>
          </w:p>
          <w:p w14:paraId="00E3F469" w14:textId="77777777" w:rsidR="00491C9F" w:rsidRPr="00491C9F" w:rsidRDefault="00491C9F" w:rsidP="00491C9F">
            <w:pPr>
              <w:spacing w:line="480" w:lineRule="auto"/>
              <w:textAlignment w:val="auto"/>
              <w:rPr>
                <w:rFonts w:ascii="Times New Roman" w:hAnsi="Times New Roman" w:cs="Times New Roman"/>
                <w:sz w:val="24"/>
                <w:szCs w:val="24"/>
              </w:rPr>
            </w:pPr>
          </w:p>
          <w:p w14:paraId="44241FAF" w14:textId="77777777" w:rsidR="00491C9F" w:rsidRDefault="00491C9F" w:rsidP="00491C9F">
            <w:pPr>
              <w:spacing w:line="480" w:lineRule="auto"/>
              <w:textAlignment w:val="auto"/>
              <w:rPr>
                <w:rFonts w:ascii="Times New Roman" w:hAnsi="Times New Roman" w:cs="Times New Roman"/>
                <w:sz w:val="24"/>
                <w:szCs w:val="24"/>
              </w:rPr>
            </w:pPr>
            <w:r w:rsidRPr="00491C9F">
              <w:rPr>
                <w:rFonts w:ascii="Times New Roman" w:hAnsi="Times New Roman" w:cs="Times New Roman"/>
                <w:sz w:val="24"/>
                <w:szCs w:val="24"/>
              </w:rPr>
              <w:t xml:space="preserve">Another difference is that in the safeguarding of children, there are timescales set out by legislation to ensure a prompt and effective support (O’Loughlin and O’Loughlin, 2016; Rogers et al., 2015; Welsh Government, 2021).  However, adult Safeguarding only applies a duty to investigate and apply professional judgement to coproduce a care plan to meet their needs (Dixon, 2013; Welsh Government, 2021).  Additionally, child protection procedures place a duty on social workers to see a child that is looked after, by the local authority, every 5 days (Department for Education, 2021).  Furthermore, once proceedings have been initiated under s47 of the Children Act 1989, there is a duty to protect a child.    </w:t>
            </w:r>
          </w:p>
          <w:p w14:paraId="4B72A242" w14:textId="77777777" w:rsidR="009A5198" w:rsidRPr="00491C9F" w:rsidRDefault="009A5198" w:rsidP="00491C9F">
            <w:pPr>
              <w:spacing w:line="480" w:lineRule="auto"/>
              <w:textAlignment w:val="auto"/>
              <w:rPr>
                <w:rFonts w:ascii="Times New Roman" w:hAnsi="Times New Roman" w:cs="Times New Roman"/>
                <w:sz w:val="24"/>
                <w:szCs w:val="24"/>
              </w:rPr>
            </w:pPr>
          </w:p>
          <w:p w14:paraId="438BF787" w14:textId="4A21564C" w:rsidR="00FC0334" w:rsidRPr="006108C9" w:rsidRDefault="00491C9F" w:rsidP="009A5198">
            <w:pPr>
              <w:spacing w:line="480" w:lineRule="auto"/>
              <w:textAlignment w:val="auto"/>
              <w:rPr>
                <w:sz w:val="24"/>
                <w:szCs w:val="24"/>
              </w:rPr>
            </w:pPr>
            <w:r w:rsidRPr="00491C9F">
              <w:rPr>
                <w:rFonts w:ascii="Times New Roman" w:hAnsi="Times New Roman" w:cs="Times New Roman"/>
                <w:sz w:val="24"/>
                <w:szCs w:val="24"/>
              </w:rPr>
              <w:t>Word count 402.</w:t>
            </w: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97F616" w14:textId="77777777" w:rsidR="00FF0F84" w:rsidRDefault="00FF0F84">
      <w:r>
        <w:separator/>
      </w:r>
    </w:p>
  </w:endnote>
  <w:endnote w:type="continuationSeparator" w:id="0">
    <w:p w14:paraId="486C0523" w14:textId="77777777" w:rsidR="00FF0F84" w:rsidRDefault="00FF0F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327FDB" w14:textId="77777777" w:rsidR="00FF0F84" w:rsidRDefault="00FF0F84">
      <w:r>
        <w:separator/>
      </w:r>
    </w:p>
  </w:footnote>
  <w:footnote w:type="continuationSeparator" w:id="0">
    <w:p w14:paraId="5549B086" w14:textId="77777777" w:rsidR="00FF0F84" w:rsidRDefault="00FF0F8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54DC4"/>
    <w:rsid w:val="001608C4"/>
    <w:rsid w:val="00164832"/>
    <w:rsid w:val="00171418"/>
    <w:rsid w:val="001772BF"/>
    <w:rsid w:val="001772DE"/>
    <w:rsid w:val="0019496C"/>
    <w:rsid w:val="001961CF"/>
    <w:rsid w:val="001A59BB"/>
    <w:rsid w:val="001A607E"/>
    <w:rsid w:val="001A6A51"/>
    <w:rsid w:val="001A79C4"/>
    <w:rsid w:val="001B331A"/>
    <w:rsid w:val="001B6194"/>
    <w:rsid w:val="001B6477"/>
    <w:rsid w:val="001C0237"/>
    <w:rsid w:val="001C0E74"/>
    <w:rsid w:val="001C4DB8"/>
    <w:rsid w:val="001C50B8"/>
    <w:rsid w:val="001D229F"/>
    <w:rsid w:val="001E2EB6"/>
    <w:rsid w:val="001E51E0"/>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066"/>
    <w:rsid w:val="002B5B35"/>
    <w:rsid w:val="002B7AEE"/>
    <w:rsid w:val="002C2536"/>
    <w:rsid w:val="002C256A"/>
    <w:rsid w:val="002C3031"/>
    <w:rsid w:val="002C40B0"/>
    <w:rsid w:val="002C4233"/>
    <w:rsid w:val="002C496D"/>
    <w:rsid w:val="002D05EB"/>
    <w:rsid w:val="002D11A8"/>
    <w:rsid w:val="002D2F29"/>
    <w:rsid w:val="002D46C0"/>
    <w:rsid w:val="002D5A92"/>
    <w:rsid w:val="002D65D2"/>
    <w:rsid w:val="002D6B31"/>
    <w:rsid w:val="002E02C7"/>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01FA"/>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1C9F"/>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059A"/>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1F2C"/>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744B"/>
    <w:rsid w:val="00880539"/>
    <w:rsid w:val="008859E8"/>
    <w:rsid w:val="0088737B"/>
    <w:rsid w:val="00891078"/>
    <w:rsid w:val="00892716"/>
    <w:rsid w:val="00893067"/>
    <w:rsid w:val="008933DE"/>
    <w:rsid w:val="00893A12"/>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198"/>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61E6"/>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D5652"/>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56AE"/>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61AE"/>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0F84"/>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AD565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sandz_d_j@hotmail.com"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14</TotalTime>
  <Pages>5</Pages>
  <Words>1136</Words>
  <Characters>6139</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Sandra John</cp:lastModifiedBy>
  <cp:revision>19</cp:revision>
  <cp:lastPrinted>2020-02-11T19:20:00Z</cp:lastPrinted>
  <dcterms:created xsi:type="dcterms:W3CDTF">2024-02-11T17:12:00Z</dcterms:created>
  <dcterms:modified xsi:type="dcterms:W3CDTF">2024-02-14T19:44:00Z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