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F602E8" w:rsidP="0A5D6388" w:rsidRDefault="42B248A4" w14:paraId="434EB9BC" w14:textId="40706CBB">
      <w:pPr>
        <w:rPr>
          <w:rFonts w:ascii="Arial" w:hAnsi="Arial"/>
          <w:sz w:val="28"/>
          <w:szCs w:val="28"/>
        </w:rPr>
      </w:pPr>
      <w:r>
        <w:rPr>
          <w:noProof/>
        </w:rPr>
        <w:drawing>
          <wp:inline distT="0" distB="0" distL="0" distR="0" wp14:anchorId="61584883" wp14:editId="09EC9F6D">
            <wp:extent cx="5943600" cy="2554605"/>
            <wp:effectExtent l="0" t="0" r="0" b="0"/>
            <wp:docPr id="126146087" name="Picture 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Graphical user interface, application, Word&#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2554605"/>
                    </a:xfrm>
                    <a:prstGeom prst="rect">
                      <a:avLst/>
                    </a:prstGeom>
                    <a:noFill/>
                    <a:ln>
                      <a:noFill/>
                    </a:ln>
                  </pic:spPr>
                </pic:pic>
              </a:graphicData>
            </a:graphic>
          </wp:inline>
        </w:drawing>
      </w:r>
      <w:r w:rsidRPr="00D2180B" w:rsidR="00D2180B">
        <w:rPr>
          <w:lang w:val="en-GB"/>
        </w:rPr>
        <w:t> </w:t>
      </w:r>
      <w:r w:rsidRPr="000B15B6" w:rsidR="00F602E8">
        <w:rPr>
          <w:rFonts w:ascii="Arial" w:hAnsi="Arial"/>
          <w:b/>
          <w:bCs/>
          <w:sz w:val="28"/>
          <w:szCs w:val="28"/>
        </w:rPr>
        <w:t>Module Title:</w:t>
      </w:r>
      <w:r w:rsidRPr="000B15B6" w:rsidR="000B15B6">
        <w:rPr>
          <w:rFonts w:ascii="Arial" w:hAnsi="Arial"/>
          <w:sz w:val="28"/>
          <w:szCs w:val="28"/>
        </w:rPr>
        <w:t xml:space="preserve"> First 1000 days</w:t>
      </w:r>
    </w:p>
    <w:p w:rsidRPr="00D2180B" w:rsidR="00D2180B" w:rsidP="00D2180B" w:rsidRDefault="00D2180B" w14:paraId="6D867907" w14:textId="7F100DD0">
      <w:pPr>
        <w:rPr>
          <w:rFonts w:ascii="Arial" w:hAnsi="Arial"/>
          <w:sz w:val="28"/>
          <w:szCs w:val="28"/>
          <w:lang w:val="en-GB"/>
        </w:rPr>
      </w:pPr>
      <w:r w:rsidRPr="00D2180B">
        <w:rPr>
          <w:rFonts w:ascii="Arial" w:hAnsi="Arial"/>
          <w:b/>
          <w:bCs/>
          <w:sz w:val="28"/>
          <w:szCs w:val="28"/>
          <w:lang w:val="en-GB"/>
        </w:rPr>
        <w:t>Module Code:</w:t>
      </w:r>
      <w:r w:rsidRPr="00D2180B">
        <w:rPr>
          <w:rFonts w:ascii="Arial" w:hAnsi="Arial"/>
          <w:sz w:val="28"/>
          <w:szCs w:val="28"/>
          <w:lang w:val="en-GB"/>
        </w:rPr>
        <w:t> ECEY4005 </w:t>
      </w:r>
    </w:p>
    <w:p w:rsidRPr="000B15B6" w:rsidR="00F602E8" w:rsidP="000B15B6" w:rsidRDefault="00F602E8" w14:paraId="77A2CC7F" w14:textId="770D3930">
      <w:pPr>
        <w:jc w:val="left"/>
        <w:rPr>
          <w:rFonts w:ascii="Arial" w:hAnsi="Arial"/>
          <w:b/>
          <w:bCs/>
          <w:sz w:val="28"/>
          <w:szCs w:val="28"/>
        </w:rPr>
      </w:pPr>
      <w:r w:rsidRPr="000B15B6">
        <w:rPr>
          <w:rFonts w:ascii="Arial" w:hAnsi="Arial"/>
          <w:b/>
          <w:bCs/>
          <w:sz w:val="28"/>
          <w:szCs w:val="28"/>
        </w:rPr>
        <w:t>Assignment Type:</w:t>
      </w:r>
      <w:r w:rsidRPr="000B15B6" w:rsidR="000B15B6">
        <w:rPr>
          <w:rFonts w:ascii="Arial" w:hAnsi="Arial"/>
          <w:b/>
          <w:bCs/>
          <w:sz w:val="28"/>
          <w:szCs w:val="28"/>
        </w:rPr>
        <w:t xml:space="preserve"> </w:t>
      </w:r>
      <w:r w:rsidRPr="000B15B6">
        <w:rPr>
          <w:rFonts w:ascii="Arial" w:hAnsi="Arial"/>
          <w:sz w:val="28"/>
          <w:szCs w:val="28"/>
        </w:rPr>
        <w:t>Scrapbook / Written Report</w:t>
      </w:r>
    </w:p>
    <w:p w:rsidRPr="000B15B6" w:rsidR="00F602E8" w:rsidP="000B15B6" w:rsidRDefault="00F602E8" w14:paraId="0B01A7DB" w14:textId="2A08EDCF">
      <w:pPr>
        <w:jc w:val="left"/>
        <w:rPr>
          <w:rFonts w:ascii="Arial" w:hAnsi="Arial"/>
          <w:sz w:val="28"/>
          <w:szCs w:val="28"/>
        </w:rPr>
      </w:pPr>
      <w:r w:rsidRPr="000B15B6">
        <w:rPr>
          <w:rFonts w:ascii="Arial" w:hAnsi="Arial"/>
          <w:b/>
          <w:bCs/>
          <w:sz w:val="28"/>
          <w:szCs w:val="28"/>
        </w:rPr>
        <w:t>Student Name:</w:t>
      </w:r>
      <w:r w:rsidRPr="000B15B6" w:rsidR="000B15B6">
        <w:rPr>
          <w:rFonts w:ascii="Arial" w:hAnsi="Arial"/>
          <w:b/>
          <w:bCs/>
          <w:sz w:val="28"/>
          <w:szCs w:val="28"/>
        </w:rPr>
        <w:t xml:space="preserve"> </w:t>
      </w:r>
      <w:r w:rsidRPr="000B15B6" w:rsidR="000B15B6">
        <w:rPr>
          <w:rFonts w:ascii="Arial" w:hAnsi="Arial"/>
          <w:sz w:val="28"/>
          <w:szCs w:val="28"/>
        </w:rPr>
        <w:t xml:space="preserve">Ebru </w:t>
      </w:r>
      <w:proofErr w:type="spellStart"/>
      <w:r w:rsidRPr="000B15B6" w:rsidR="000B15B6">
        <w:rPr>
          <w:rFonts w:ascii="Arial" w:hAnsi="Arial"/>
          <w:sz w:val="28"/>
          <w:szCs w:val="28"/>
        </w:rPr>
        <w:t>Karaoz</w:t>
      </w:r>
      <w:proofErr w:type="spellEnd"/>
    </w:p>
    <w:p w:rsidR="00F602E8" w:rsidP="000B15B6" w:rsidRDefault="00F602E8" w14:paraId="027A1655" w14:textId="5934A504">
      <w:pPr>
        <w:jc w:val="left"/>
        <w:rPr>
          <w:rFonts w:ascii="Arial" w:hAnsi="Arial"/>
          <w:sz w:val="28"/>
          <w:szCs w:val="28"/>
        </w:rPr>
      </w:pPr>
      <w:r w:rsidRPr="000B15B6">
        <w:rPr>
          <w:rFonts w:ascii="Arial" w:hAnsi="Arial"/>
          <w:b/>
          <w:bCs/>
          <w:sz w:val="28"/>
          <w:szCs w:val="28"/>
        </w:rPr>
        <w:t>Student ID:</w:t>
      </w:r>
      <w:r w:rsidRPr="000B15B6" w:rsidR="000B15B6">
        <w:rPr>
          <w:rFonts w:ascii="Arial" w:hAnsi="Arial"/>
          <w:b/>
          <w:bCs/>
          <w:sz w:val="28"/>
          <w:szCs w:val="28"/>
        </w:rPr>
        <w:t xml:space="preserve"> </w:t>
      </w:r>
      <w:r w:rsidRPr="000B15B6" w:rsidR="000B15B6">
        <w:rPr>
          <w:rFonts w:ascii="Arial" w:hAnsi="Arial"/>
          <w:sz w:val="28"/>
          <w:szCs w:val="28"/>
        </w:rPr>
        <w:t>2412152</w:t>
      </w:r>
    </w:p>
    <w:p w:rsidRPr="004B2ECB" w:rsidR="004B2ECB" w:rsidP="004B2ECB" w:rsidRDefault="004B2ECB" w14:paraId="6551988D" w14:textId="4F500361">
      <w:pPr>
        <w:jc w:val="left"/>
        <w:rPr>
          <w:rFonts w:ascii="Arial" w:hAnsi="Arial"/>
          <w:b/>
          <w:bCs/>
          <w:sz w:val="28"/>
          <w:szCs w:val="28"/>
          <w:lang w:val="en-GB"/>
        </w:rPr>
      </w:pPr>
    </w:p>
    <w:p w:rsidRPr="004B2ECB" w:rsidR="004B2ECB" w:rsidP="004B2ECB" w:rsidRDefault="004B2ECB" w14:paraId="06563A09" w14:textId="2A0D915E">
      <w:pPr>
        <w:jc w:val="left"/>
        <w:rPr>
          <w:rFonts w:ascii="Arial" w:hAnsi="Arial"/>
          <w:b/>
          <w:bCs/>
          <w:sz w:val="28"/>
          <w:szCs w:val="28"/>
          <w:lang w:val="en-GB"/>
        </w:rPr>
      </w:pPr>
      <w:r w:rsidRPr="004B2ECB">
        <w:rPr>
          <w:rFonts w:ascii="Arial" w:hAnsi="Arial"/>
          <w:b/>
          <w:bCs/>
          <w:sz w:val="28"/>
          <w:szCs w:val="28"/>
          <w:lang w:val="en-GB"/>
        </w:rPr>
        <w:br/>
      </w:r>
      <w:r w:rsidRPr="004B2ECB">
        <w:rPr>
          <w:rFonts w:ascii="Arial" w:hAnsi="Arial"/>
          <w:b/>
          <w:bCs/>
          <w:sz w:val="28"/>
          <w:szCs w:val="28"/>
          <w:lang w:val="en-GB"/>
        </w:rPr>
        <w:t>I confirm that I have not presented any AI generated text as my own work</w:t>
      </w:r>
      <w:r w:rsidR="00D2180B">
        <w:rPr>
          <w:rFonts w:ascii="Arial" w:hAnsi="Arial"/>
          <w:b/>
          <w:bCs/>
          <w:sz w:val="28"/>
          <w:szCs w:val="28"/>
          <w:lang w:val="en-GB"/>
        </w:rPr>
        <w:t>.</w:t>
      </w:r>
    </w:p>
    <w:p w:rsidRPr="004B2ECB" w:rsidR="004B2ECB" w:rsidP="004B2ECB" w:rsidRDefault="004B2ECB" w14:paraId="34FD1275" w14:textId="658E8AB4">
      <w:pPr>
        <w:jc w:val="left"/>
        <w:rPr>
          <w:rFonts w:ascii="Arial" w:hAnsi="Arial"/>
          <w:b/>
          <w:bCs/>
          <w:sz w:val="28"/>
          <w:szCs w:val="28"/>
          <w:lang w:val="en-GB"/>
        </w:rPr>
      </w:pPr>
      <w:r w:rsidRPr="004B2ECB">
        <w:rPr>
          <w:rFonts w:ascii="Arial" w:hAnsi="Arial"/>
          <w:b/>
          <w:bCs/>
          <w:sz w:val="28"/>
          <w:szCs w:val="28"/>
          <w:lang w:val="en-GB"/>
        </w:rPr>
        <w:br/>
      </w:r>
      <w:r w:rsidRPr="004B2ECB">
        <w:rPr>
          <w:rFonts w:ascii="Arial" w:hAnsi="Arial"/>
          <w:b/>
          <w:bCs/>
          <w:sz w:val="28"/>
          <w:szCs w:val="28"/>
          <w:lang w:val="en-GB"/>
        </w:rPr>
        <w:t>I confirm I have copies of my drafts, notes, and other resources I used before, and after the use of AI tools which I may be asked to provide in evidence</w:t>
      </w:r>
      <w:r w:rsidR="00D2180B">
        <w:rPr>
          <w:rFonts w:ascii="Arial" w:hAnsi="Arial"/>
          <w:b/>
          <w:bCs/>
          <w:sz w:val="28"/>
          <w:szCs w:val="28"/>
          <w:lang w:val="en-GB"/>
        </w:rPr>
        <w:t>.</w:t>
      </w:r>
    </w:p>
    <w:p w:rsidR="000B15B6" w:rsidP="4C11F8F8" w:rsidRDefault="000B15B6" w14:paraId="4394748C" w14:textId="2E8C7FC2">
      <w:pPr>
        <w:jc w:val="left"/>
        <w:rPr>
          <w:rFonts w:ascii="Arial" w:hAnsi="Arial"/>
          <w:b/>
          <w:sz w:val="28"/>
          <w:szCs w:val="28"/>
        </w:rPr>
      </w:pPr>
    </w:p>
    <w:p w:rsidR="296539C3" w:rsidP="296539C3" w:rsidRDefault="296539C3" w14:paraId="00F479C1" w14:textId="6561A9F9">
      <w:pPr>
        <w:pStyle w:val="Normal"/>
        <w:rPr>
          <w:rFonts w:ascii="Arial" w:hAnsi="Arial"/>
          <w:b w:val="1"/>
          <w:bCs w:val="1"/>
          <w:color w:val="0F4761" w:themeColor="accent1" w:themeTint="FF" w:themeShade="BF"/>
          <w:lang w:val="en-US"/>
        </w:rPr>
      </w:pPr>
    </w:p>
    <w:p w:rsidR="296539C3" w:rsidP="296539C3" w:rsidRDefault="296539C3" w14:paraId="20D3D9CC" w14:textId="006A2A82">
      <w:pPr>
        <w:spacing w:before="240" w:beforeAutospacing="off" w:after="0" w:afterAutospacing="off" w:line="257" w:lineRule="auto"/>
        <w:jc w:val="center"/>
      </w:pPr>
      <w:r w:rsidRPr="3AB61F0A" w:rsidR="3E6E70FC">
        <w:rPr>
          <w:rFonts w:ascii="Arial" w:hAnsi="Arial" w:eastAsia="Arial" w:cs="Arial"/>
          <w:b w:val="1"/>
          <w:bCs w:val="1"/>
          <w:noProof w:val="0"/>
          <w:color w:val="0F4761" w:themeColor="accent1" w:themeTint="FF" w:themeShade="BF"/>
          <w:sz w:val="24"/>
          <w:szCs w:val="24"/>
          <w:lang w:val="en-US"/>
        </w:rPr>
        <w:t>Table of Contents</w:t>
      </w:r>
    </w:p>
    <w:p w:rsidR="296539C3" w:rsidP="296539C3" w:rsidRDefault="296539C3" w14:paraId="5BBE0F20" w14:textId="2E500F58">
      <w:pPr>
        <w:spacing w:before="240" w:beforeAutospacing="off" w:after="0" w:afterAutospacing="off" w:line="257" w:lineRule="auto"/>
        <w:jc w:val="center"/>
        <w:rPr>
          <w:rFonts w:ascii="Arial" w:hAnsi="Arial" w:eastAsia="Arial" w:cs="Arial"/>
          <w:b w:val="1"/>
          <w:bCs w:val="1"/>
          <w:noProof w:val="0"/>
          <w:color w:val="0F4761" w:themeColor="accent1" w:themeTint="FF" w:themeShade="BF"/>
          <w:sz w:val="20"/>
          <w:szCs w:val="20"/>
          <w:lang w:val="en-US"/>
        </w:rPr>
      </w:pPr>
    </w:p>
    <w:sdt>
      <w:sdtPr>
        <w:id w:val="380617892"/>
        <w:docPartObj>
          <w:docPartGallery w:val="Table of Contents"/>
          <w:docPartUnique/>
        </w:docPartObj>
      </w:sdtPr>
      <w:sdtContent>
        <w:p w:rsidR="296539C3" w:rsidP="296539C3" w:rsidRDefault="296539C3" w14:paraId="539F38E5" w14:textId="7EC0A0EC">
          <w:pPr>
            <w:pStyle w:val="TOC1"/>
            <w:tabs>
              <w:tab w:val="right" w:leader="dot" w:pos="9360"/>
            </w:tabs>
            <w:bidi w:val="0"/>
            <w:rPr>
              <w:rStyle w:val="Hyperlink"/>
            </w:rPr>
          </w:pPr>
          <w:r>
            <w:fldChar w:fldCharType="begin"/>
          </w:r>
          <w:r>
            <w:instrText xml:space="preserve">TOC \o "1-9" \z \u \h</w:instrText>
          </w:r>
          <w:r>
            <w:fldChar w:fldCharType="separate"/>
          </w:r>
          <w:hyperlink w:anchor="_Toc1651369584">
            <w:r w:rsidRPr="3AB61F0A" w:rsidR="3AB61F0A">
              <w:rPr>
                <w:rStyle w:val="Hyperlink"/>
              </w:rPr>
              <w:t>1. Introduction</w:t>
            </w:r>
            <w:r>
              <w:tab/>
            </w:r>
            <w:r>
              <w:fldChar w:fldCharType="begin"/>
            </w:r>
            <w:r>
              <w:instrText xml:space="preserve">PAGEREF _Toc1651369584 \h</w:instrText>
            </w:r>
            <w:r>
              <w:fldChar w:fldCharType="separate"/>
            </w:r>
            <w:r w:rsidRPr="3AB61F0A" w:rsidR="3AB61F0A">
              <w:rPr>
                <w:rStyle w:val="Hyperlink"/>
              </w:rPr>
              <w:t>3</w:t>
            </w:r>
            <w:r>
              <w:fldChar w:fldCharType="end"/>
            </w:r>
          </w:hyperlink>
        </w:p>
        <w:p w:rsidR="296539C3" w:rsidP="296539C3" w:rsidRDefault="296539C3" w14:paraId="3D7C284F" w14:textId="799E0728">
          <w:pPr>
            <w:pStyle w:val="TOC2"/>
            <w:tabs>
              <w:tab w:val="right" w:leader="dot" w:pos="9360"/>
            </w:tabs>
            <w:bidi w:val="0"/>
            <w:rPr>
              <w:rStyle w:val="Hyperlink"/>
            </w:rPr>
          </w:pPr>
          <w:hyperlink w:anchor="_Toc2042581616">
            <w:r w:rsidRPr="3AB61F0A" w:rsidR="3AB61F0A">
              <w:rPr>
                <w:rStyle w:val="Hyperlink"/>
              </w:rPr>
              <w:t>1.1 Defining the First 1000 Days</w:t>
            </w:r>
            <w:r>
              <w:tab/>
            </w:r>
            <w:r>
              <w:fldChar w:fldCharType="begin"/>
            </w:r>
            <w:r>
              <w:instrText xml:space="preserve">PAGEREF _Toc2042581616 \h</w:instrText>
            </w:r>
            <w:r>
              <w:fldChar w:fldCharType="separate"/>
            </w:r>
            <w:r w:rsidRPr="3AB61F0A" w:rsidR="3AB61F0A">
              <w:rPr>
                <w:rStyle w:val="Hyperlink"/>
              </w:rPr>
              <w:t>3</w:t>
            </w:r>
            <w:r>
              <w:fldChar w:fldCharType="end"/>
            </w:r>
          </w:hyperlink>
        </w:p>
        <w:p w:rsidR="296539C3" w:rsidP="296539C3" w:rsidRDefault="296539C3" w14:paraId="3FF58599" w14:textId="08FE1878">
          <w:pPr>
            <w:pStyle w:val="TOC2"/>
            <w:tabs>
              <w:tab w:val="right" w:leader="dot" w:pos="9360"/>
            </w:tabs>
            <w:bidi w:val="0"/>
            <w:rPr>
              <w:rStyle w:val="Hyperlink"/>
            </w:rPr>
          </w:pPr>
          <w:hyperlink w:anchor="_Toc2083797636">
            <w:r w:rsidRPr="3AB61F0A" w:rsidR="3AB61F0A">
              <w:rPr>
                <w:rStyle w:val="Hyperlink"/>
              </w:rPr>
              <w:t>1.2 Why the First 1000 Days Are Critical</w:t>
            </w:r>
            <w:r>
              <w:tab/>
            </w:r>
            <w:r>
              <w:fldChar w:fldCharType="begin"/>
            </w:r>
            <w:r>
              <w:instrText xml:space="preserve">PAGEREF _Toc2083797636 \h</w:instrText>
            </w:r>
            <w:r>
              <w:fldChar w:fldCharType="separate"/>
            </w:r>
            <w:r w:rsidRPr="3AB61F0A" w:rsidR="3AB61F0A">
              <w:rPr>
                <w:rStyle w:val="Hyperlink"/>
              </w:rPr>
              <w:t>4</w:t>
            </w:r>
            <w:r>
              <w:fldChar w:fldCharType="end"/>
            </w:r>
          </w:hyperlink>
        </w:p>
        <w:p w:rsidR="296539C3" w:rsidP="296539C3" w:rsidRDefault="296539C3" w14:paraId="2D3E1509" w14:textId="120DD06F">
          <w:pPr>
            <w:pStyle w:val="TOC2"/>
            <w:tabs>
              <w:tab w:val="right" w:leader="dot" w:pos="9360"/>
            </w:tabs>
            <w:bidi w:val="0"/>
            <w:rPr>
              <w:rStyle w:val="Hyperlink"/>
            </w:rPr>
          </w:pPr>
          <w:hyperlink w:anchor="_Toc72185914">
            <w:r w:rsidRPr="3AB61F0A" w:rsidR="3AB61F0A">
              <w:rPr>
                <w:rStyle w:val="Hyperlink"/>
              </w:rPr>
              <w:t>1.3 Long-Term Impact of Early Experiences</w:t>
            </w:r>
            <w:r>
              <w:tab/>
            </w:r>
            <w:r>
              <w:fldChar w:fldCharType="begin"/>
            </w:r>
            <w:r>
              <w:instrText xml:space="preserve">PAGEREF _Toc72185914 \h</w:instrText>
            </w:r>
            <w:r>
              <w:fldChar w:fldCharType="separate"/>
            </w:r>
            <w:r w:rsidRPr="3AB61F0A" w:rsidR="3AB61F0A">
              <w:rPr>
                <w:rStyle w:val="Hyperlink"/>
              </w:rPr>
              <w:t>4</w:t>
            </w:r>
            <w:r>
              <w:fldChar w:fldCharType="end"/>
            </w:r>
          </w:hyperlink>
        </w:p>
        <w:p w:rsidR="296539C3" w:rsidP="296539C3" w:rsidRDefault="296539C3" w14:paraId="570DABFA" w14:textId="56C5F679">
          <w:pPr>
            <w:pStyle w:val="TOC1"/>
            <w:tabs>
              <w:tab w:val="right" w:leader="dot" w:pos="9360"/>
            </w:tabs>
            <w:bidi w:val="0"/>
            <w:rPr>
              <w:rStyle w:val="Hyperlink"/>
            </w:rPr>
          </w:pPr>
          <w:hyperlink w:anchor="_Toc1328409075">
            <w:r w:rsidRPr="3AB61F0A" w:rsidR="3AB61F0A">
              <w:rPr>
                <w:rStyle w:val="Hyperlink"/>
              </w:rPr>
              <w:t>2. Caregiving in the First 1000 Days</w:t>
            </w:r>
            <w:r>
              <w:tab/>
            </w:r>
            <w:r>
              <w:fldChar w:fldCharType="begin"/>
            </w:r>
            <w:r>
              <w:instrText xml:space="preserve">PAGEREF _Toc1328409075 \h</w:instrText>
            </w:r>
            <w:r>
              <w:fldChar w:fldCharType="separate"/>
            </w:r>
            <w:r w:rsidRPr="3AB61F0A" w:rsidR="3AB61F0A">
              <w:rPr>
                <w:rStyle w:val="Hyperlink"/>
              </w:rPr>
              <w:t>6</w:t>
            </w:r>
            <w:r>
              <w:fldChar w:fldCharType="end"/>
            </w:r>
          </w:hyperlink>
        </w:p>
        <w:p w:rsidR="296539C3" w:rsidP="296539C3" w:rsidRDefault="296539C3" w14:paraId="4509F76A" w14:textId="353A2973">
          <w:pPr>
            <w:pStyle w:val="TOC2"/>
            <w:tabs>
              <w:tab w:val="right" w:leader="dot" w:pos="9360"/>
            </w:tabs>
            <w:bidi w:val="0"/>
            <w:rPr>
              <w:rStyle w:val="Hyperlink"/>
            </w:rPr>
          </w:pPr>
          <w:hyperlink w:anchor="_Toc1869515611">
            <w:r w:rsidRPr="3AB61F0A" w:rsidR="3AB61F0A">
              <w:rPr>
                <w:rStyle w:val="Hyperlink"/>
              </w:rPr>
              <w:t>2.1 Understanding Exceptional Caregiving</w:t>
            </w:r>
            <w:r>
              <w:tab/>
            </w:r>
            <w:r>
              <w:fldChar w:fldCharType="begin"/>
            </w:r>
            <w:r>
              <w:instrText xml:space="preserve">PAGEREF _Toc1869515611 \h</w:instrText>
            </w:r>
            <w:r>
              <w:fldChar w:fldCharType="separate"/>
            </w:r>
            <w:r w:rsidRPr="3AB61F0A" w:rsidR="3AB61F0A">
              <w:rPr>
                <w:rStyle w:val="Hyperlink"/>
              </w:rPr>
              <w:t>6</w:t>
            </w:r>
            <w:r>
              <w:fldChar w:fldCharType="end"/>
            </w:r>
          </w:hyperlink>
        </w:p>
        <w:p w:rsidR="296539C3" w:rsidP="296539C3" w:rsidRDefault="296539C3" w14:paraId="14CB4149" w14:textId="7D8305BE">
          <w:pPr>
            <w:pStyle w:val="TOC2"/>
            <w:tabs>
              <w:tab w:val="right" w:leader="dot" w:pos="9360"/>
            </w:tabs>
            <w:bidi w:val="0"/>
            <w:rPr>
              <w:rStyle w:val="Hyperlink"/>
            </w:rPr>
          </w:pPr>
          <w:hyperlink w:anchor="_Toc101909030">
            <w:r w:rsidRPr="3AB61F0A" w:rsidR="3AB61F0A">
              <w:rPr>
                <w:rStyle w:val="Hyperlink"/>
              </w:rPr>
              <w:t>2.2 Enabling and Inclusive Care Environments</w:t>
            </w:r>
            <w:r>
              <w:tab/>
            </w:r>
            <w:r>
              <w:fldChar w:fldCharType="begin"/>
            </w:r>
            <w:r>
              <w:instrText xml:space="preserve">PAGEREF _Toc101909030 \h</w:instrText>
            </w:r>
            <w:r>
              <w:fldChar w:fldCharType="separate"/>
            </w:r>
            <w:r w:rsidRPr="3AB61F0A" w:rsidR="3AB61F0A">
              <w:rPr>
                <w:rStyle w:val="Hyperlink"/>
              </w:rPr>
              <w:t>7</w:t>
            </w:r>
            <w:r>
              <w:fldChar w:fldCharType="end"/>
            </w:r>
          </w:hyperlink>
        </w:p>
        <w:p w:rsidR="296539C3" w:rsidP="296539C3" w:rsidRDefault="296539C3" w14:paraId="65B3254A" w14:textId="5242B0F7">
          <w:pPr>
            <w:pStyle w:val="TOC2"/>
            <w:tabs>
              <w:tab w:val="right" w:leader="dot" w:pos="9360"/>
            </w:tabs>
            <w:bidi w:val="0"/>
            <w:rPr>
              <w:rStyle w:val="Hyperlink"/>
            </w:rPr>
          </w:pPr>
          <w:hyperlink w:anchor="_Toc84213810">
            <w:r w:rsidRPr="3AB61F0A" w:rsidR="3AB61F0A">
              <w:rPr>
                <w:rStyle w:val="Hyperlink"/>
              </w:rPr>
              <w:t>2.3 Theoretical Foundations of Caregiving</w:t>
            </w:r>
            <w:r>
              <w:tab/>
            </w:r>
            <w:r>
              <w:fldChar w:fldCharType="begin"/>
            </w:r>
            <w:r>
              <w:instrText xml:space="preserve">PAGEREF _Toc84213810 \h</w:instrText>
            </w:r>
            <w:r>
              <w:fldChar w:fldCharType="separate"/>
            </w:r>
            <w:r w:rsidRPr="3AB61F0A" w:rsidR="3AB61F0A">
              <w:rPr>
                <w:rStyle w:val="Hyperlink"/>
              </w:rPr>
              <w:t>7</w:t>
            </w:r>
            <w:r>
              <w:fldChar w:fldCharType="end"/>
            </w:r>
          </w:hyperlink>
        </w:p>
        <w:p w:rsidR="296539C3" w:rsidP="296539C3" w:rsidRDefault="296539C3" w14:paraId="1FB49688" w14:textId="12989D56">
          <w:pPr>
            <w:pStyle w:val="TOC1"/>
            <w:tabs>
              <w:tab w:val="right" w:leader="dot" w:pos="9360"/>
            </w:tabs>
            <w:bidi w:val="0"/>
            <w:rPr>
              <w:rStyle w:val="Hyperlink"/>
            </w:rPr>
          </w:pPr>
          <w:hyperlink w:anchor="_Toc2105602640">
            <w:r w:rsidRPr="3AB61F0A" w:rsidR="3AB61F0A">
              <w:rPr>
                <w:rStyle w:val="Hyperlink"/>
              </w:rPr>
              <w:t>3. Professional Partnerships in the First 1000 Days</w:t>
            </w:r>
            <w:r>
              <w:tab/>
            </w:r>
            <w:r>
              <w:fldChar w:fldCharType="begin"/>
            </w:r>
            <w:r>
              <w:instrText xml:space="preserve">PAGEREF _Toc2105602640 \h</w:instrText>
            </w:r>
            <w:r>
              <w:fldChar w:fldCharType="separate"/>
            </w:r>
            <w:r w:rsidRPr="3AB61F0A" w:rsidR="3AB61F0A">
              <w:rPr>
                <w:rStyle w:val="Hyperlink"/>
              </w:rPr>
              <w:t>8</w:t>
            </w:r>
            <w:r>
              <w:fldChar w:fldCharType="end"/>
            </w:r>
          </w:hyperlink>
        </w:p>
        <w:p w:rsidR="296539C3" w:rsidP="296539C3" w:rsidRDefault="296539C3" w14:paraId="3FA396F6" w14:textId="2ED6AD79">
          <w:pPr>
            <w:pStyle w:val="TOC2"/>
            <w:tabs>
              <w:tab w:val="right" w:leader="dot" w:pos="9360"/>
            </w:tabs>
            <w:bidi w:val="0"/>
            <w:rPr>
              <w:rStyle w:val="Hyperlink"/>
            </w:rPr>
          </w:pPr>
          <w:hyperlink w:anchor="_Toc1641854852">
            <w:r w:rsidRPr="3AB61F0A" w:rsidR="3AB61F0A">
              <w:rPr>
                <w:rStyle w:val="Hyperlink"/>
              </w:rPr>
              <w:t>3.1 Role of the Early Years Practitioner</w:t>
            </w:r>
            <w:r>
              <w:tab/>
            </w:r>
            <w:r>
              <w:fldChar w:fldCharType="begin"/>
            </w:r>
            <w:r>
              <w:instrText xml:space="preserve">PAGEREF _Toc1641854852 \h</w:instrText>
            </w:r>
            <w:r>
              <w:fldChar w:fldCharType="separate"/>
            </w:r>
            <w:r w:rsidRPr="3AB61F0A" w:rsidR="3AB61F0A">
              <w:rPr>
                <w:rStyle w:val="Hyperlink"/>
              </w:rPr>
              <w:t>9</w:t>
            </w:r>
            <w:r>
              <w:fldChar w:fldCharType="end"/>
            </w:r>
          </w:hyperlink>
        </w:p>
        <w:p w:rsidR="296539C3" w:rsidP="296539C3" w:rsidRDefault="296539C3" w14:paraId="74E2F34E" w14:textId="4CAF63C6">
          <w:pPr>
            <w:pStyle w:val="TOC2"/>
            <w:tabs>
              <w:tab w:val="right" w:leader="dot" w:pos="9360"/>
            </w:tabs>
            <w:bidi w:val="0"/>
            <w:rPr>
              <w:rStyle w:val="Hyperlink"/>
            </w:rPr>
          </w:pPr>
          <w:hyperlink w:anchor="_Toc165671177">
            <w:r w:rsidRPr="3AB61F0A" w:rsidR="3AB61F0A">
              <w:rPr>
                <w:rStyle w:val="Hyperlink"/>
              </w:rPr>
              <w:t>3.2 Working in Partnership with Families and Professionals</w:t>
            </w:r>
            <w:r>
              <w:tab/>
            </w:r>
            <w:r>
              <w:fldChar w:fldCharType="begin"/>
            </w:r>
            <w:r>
              <w:instrText xml:space="preserve">PAGEREF _Toc165671177 \h</w:instrText>
            </w:r>
            <w:r>
              <w:fldChar w:fldCharType="separate"/>
            </w:r>
            <w:r w:rsidRPr="3AB61F0A" w:rsidR="3AB61F0A">
              <w:rPr>
                <w:rStyle w:val="Hyperlink"/>
              </w:rPr>
              <w:t>9</w:t>
            </w:r>
            <w:r>
              <w:fldChar w:fldCharType="end"/>
            </w:r>
          </w:hyperlink>
        </w:p>
        <w:p w:rsidR="296539C3" w:rsidP="296539C3" w:rsidRDefault="296539C3" w14:paraId="49933B21" w14:textId="7D434336">
          <w:pPr>
            <w:pStyle w:val="TOC2"/>
            <w:tabs>
              <w:tab w:val="right" w:leader="dot" w:pos="9360"/>
            </w:tabs>
            <w:bidi w:val="0"/>
            <w:rPr>
              <w:rStyle w:val="Hyperlink"/>
            </w:rPr>
          </w:pPr>
          <w:hyperlink w:anchor="_Toc1533539478">
            <w:r w:rsidRPr="3AB61F0A" w:rsidR="3AB61F0A">
              <w:rPr>
                <w:rStyle w:val="Hyperlink"/>
              </w:rPr>
              <w:t>3.3 Maternal Factors and Support Strategies</w:t>
            </w:r>
            <w:r>
              <w:tab/>
            </w:r>
            <w:r>
              <w:fldChar w:fldCharType="begin"/>
            </w:r>
            <w:r>
              <w:instrText xml:space="preserve">PAGEREF _Toc1533539478 \h</w:instrText>
            </w:r>
            <w:r>
              <w:fldChar w:fldCharType="separate"/>
            </w:r>
            <w:r w:rsidRPr="3AB61F0A" w:rsidR="3AB61F0A">
              <w:rPr>
                <w:rStyle w:val="Hyperlink"/>
              </w:rPr>
              <w:t>11</w:t>
            </w:r>
            <w:r>
              <w:fldChar w:fldCharType="end"/>
            </w:r>
          </w:hyperlink>
        </w:p>
        <w:p w:rsidR="296539C3" w:rsidP="296539C3" w:rsidRDefault="296539C3" w14:paraId="528E15E3" w14:textId="6FCFBF4B">
          <w:pPr>
            <w:pStyle w:val="TOC1"/>
            <w:tabs>
              <w:tab w:val="right" w:leader="dot" w:pos="9360"/>
            </w:tabs>
            <w:bidi w:val="0"/>
            <w:rPr>
              <w:rStyle w:val="Hyperlink"/>
            </w:rPr>
          </w:pPr>
          <w:hyperlink w:anchor="_Toc584994412">
            <w:r w:rsidRPr="3AB61F0A" w:rsidR="3AB61F0A">
              <w:rPr>
                <w:rStyle w:val="Hyperlink"/>
              </w:rPr>
              <w:t>4. Challenges in Providing High-Quality Care</w:t>
            </w:r>
            <w:r>
              <w:tab/>
            </w:r>
            <w:r>
              <w:fldChar w:fldCharType="begin"/>
            </w:r>
            <w:r>
              <w:instrText xml:space="preserve">PAGEREF _Toc584994412 \h</w:instrText>
            </w:r>
            <w:r>
              <w:fldChar w:fldCharType="separate"/>
            </w:r>
            <w:r w:rsidRPr="3AB61F0A" w:rsidR="3AB61F0A">
              <w:rPr>
                <w:rStyle w:val="Hyperlink"/>
              </w:rPr>
              <w:t>12</w:t>
            </w:r>
            <w:r>
              <w:fldChar w:fldCharType="end"/>
            </w:r>
          </w:hyperlink>
        </w:p>
        <w:p w:rsidR="296539C3" w:rsidP="296539C3" w:rsidRDefault="296539C3" w14:paraId="0F8629B7" w14:textId="43BC385A">
          <w:pPr>
            <w:pStyle w:val="TOC2"/>
            <w:tabs>
              <w:tab w:val="right" w:leader="dot" w:pos="9360"/>
            </w:tabs>
            <w:bidi w:val="0"/>
            <w:rPr>
              <w:rStyle w:val="Hyperlink"/>
            </w:rPr>
          </w:pPr>
          <w:hyperlink w:anchor="_Toc1793140968">
            <w:r w:rsidRPr="3AB61F0A" w:rsidR="3AB61F0A">
              <w:rPr>
                <w:rStyle w:val="Hyperlink"/>
              </w:rPr>
              <w:t>4.1 Practical and Organisational Challenges</w:t>
            </w:r>
            <w:r>
              <w:tab/>
            </w:r>
            <w:r>
              <w:fldChar w:fldCharType="begin"/>
            </w:r>
            <w:r>
              <w:instrText xml:space="preserve">PAGEREF _Toc1793140968 \h</w:instrText>
            </w:r>
            <w:r>
              <w:fldChar w:fldCharType="separate"/>
            </w:r>
            <w:r w:rsidRPr="3AB61F0A" w:rsidR="3AB61F0A">
              <w:rPr>
                <w:rStyle w:val="Hyperlink"/>
              </w:rPr>
              <w:t>12</w:t>
            </w:r>
            <w:r>
              <w:fldChar w:fldCharType="end"/>
            </w:r>
          </w:hyperlink>
        </w:p>
        <w:p w:rsidR="296539C3" w:rsidP="296539C3" w:rsidRDefault="296539C3" w14:paraId="56AB904B" w14:textId="0CC3D1F1">
          <w:pPr>
            <w:pStyle w:val="TOC2"/>
            <w:tabs>
              <w:tab w:val="right" w:leader="dot" w:pos="9360"/>
            </w:tabs>
            <w:bidi w:val="0"/>
            <w:rPr>
              <w:rStyle w:val="Hyperlink"/>
            </w:rPr>
          </w:pPr>
          <w:hyperlink w:anchor="_Toc1048245660">
            <w:r w:rsidRPr="3AB61F0A" w:rsidR="3AB61F0A">
              <w:rPr>
                <w:rStyle w:val="Hyperlink"/>
              </w:rPr>
              <w:t>4.2 Emotional Challenges for Practitioners</w:t>
            </w:r>
            <w:r>
              <w:tab/>
            </w:r>
            <w:r>
              <w:fldChar w:fldCharType="begin"/>
            </w:r>
            <w:r>
              <w:instrText xml:space="preserve">PAGEREF _Toc1048245660 \h</w:instrText>
            </w:r>
            <w:r>
              <w:fldChar w:fldCharType="separate"/>
            </w:r>
            <w:r w:rsidRPr="3AB61F0A" w:rsidR="3AB61F0A">
              <w:rPr>
                <w:rStyle w:val="Hyperlink"/>
              </w:rPr>
              <w:t>12</w:t>
            </w:r>
            <w:r>
              <w:fldChar w:fldCharType="end"/>
            </w:r>
          </w:hyperlink>
        </w:p>
        <w:p w:rsidR="296539C3" w:rsidP="296539C3" w:rsidRDefault="296539C3" w14:paraId="1A9EFE2F" w14:textId="07A03647">
          <w:pPr>
            <w:pStyle w:val="TOC2"/>
            <w:tabs>
              <w:tab w:val="right" w:leader="dot" w:pos="9360"/>
            </w:tabs>
            <w:bidi w:val="0"/>
            <w:rPr>
              <w:rStyle w:val="Hyperlink"/>
            </w:rPr>
          </w:pPr>
          <w:hyperlink w:anchor="_Toc389039761">
            <w:r w:rsidRPr="3AB61F0A" w:rsidR="3AB61F0A">
              <w:rPr>
                <w:rStyle w:val="Hyperlink"/>
              </w:rPr>
              <w:t>4.3 Social and Environmental Barriers</w:t>
            </w:r>
            <w:r>
              <w:tab/>
            </w:r>
            <w:r>
              <w:fldChar w:fldCharType="begin"/>
            </w:r>
            <w:r>
              <w:instrText xml:space="preserve">PAGEREF _Toc389039761 \h</w:instrText>
            </w:r>
            <w:r>
              <w:fldChar w:fldCharType="separate"/>
            </w:r>
            <w:r w:rsidRPr="3AB61F0A" w:rsidR="3AB61F0A">
              <w:rPr>
                <w:rStyle w:val="Hyperlink"/>
              </w:rPr>
              <w:t>13</w:t>
            </w:r>
            <w:r>
              <w:fldChar w:fldCharType="end"/>
            </w:r>
          </w:hyperlink>
        </w:p>
        <w:p w:rsidR="296539C3" w:rsidP="296539C3" w:rsidRDefault="296539C3" w14:paraId="5666B957" w14:textId="62503AFE">
          <w:pPr>
            <w:pStyle w:val="TOC1"/>
            <w:tabs>
              <w:tab w:val="right" w:leader="dot" w:pos="9360"/>
            </w:tabs>
            <w:bidi w:val="0"/>
            <w:rPr>
              <w:rStyle w:val="Hyperlink"/>
            </w:rPr>
          </w:pPr>
          <w:hyperlink w:anchor="_Toc345208606">
            <w:r w:rsidRPr="3AB61F0A" w:rsidR="3AB61F0A">
              <w:rPr>
                <w:rStyle w:val="Hyperlink"/>
              </w:rPr>
              <w:t>5. Activities and Meaningful Learning in the First 1000 Days</w:t>
            </w:r>
            <w:r>
              <w:tab/>
            </w:r>
            <w:r>
              <w:fldChar w:fldCharType="begin"/>
            </w:r>
            <w:r>
              <w:instrText xml:space="preserve">PAGEREF _Toc345208606 \h</w:instrText>
            </w:r>
            <w:r>
              <w:fldChar w:fldCharType="separate"/>
            </w:r>
            <w:r w:rsidRPr="3AB61F0A" w:rsidR="3AB61F0A">
              <w:rPr>
                <w:rStyle w:val="Hyperlink"/>
              </w:rPr>
              <w:t>14</w:t>
            </w:r>
            <w:r>
              <w:fldChar w:fldCharType="end"/>
            </w:r>
          </w:hyperlink>
        </w:p>
        <w:p w:rsidR="296539C3" w:rsidP="296539C3" w:rsidRDefault="296539C3" w14:paraId="0EA6C11B" w14:textId="19BC4D02">
          <w:pPr>
            <w:pStyle w:val="TOC2"/>
            <w:tabs>
              <w:tab w:val="right" w:leader="dot" w:pos="9360"/>
            </w:tabs>
            <w:bidi w:val="0"/>
            <w:rPr>
              <w:rStyle w:val="Hyperlink"/>
            </w:rPr>
          </w:pPr>
          <w:hyperlink w:anchor="_Toc1660574930">
            <w:r w:rsidRPr="3AB61F0A" w:rsidR="3AB61F0A">
              <w:rPr>
                <w:rStyle w:val="Hyperlink"/>
              </w:rPr>
              <w:t>5.1 Meaningful Learning Through Play and Relationships</w:t>
            </w:r>
            <w:r>
              <w:tab/>
            </w:r>
            <w:r>
              <w:fldChar w:fldCharType="begin"/>
            </w:r>
            <w:r>
              <w:instrText xml:space="preserve">PAGEREF _Toc1660574930 \h</w:instrText>
            </w:r>
            <w:r>
              <w:fldChar w:fldCharType="separate"/>
            </w:r>
            <w:r w:rsidRPr="3AB61F0A" w:rsidR="3AB61F0A">
              <w:rPr>
                <w:rStyle w:val="Hyperlink"/>
              </w:rPr>
              <w:t>14</w:t>
            </w:r>
            <w:r>
              <w:fldChar w:fldCharType="end"/>
            </w:r>
          </w:hyperlink>
        </w:p>
        <w:p w:rsidR="296539C3" w:rsidP="296539C3" w:rsidRDefault="296539C3" w14:paraId="11EF11B8" w14:textId="7675B1EF">
          <w:pPr>
            <w:pStyle w:val="TOC2"/>
            <w:tabs>
              <w:tab w:val="right" w:leader="dot" w:pos="9360"/>
            </w:tabs>
            <w:bidi w:val="0"/>
            <w:rPr>
              <w:rStyle w:val="Hyperlink"/>
            </w:rPr>
          </w:pPr>
          <w:hyperlink w:anchor="_Toc1934192735">
            <w:r w:rsidRPr="3AB61F0A" w:rsidR="3AB61F0A">
              <w:rPr>
                <w:rStyle w:val="Hyperlink"/>
              </w:rPr>
              <w:t>5.2 Play-Based and Sensory Activities</w:t>
            </w:r>
            <w:r>
              <w:tab/>
            </w:r>
            <w:r>
              <w:fldChar w:fldCharType="begin"/>
            </w:r>
            <w:r>
              <w:instrText xml:space="preserve">PAGEREF _Toc1934192735 \h</w:instrText>
            </w:r>
            <w:r>
              <w:fldChar w:fldCharType="separate"/>
            </w:r>
            <w:r w:rsidRPr="3AB61F0A" w:rsidR="3AB61F0A">
              <w:rPr>
                <w:rStyle w:val="Hyperlink"/>
              </w:rPr>
              <w:t>15</w:t>
            </w:r>
            <w:r>
              <w:fldChar w:fldCharType="end"/>
            </w:r>
          </w:hyperlink>
        </w:p>
        <w:p w:rsidR="296539C3" w:rsidP="296539C3" w:rsidRDefault="296539C3" w14:paraId="38261CFF" w14:textId="0C6965E6">
          <w:pPr>
            <w:pStyle w:val="TOC2"/>
            <w:tabs>
              <w:tab w:val="right" w:leader="dot" w:pos="9360"/>
            </w:tabs>
            <w:bidi w:val="0"/>
            <w:rPr>
              <w:rStyle w:val="Hyperlink"/>
            </w:rPr>
          </w:pPr>
          <w:hyperlink w:anchor="_Toc2114333078">
            <w:r w:rsidRPr="3AB61F0A" w:rsidR="3AB61F0A">
              <w:rPr>
                <w:rStyle w:val="Hyperlink"/>
              </w:rPr>
              <w:t>5.3 International Approaches to Early Learning</w:t>
            </w:r>
            <w:r>
              <w:tab/>
            </w:r>
            <w:r>
              <w:fldChar w:fldCharType="begin"/>
            </w:r>
            <w:r>
              <w:instrText xml:space="preserve">PAGEREF _Toc2114333078 \h</w:instrText>
            </w:r>
            <w:r>
              <w:fldChar w:fldCharType="separate"/>
            </w:r>
            <w:r w:rsidRPr="3AB61F0A" w:rsidR="3AB61F0A">
              <w:rPr>
                <w:rStyle w:val="Hyperlink"/>
              </w:rPr>
              <w:t>16</w:t>
            </w:r>
            <w:r>
              <w:fldChar w:fldCharType="end"/>
            </w:r>
          </w:hyperlink>
        </w:p>
        <w:p w:rsidR="296539C3" w:rsidP="296539C3" w:rsidRDefault="296539C3" w14:paraId="60E8C560" w14:textId="2D625DF9">
          <w:pPr>
            <w:pStyle w:val="TOC1"/>
            <w:tabs>
              <w:tab w:val="right" w:leader="dot" w:pos="9360"/>
            </w:tabs>
            <w:bidi w:val="0"/>
            <w:rPr>
              <w:rStyle w:val="Hyperlink"/>
            </w:rPr>
          </w:pPr>
          <w:hyperlink w:anchor="_Toc1720905903">
            <w:r w:rsidRPr="3AB61F0A" w:rsidR="3AB61F0A">
              <w:rPr>
                <w:rStyle w:val="Hyperlink"/>
              </w:rPr>
              <w:t>Conclusion</w:t>
            </w:r>
            <w:r>
              <w:tab/>
            </w:r>
            <w:r>
              <w:fldChar w:fldCharType="begin"/>
            </w:r>
            <w:r>
              <w:instrText xml:space="preserve">PAGEREF _Toc1720905903 \h</w:instrText>
            </w:r>
            <w:r>
              <w:fldChar w:fldCharType="separate"/>
            </w:r>
            <w:r w:rsidRPr="3AB61F0A" w:rsidR="3AB61F0A">
              <w:rPr>
                <w:rStyle w:val="Hyperlink"/>
              </w:rPr>
              <w:t>17</w:t>
            </w:r>
            <w:r>
              <w:fldChar w:fldCharType="end"/>
            </w:r>
          </w:hyperlink>
        </w:p>
        <w:p w:rsidR="296539C3" w:rsidP="296539C3" w:rsidRDefault="296539C3" w14:paraId="24265CC4" w14:textId="0568A62D">
          <w:pPr>
            <w:pStyle w:val="TOC1"/>
            <w:tabs>
              <w:tab w:val="right" w:leader="dot" w:pos="9360"/>
            </w:tabs>
            <w:bidi w:val="0"/>
            <w:rPr>
              <w:rStyle w:val="Hyperlink"/>
            </w:rPr>
          </w:pPr>
          <w:hyperlink w:anchor="_Toc866107380">
            <w:r w:rsidRPr="3AB61F0A" w:rsidR="3AB61F0A">
              <w:rPr>
                <w:rStyle w:val="Hyperlink"/>
              </w:rPr>
              <w:t>References</w:t>
            </w:r>
            <w:r>
              <w:tab/>
            </w:r>
            <w:r>
              <w:fldChar w:fldCharType="begin"/>
            </w:r>
            <w:r>
              <w:instrText xml:space="preserve">PAGEREF _Toc866107380 \h</w:instrText>
            </w:r>
            <w:r>
              <w:fldChar w:fldCharType="separate"/>
            </w:r>
            <w:r w:rsidRPr="3AB61F0A" w:rsidR="3AB61F0A">
              <w:rPr>
                <w:rStyle w:val="Hyperlink"/>
              </w:rPr>
              <w:t>18</w:t>
            </w:r>
            <w:r>
              <w:fldChar w:fldCharType="end"/>
            </w:r>
          </w:hyperlink>
          <w:r>
            <w:fldChar w:fldCharType="end"/>
          </w:r>
        </w:p>
      </w:sdtContent>
    </w:sdt>
    <w:p w:rsidR="296539C3" w:rsidP="296539C3" w:rsidRDefault="296539C3" w14:paraId="6CB2E39A" w14:textId="3E47D023">
      <w:pPr>
        <w:rPr>
          <w:rFonts w:ascii="Arial" w:hAnsi="Arial"/>
          <w:sz w:val="20"/>
          <w:szCs w:val="20"/>
        </w:rPr>
        <w:sectPr w:rsidR="022B3F44">
          <w:footerReference w:type="default" r:id="rId10"/>
          <w:pgSz w:w="12240" w:h="15840" w:orient="portrait"/>
          <w:pgMar w:top="1440" w:right="1440" w:bottom="1440" w:left="1440" w:header="720" w:footer="720" w:gutter="0"/>
          <w:cols w:space="720"/>
          <w:docGrid w:linePitch="360"/>
        </w:sectPr>
      </w:pPr>
    </w:p>
    <w:p w:rsidRPr="000B15B6" w:rsidR="0036534F" w:rsidP="5C413465" w:rsidRDefault="1C144474" w14:paraId="598D41E4" w14:textId="30A3AF3F">
      <w:pPr>
        <w:pStyle w:val="Title"/>
        <w:rPr>
          <w:rFonts w:ascii="Arial" w:hAnsi="Arial" w:cs="Arial"/>
        </w:rPr>
      </w:pPr>
      <w:r w:rsidRPr="5C413465">
        <w:rPr>
          <w:rFonts w:ascii="Arial" w:hAnsi="Arial" w:cs="Arial"/>
        </w:rPr>
        <w:t>T</w:t>
      </w:r>
      <w:r w:rsidRPr="5C413465" w:rsidR="0036534F">
        <w:rPr>
          <w:rFonts w:ascii="Arial" w:hAnsi="Arial" w:cs="Arial"/>
        </w:rPr>
        <w:t>he First 1000 Days</w:t>
      </w:r>
      <w:r w:rsidRPr="5C413465" w:rsidR="00141705">
        <w:rPr>
          <w:rFonts w:ascii="Arial" w:hAnsi="Arial" w:cs="Arial"/>
        </w:rPr>
        <w:t xml:space="preserve">: </w:t>
      </w:r>
      <w:r w:rsidRPr="5C413465" w:rsidR="0036534F">
        <w:rPr>
          <w:rFonts w:ascii="Arial" w:hAnsi="Arial" w:cs="Arial"/>
        </w:rPr>
        <w:t>A Digital Scrapbook on Exceptional Care in Early Childhood</w:t>
      </w:r>
    </w:p>
    <w:p w:rsidRPr="000B15B6" w:rsidR="0036534F" w:rsidP="5C413465" w:rsidRDefault="0036534F" w14:paraId="26CE8245" w14:textId="2B8D1C18">
      <w:pPr>
        <w:pStyle w:val="Heading1"/>
        <w:rPr>
          <w:rFonts w:ascii="Arial" w:hAnsi="Arial"/>
          <w:lang w:val="en-US"/>
        </w:rPr>
      </w:pPr>
      <w:bookmarkStart w:name="_Toc1651369584" w:id="328551818"/>
      <w:r w:rsidRPr="3AB61F0A" w:rsidR="6E3B57DB">
        <w:rPr>
          <w:rFonts w:ascii="Arial" w:hAnsi="Arial"/>
          <w:lang w:val="en-US"/>
        </w:rPr>
        <w:t>1. Introduction</w:t>
      </w:r>
      <w:bookmarkEnd w:id="328551818"/>
    </w:p>
    <w:p w:rsidRPr="000B15B6" w:rsidR="003032D4" w:rsidP="5C413465" w:rsidRDefault="003032D4" w14:paraId="3A7FBB75" w14:textId="77777777">
      <w:pPr>
        <w:pStyle w:val="Heading2"/>
        <w:rPr>
          <w:rFonts w:ascii="Arial" w:hAnsi="Arial"/>
          <w:lang w:val="en-US"/>
        </w:rPr>
      </w:pPr>
      <w:bookmarkStart w:name="_Toc2042581616" w:id="939410339"/>
      <w:r w:rsidRPr="3AB61F0A" w:rsidR="3DAD1962">
        <w:rPr>
          <w:rFonts w:ascii="Arial" w:hAnsi="Arial"/>
          <w:lang w:val="en-US"/>
        </w:rPr>
        <w:t>1.1 Defining the First 1000 Days</w:t>
      </w:r>
      <w:bookmarkEnd w:id="939410339"/>
    </w:p>
    <w:p w:rsidRPr="000B15B6" w:rsidR="001E0083" w:rsidP="296539C3" w:rsidRDefault="001E0083" w14:paraId="16371CF7" w14:textId="54ABEE44">
      <w:pPr>
        <w:spacing w:line="360" w:lineRule="auto"/>
        <w:rPr>
          <w:rFonts w:ascii="Arial" w:hAnsi="Arial"/>
        </w:rPr>
      </w:pPr>
      <w:r w:rsidRPr="296539C3" w:rsidR="7C1612D8">
        <w:rPr>
          <w:rFonts w:ascii="Arial" w:hAnsi="Arial"/>
          <w:lang w:val="en-US"/>
        </w:rPr>
        <w:t xml:space="preserve">The </w:t>
      </w:r>
      <w:r w:rsidRPr="296539C3" w:rsidR="7C1612D8">
        <w:rPr>
          <w:rFonts w:ascii="Arial" w:hAnsi="Arial"/>
          <w:lang w:val="en-US"/>
        </w:rPr>
        <w:t>initial</w:t>
      </w:r>
      <w:r w:rsidRPr="296539C3" w:rsidR="7C1612D8">
        <w:rPr>
          <w:rFonts w:ascii="Arial" w:hAnsi="Arial"/>
          <w:lang w:val="en-US"/>
        </w:rPr>
        <w:t xml:space="preserve"> 1000 days are the days between conception, during the pregnancy period, until the second birthday of a child. This period is commonly known in the early childhood field of work and research as a critical period of development, during which physical development, brain development, emotional </w:t>
      </w:r>
      <w:r w:rsidRPr="296539C3" w:rsidR="46481870">
        <w:rPr>
          <w:rFonts w:ascii="Arial" w:hAnsi="Arial"/>
          <w:lang w:val="en-US"/>
        </w:rPr>
        <w:t>well-being</w:t>
      </w:r>
      <w:r w:rsidRPr="296539C3" w:rsidR="7C1612D8">
        <w:rPr>
          <w:rFonts w:ascii="Arial" w:hAnsi="Arial"/>
          <w:lang w:val="en-US"/>
        </w:rPr>
        <w:t>, and future health are laid (</w:t>
      </w:r>
      <w:r w:rsidRPr="296539C3" w:rsidR="7C1612D8">
        <w:rPr>
          <w:rFonts w:ascii="Arial" w:hAnsi="Arial"/>
          <w:lang w:val="en-US"/>
        </w:rPr>
        <w:t>Karakochuk</w:t>
      </w:r>
      <w:r w:rsidRPr="296539C3" w:rsidR="7C1612D8">
        <w:rPr>
          <w:rFonts w:ascii="Arial" w:hAnsi="Arial"/>
          <w:lang w:val="en-US"/>
        </w:rPr>
        <w:t xml:space="preserve"> et al., 2018). This is a period of rapid development that becomes especially vulnerable to developmental factors that are positive or negative. Consequently, </w:t>
      </w:r>
      <w:r w:rsidRPr="296539C3" w:rsidR="46481870">
        <w:rPr>
          <w:rFonts w:ascii="Arial" w:hAnsi="Arial"/>
          <w:lang w:val="en-US"/>
        </w:rPr>
        <w:t xml:space="preserve">the </w:t>
      </w:r>
      <w:r w:rsidRPr="296539C3" w:rsidR="7C1612D8">
        <w:rPr>
          <w:rFonts w:ascii="Arial" w:hAnsi="Arial"/>
          <w:lang w:val="en-US"/>
        </w:rPr>
        <w:t xml:space="preserve">first 1000-day experiences are important </w:t>
      </w:r>
      <w:r w:rsidRPr="296539C3" w:rsidR="1E1733A9">
        <w:rPr>
          <w:rFonts w:ascii="Arial" w:hAnsi="Arial"/>
          <w:lang w:val="en-US"/>
        </w:rPr>
        <w:t>influences</w:t>
      </w:r>
      <w:r w:rsidRPr="296539C3" w:rsidR="7C1612D8">
        <w:rPr>
          <w:rFonts w:ascii="Arial" w:hAnsi="Arial"/>
          <w:lang w:val="en-US"/>
        </w:rPr>
        <w:t xml:space="preserve"> of future outcomes throughout the lifespan (Gerhardt, 2015). </w:t>
      </w:r>
    </w:p>
    <w:p w:rsidR="0081306B" w:rsidP="5C413465" w:rsidRDefault="0081306B" w14:paraId="10D80AED" w14:textId="1F68520C">
      <w:r>
        <w:rPr>
          <w:noProof/>
        </w:rPr>
        <w:drawing>
          <wp:inline distT="0" distB="0" distL="0" distR="0" wp14:anchorId="77BBE44A" wp14:editId="31E50398">
            <wp:extent cx="4857293" cy="2420862"/>
            <wp:effectExtent l="0" t="0" r="635" b="0"/>
            <wp:docPr id="17409683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863953" cy="2424181"/>
                    </a:xfrm>
                    <a:prstGeom prst="rect">
                      <a:avLst/>
                    </a:prstGeom>
                    <a:noFill/>
                    <a:ln>
                      <a:noFill/>
                    </a:ln>
                  </pic:spPr>
                </pic:pic>
              </a:graphicData>
            </a:graphic>
          </wp:inline>
        </w:drawing>
      </w:r>
    </w:p>
    <w:p w:rsidRPr="000B15B6" w:rsidR="0081306B" w:rsidP="5C413465" w:rsidRDefault="0081306B" w14:paraId="414CA319" w14:textId="3F12C4D2">
      <w:pPr>
        <w:rPr>
          <w:rFonts w:ascii="Arial" w:hAnsi="Arial"/>
          <w:lang w:val="en-US"/>
        </w:rPr>
      </w:pPr>
      <w:r w:rsidRPr="5C413465">
        <w:rPr>
          <w:rFonts w:ascii="Arial" w:hAnsi="Arial"/>
        </w:rPr>
        <w:t xml:space="preserve">Figure 1: Visual representation of </w:t>
      </w:r>
      <w:r w:rsidRPr="5C413465" w:rsidR="002B5F76">
        <w:rPr>
          <w:rFonts w:ascii="Arial" w:hAnsi="Arial"/>
        </w:rPr>
        <w:t xml:space="preserve">the </w:t>
      </w:r>
      <w:r w:rsidRPr="5C413465">
        <w:rPr>
          <w:rFonts w:ascii="Arial" w:hAnsi="Arial"/>
        </w:rPr>
        <w:t xml:space="preserve">first 1000 days </w:t>
      </w:r>
      <w:r w:rsidRPr="5C413465" w:rsidR="00CB5993">
        <w:rPr>
          <w:rFonts w:ascii="Arial" w:hAnsi="Arial"/>
          <w:lang w:val="en-US"/>
        </w:rPr>
        <w:t>(Bounty, 2023)</w:t>
      </w:r>
    </w:p>
    <w:p w:rsidRPr="000B15B6" w:rsidR="001E0083" w:rsidP="296539C3" w:rsidRDefault="001E0083" w14:paraId="1C7AC3A8" w14:textId="093E529D">
      <w:pPr>
        <w:spacing w:line="360" w:lineRule="auto"/>
        <w:rPr>
          <w:rFonts w:ascii="Arial" w:hAnsi="Arial"/>
        </w:rPr>
      </w:pPr>
      <w:r w:rsidRPr="296539C3" w:rsidR="7C1612D8">
        <w:rPr>
          <w:rFonts w:ascii="Arial" w:hAnsi="Arial"/>
          <w:lang w:val="en-US"/>
        </w:rPr>
        <w:t xml:space="preserve">Since its conception, the developing fetus starts developing the fundamental structures of the brain and the nervous system. A variety of factors, such as </w:t>
      </w:r>
      <w:r w:rsidRPr="296539C3" w:rsidR="1E1733A9">
        <w:rPr>
          <w:rFonts w:ascii="Arial" w:hAnsi="Arial"/>
          <w:lang w:val="en-US"/>
        </w:rPr>
        <w:t>nutrition</w:t>
      </w:r>
      <w:r w:rsidRPr="296539C3" w:rsidR="7C1612D8">
        <w:rPr>
          <w:rFonts w:ascii="Arial" w:hAnsi="Arial"/>
          <w:lang w:val="en-US"/>
        </w:rPr>
        <w:t xml:space="preserve"> of the mother, physical, emotional, and stress exposure, influence this early development (Annis, 2019). Infants carry growth and development at </w:t>
      </w:r>
      <w:r w:rsidRPr="296539C3" w:rsidR="46481870">
        <w:rPr>
          <w:rFonts w:ascii="Arial" w:hAnsi="Arial"/>
          <w:lang w:val="en-US"/>
        </w:rPr>
        <w:t>a rapid pace after birth; they are so dependent on their caregivers to be able to address their physical, emotional, and</w:t>
      </w:r>
      <w:r w:rsidRPr="296539C3" w:rsidR="7C1612D8">
        <w:rPr>
          <w:rFonts w:ascii="Arial" w:hAnsi="Arial"/>
          <w:lang w:val="en-US"/>
        </w:rPr>
        <w:t xml:space="preserve"> social needs. At this age, babies are completely reliant on responsive adults to offer care, protection, and learning and connection experiences (Brodie, 2018).</w:t>
      </w:r>
    </w:p>
    <w:p w:rsidRPr="000B15B6" w:rsidR="003032D4" w:rsidP="296539C3" w:rsidRDefault="003032D4" w14:paraId="79B0EFB2" w14:textId="44195FBE">
      <w:pPr>
        <w:pStyle w:val="Heading2"/>
        <w:spacing w:line="360" w:lineRule="auto"/>
        <w:rPr>
          <w:rFonts w:ascii="Arial" w:hAnsi="Arial"/>
          <w:lang w:val="en-US"/>
        </w:rPr>
      </w:pPr>
      <w:bookmarkStart w:name="_Toc2083797636" w:id="565215811"/>
      <w:r w:rsidRPr="3AB61F0A" w:rsidR="3DAD1962">
        <w:rPr>
          <w:rFonts w:ascii="Arial" w:hAnsi="Arial"/>
          <w:lang w:val="en-US"/>
        </w:rPr>
        <w:t>1.2 Why the First 1000 Days Are Critical</w:t>
      </w:r>
      <w:bookmarkEnd w:id="565215811"/>
    </w:p>
    <w:p w:rsidRPr="000B15B6" w:rsidR="001E0083" w:rsidP="296539C3" w:rsidRDefault="001E0083" w14:paraId="0D84379C" w14:textId="0194786B">
      <w:pPr>
        <w:spacing w:line="360" w:lineRule="auto"/>
        <w:rPr>
          <w:rFonts w:ascii="Arial" w:hAnsi="Arial"/>
        </w:rPr>
      </w:pPr>
      <w:r w:rsidRPr="296539C3" w:rsidR="7C1612D8">
        <w:rPr>
          <w:rFonts w:ascii="Arial" w:hAnsi="Arial"/>
          <w:lang w:val="en-US"/>
        </w:rPr>
        <w:t xml:space="preserve">The </w:t>
      </w:r>
      <w:r w:rsidRPr="296539C3" w:rsidR="7C1612D8">
        <w:rPr>
          <w:rFonts w:ascii="Arial" w:hAnsi="Arial"/>
          <w:lang w:val="en-US"/>
        </w:rPr>
        <w:t>initial</w:t>
      </w:r>
      <w:r w:rsidRPr="296539C3" w:rsidR="7C1612D8">
        <w:rPr>
          <w:rFonts w:ascii="Arial" w:hAnsi="Arial"/>
          <w:lang w:val="en-US"/>
        </w:rPr>
        <w:t xml:space="preserve"> 1000 days are important since it is the period when the brain becomes especially flexible and receptive to experiences</w:t>
      </w:r>
      <w:r w:rsidRPr="296539C3" w:rsidR="46481870">
        <w:rPr>
          <w:rFonts w:ascii="Arial" w:hAnsi="Arial"/>
          <w:lang w:val="en-US"/>
        </w:rPr>
        <w:t>,</w:t>
      </w:r>
      <w:r w:rsidRPr="296539C3" w:rsidR="7C1612D8">
        <w:rPr>
          <w:rFonts w:ascii="Arial" w:hAnsi="Arial"/>
          <w:lang w:val="en-US"/>
        </w:rPr>
        <w:t xml:space="preserve"> as this is the time of maximal brain plasticity (</w:t>
      </w:r>
      <w:r w:rsidRPr="296539C3" w:rsidR="7C1612D8">
        <w:rPr>
          <w:rFonts w:ascii="Arial" w:hAnsi="Arial"/>
          <w:lang w:val="en-US"/>
        </w:rPr>
        <w:t>Karakochuk</w:t>
      </w:r>
      <w:r w:rsidRPr="296539C3" w:rsidR="7C1612D8">
        <w:rPr>
          <w:rFonts w:ascii="Arial" w:hAnsi="Arial"/>
          <w:lang w:val="en-US"/>
        </w:rPr>
        <w:t xml:space="preserve"> et al., 2018). The neural pathways are developed at an accelerated pace during pregnancy and in </w:t>
      </w:r>
      <w:r w:rsidRPr="296539C3" w:rsidR="46481870">
        <w:rPr>
          <w:rFonts w:ascii="Arial" w:hAnsi="Arial"/>
          <w:lang w:val="en-US"/>
        </w:rPr>
        <w:t xml:space="preserve">early infancy, which form the foundation of </w:t>
      </w:r>
      <w:r w:rsidRPr="296539C3" w:rsidR="7C1612D8">
        <w:rPr>
          <w:rFonts w:ascii="Arial" w:hAnsi="Arial"/>
          <w:lang w:val="en-US"/>
        </w:rPr>
        <w:t>cognitive functioning, emotional control, and social development. A child is between two years old when his brain has grown to about 80 percent of its adult size</w:t>
      </w:r>
      <w:r w:rsidRPr="296539C3" w:rsidR="46481870">
        <w:rPr>
          <w:rFonts w:ascii="Arial" w:hAnsi="Arial"/>
          <w:lang w:val="en-US"/>
        </w:rPr>
        <w:t>,</w:t>
      </w:r>
      <w:r w:rsidRPr="296539C3" w:rsidR="7C1612D8">
        <w:rPr>
          <w:rFonts w:ascii="Arial" w:hAnsi="Arial"/>
          <w:lang w:val="en-US"/>
        </w:rPr>
        <w:t xml:space="preserve"> and this shows the extent of growth that a child experiences within </w:t>
      </w:r>
      <w:r w:rsidRPr="296539C3" w:rsidR="7C1612D8">
        <w:rPr>
          <w:rFonts w:ascii="Arial" w:hAnsi="Arial"/>
          <w:lang w:val="en-US"/>
        </w:rPr>
        <w:t>a very limited</w:t>
      </w:r>
      <w:r w:rsidRPr="296539C3" w:rsidR="7C1612D8">
        <w:rPr>
          <w:rFonts w:ascii="Arial" w:hAnsi="Arial"/>
          <w:lang w:val="en-US"/>
        </w:rPr>
        <w:t xml:space="preserve"> time (Gerhardt, 2015). </w:t>
      </w:r>
    </w:p>
    <w:p w:rsidRPr="000B15B6" w:rsidR="00CB5993" w:rsidP="5C413465" w:rsidRDefault="00CB5993" w14:paraId="4EB7E293" w14:textId="1912B908">
      <w:pPr>
        <w:rPr>
          <w:rFonts w:ascii="Arial" w:hAnsi="Arial"/>
        </w:rPr>
      </w:pPr>
      <w:r>
        <w:rPr>
          <w:noProof/>
        </w:rPr>
        <w:drawing>
          <wp:inline distT="0" distB="0" distL="0" distR="0" wp14:anchorId="6BDAB783" wp14:editId="446BD202">
            <wp:extent cx="3621329" cy="1801973"/>
            <wp:effectExtent l="0" t="0" r="0" b="8255"/>
            <wp:docPr id="145486193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642936" cy="1812725"/>
                    </a:xfrm>
                    <a:prstGeom prst="rect">
                      <a:avLst/>
                    </a:prstGeom>
                    <a:noFill/>
                    <a:ln>
                      <a:noFill/>
                    </a:ln>
                  </pic:spPr>
                </pic:pic>
              </a:graphicData>
            </a:graphic>
          </wp:inline>
        </w:drawing>
      </w:r>
    </w:p>
    <w:p w:rsidRPr="000B15B6" w:rsidR="00CB5993" w:rsidP="5C413465" w:rsidRDefault="00CB5993" w14:paraId="2DFAE29D" w14:textId="727606A1">
      <w:pPr>
        <w:rPr>
          <w:rFonts w:ascii="Arial" w:hAnsi="Arial"/>
          <w:lang w:val="en-US"/>
        </w:rPr>
      </w:pPr>
      <w:r w:rsidRPr="5C413465">
        <w:rPr>
          <w:rFonts w:ascii="Arial" w:hAnsi="Arial"/>
        </w:rPr>
        <w:t xml:space="preserve">Figure 2: Brain development of a child </w:t>
      </w:r>
      <w:r w:rsidRPr="5C413465">
        <w:rPr>
          <w:rFonts w:ascii="Arial" w:hAnsi="Arial"/>
          <w:lang w:val="en-US"/>
        </w:rPr>
        <w:t xml:space="preserve">(Early </w:t>
      </w:r>
      <w:r w:rsidRPr="5C413465" w:rsidR="004B743D">
        <w:rPr>
          <w:rFonts w:ascii="Arial" w:hAnsi="Arial"/>
          <w:lang w:val="en-US"/>
        </w:rPr>
        <w:t>Edu</w:t>
      </w:r>
      <w:r w:rsidRPr="5C413465">
        <w:rPr>
          <w:rFonts w:ascii="Arial" w:hAnsi="Arial"/>
          <w:lang w:val="en-US"/>
        </w:rPr>
        <w:t xml:space="preserve"> Alliance, 2026)</w:t>
      </w:r>
    </w:p>
    <w:p w:rsidRPr="000B15B6" w:rsidR="001E0083" w:rsidP="5C413465" w:rsidRDefault="001E0083" w14:paraId="3B5B8794" w14:textId="1D9F8804">
      <w:pPr>
        <w:rPr>
          <w:rFonts w:ascii="Arial" w:hAnsi="Arial"/>
        </w:rPr>
      </w:pPr>
      <w:r w:rsidRPr="5C413465">
        <w:rPr>
          <w:rFonts w:ascii="Arial" w:hAnsi="Arial"/>
          <w:lang w:val="en-US"/>
        </w:rPr>
        <w:t xml:space="preserve">Experience that occurs when a person is giving care during this age </w:t>
      </w:r>
      <w:r w:rsidRPr="5C413465" w:rsidR="0081306B">
        <w:rPr>
          <w:rFonts w:ascii="Arial" w:hAnsi="Arial"/>
          <w:lang w:val="en-US"/>
        </w:rPr>
        <w:t>significantly affects the strengthening or weakening of these neural connections</w:t>
      </w:r>
      <w:r w:rsidRPr="5C413465">
        <w:rPr>
          <w:rFonts w:ascii="Arial" w:hAnsi="Arial"/>
          <w:lang w:val="en-US"/>
        </w:rPr>
        <w:t xml:space="preserve">. Stable, attentive caregiving facilitates healthy attachment and emotional stability, whereas brain development may be impaired in the presence of chronic </w:t>
      </w:r>
      <w:r w:rsidRPr="5C413465" w:rsidR="0081306B">
        <w:rPr>
          <w:rFonts w:ascii="Arial" w:hAnsi="Arial"/>
          <w:lang w:val="en-US"/>
        </w:rPr>
        <w:t>stress</w:t>
      </w:r>
      <w:r w:rsidRPr="5C413465">
        <w:rPr>
          <w:rFonts w:ascii="Arial" w:hAnsi="Arial"/>
          <w:lang w:val="en-US"/>
        </w:rPr>
        <w:t xml:space="preserve"> or neglect (Brodie, 2018). All these factors, nutrition, sleep, health care, and emotional safety, interact to impact the developmental outcome, which is why a holistic approach to care provision in the first 1000 days is crucial (Rose, 2016).</w:t>
      </w:r>
    </w:p>
    <w:p w:rsidRPr="000B15B6" w:rsidR="003032D4" w:rsidP="5C413465" w:rsidRDefault="003032D4" w14:paraId="37114C62" w14:textId="707E60FC">
      <w:pPr>
        <w:pStyle w:val="Heading2"/>
        <w:rPr>
          <w:rFonts w:ascii="Arial" w:hAnsi="Arial"/>
          <w:lang w:val="en-US"/>
        </w:rPr>
      </w:pPr>
      <w:bookmarkStart w:name="_Toc72185914" w:id="1830468889"/>
      <w:r w:rsidRPr="3AB61F0A" w:rsidR="3DAD1962">
        <w:rPr>
          <w:rFonts w:ascii="Arial" w:hAnsi="Arial"/>
          <w:lang w:val="en-US"/>
        </w:rPr>
        <w:t>1.3 Long-Term Impact of Early Experiences</w:t>
      </w:r>
      <w:bookmarkEnd w:id="1830468889"/>
    </w:p>
    <w:p w:rsidRPr="000B15B6" w:rsidR="001E0083" w:rsidP="5C413465" w:rsidRDefault="001E0083" w14:paraId="707CAC71" w14:textId="75157E34">
      <w:pPr>
        <w:rPr>
          <w:rFonts w:ascii="Arial" w:hAnsi="Arial"/>
        </w:rPr>
      </w:pPr>
      <w:r w:rsidRPr="5C413465">
        <w:rPr>
          <w:rFonts w:ascii="Arial" w:hAnsi="Arial"/>
          <w:lang w:val="en-US"/>
        </w:rPr>
        <w:t xml:space="preserve">Learning, behaviour, health, </w:t>
      </w:r>
      <w:r w:rsidRPr="5C413465" w:rsidR="0081306B">
        <w:rPr>
          <w:rFonts w:ascii="Arial" w:hAnsi="Arial"/>
          <w:lang w:val="en-US"/>
        </w:rPr>
        <w:t>and well-being</w:t>
      </w:r>
      <w:r w:rsidRPr="5C413465">
        <w:rPr>
          <w:rFonts w:ascii="Arial" w:hAnsi="Arial"/>
          <w:lang w:val="en-US"/>
        </w:rPr>
        <w:t xml:space="preserve"> have long-term consequences of early experiences during the first 1000 days (MacBlain, 2021). Responsive caregiving, secure attachment, appropriate nutrition, and safe and nurturing environments are positive experiences that foster healthy brain development and emotional resilience. When they grow up in a stable and friendly environment, children tend to gain confidence, well-developed social skills, and the capacity to overcome difficulties at </w:t>
      </w:r>
      <w:r w:rsidRPr="5C413465" w:rsidR="0081306B">
        <w:rPr>
          <w:rFonts w:ascii="Arial" w:hAnsi="Arial"/>
          <w:lang w:val="en-US"/>
        </w:rPr>
        <w:t>an</w:t>
      </w:r>
      <w:r w:rsidRPr="5C413465">
        <w:rPr>
          <w:rFonts w:ascii="Arial" w:hAnsi="Arial"/>
          <w:lang w:val="en-US"/>
        </w:rPr>
        <w:t xml:space="preserve"> advanced age (Gerhardt, 2015). </w:t>
      </w:r>
    </w:p>
    <w:p w:rsidRPr="000B15B6" w:rsidR="002B5F76" w:rsidP="5C413465" w:rsidRDefault="00DF5501" w14:paraId="3E119058" w14:textId="14E0D85B">
      <w:pPr>
        <w:rPr>
          <w:rFonts w:ascii="Arial" w:hAnsi="Arial"/>
        </w:rPr>
      </w:pPr>
      <w:r>
        <w:rPr>
          <w:noProof/>
        </w:rPr>
        <w:drawing>
          <wp:inline distT="0" distB="0" distL="0" distR="0" wp14:anchorId="6A8DD0C7" wp14:editId="3E9026B8">
            <wp:extent cx="4011828" cy="2407954"/>
            <wp:effectExtent l="0" t="0" r="8255" b="0"/>
            <wp:docPr id="82352677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035032" cy="2421881"/>
                    </a:xfrm>
                    <a:prstGeom prst="rect">
                      <a:avLst/>
                    </a:prstGeom>
                    <a:noFill/>
                    <a:ln>
                      <a:noFill/>
                    </a:ln>
                  </pic:spPr>
                </pic:pic>
              </a:graphicData>
            </a:graphic>
          </wp:inline>
        </w:drawing>
      </w:r>
    </w:p>
    <w:p w:rsidRPr="000B15B6" w:rsidR="002B5F76" w:rsidP="5C413465" w:rsidRDefault="002B5F76" w14:paraId="404ADAD6" w14:textId="4CE9B72D">
      <w:pPr>
        <w:rPr>
          <w:rFonts w:ascii="Arial" w:hAnsi="Arial"/>
          <w:lang w:val="en-US"/>
        </w:rPr>
      </w:pPr>
      <w:r w:rsidRPr="5C413465">
        <w:rPr>
          <w:rFonts w:ascii="Arial" w:hAnsi="Arial"/>
        </w:rPr>
        <w:t xml:space="preserve">Figure 3: </w:t>
      </w:r>
      <w:r w:rsidRPr="5C413465" w:rsidR="00DF5501">
        <w:rPr>
          <w:rFonts w:ascii="Arial" w:hAnsi="Arial"/>
        </w:rPr>
        <w:t xml:space="preserve">Lasting Impacts of Early Adversity </w:t>
      </w:r>
      <w:r w:rsidRPr="5C413465" w:rsidR="00DF5501">
        <w:rPr>
          <w:rFonts w:ascii="Arial" w:hAnsi="Arial"/>
          <w:lang w:val="en-US"/>
        </w:rPr>
        <w:t>(Overdose Prevention, 2024)</w:t>
      </w:r>
    </w:p>
    <w:p w:rsidRPr="000B15B6" w:rsidR="0036534F" w:rsidP="5C413465" w:rsidRDefault="001E0083" w14:paraId="216FBC9B" w14:textId="4F8E9518">
      <w:pPr>
        <w:rPr>
          <w:rFonts w:ascii="Arial" w:hAnsi="Arial"/>
          <w:lang w:val="en-US"/>
        </w:rPr>
      </w:pPr>
      <w:r w:rsidRPr="5C413465">
        <w:rPr>
          <w:rFonts w:ascii="Arial" w:hAnsi="Arial"/>
        </w:rPr>
        <w:t xml:space="preserve">Conversely, adverse exchanges like neglect, extended stress, or inconsistent </w:t>
      </w:r>
      <w:r w:rsidRPr="5C413465" w:rsidR="0081306B">
        <w:rPr>
          <w:rFonts w:ascii="Arial" w:hAnsi="Arial"/>
        </w:rPr>
        <w:t>caregiving may have long-term</w:t>
      </w:r>
      <w:r w:rsidRPr="5C413465">
        <w:rPr>
          <w:rFonts w:ascii="Arial" w:hAnsi="Arial"/>
        </w:rPr>
        <w:t xml:space="preserve"> effects. Such experiences can also contribute to the risk of mental health issues, </w:t>
      </w:r>
      <w:r w:rsidRPr="5C413465" w:rsidR="0081306B">
        <w:rPr>
          <w:rFonts w:ascii="Arial" w:hAnsi="Arial"/>
        </w:rPr>
        <w:t>educational</w:t>
      </w:r>
      <w:r w:rsidRPr="5C413465" w:rsidR="70AE5305">
        <w:rPr>
          <w:rFonts w:ascii="Arial" w:hAnsi="Arial"/>
        </w:rPr>
        <w:t>,</w:t>
      </w:r>
      <w:r w:rsidRPr="5C413465">
        <w:rPr>
          <w:rFonts w:ascii="Arial" w:hAnsi="Arial"/>
        </w:rPr>
        <w:t xml:space="preserve"> and social relations challenges (Sansone, 2021). The studies continuously show that childhood trauma may influence stress reactions and emotional </w:t>
      </w:r>
      <w:r w:rsidRPr="5C413465" w:rsidR="0081306B">
        <w:rPr>
          <w:rFonts w:ascii="Arial" w:hAnsi="Arial"/>
        </w:rPr>
        <w:t>control</w:t>
      </w:r>
      <w:r w:rsidRPr="5C413465">
        <w:rPr>
          <w:rFonts w:ascii="Arial" w:hAnsi="Arial"/>
        </w:rPr>
        <w:t xml:space="preserve"> even in adulthood. Thus, such </w:t>
      </w:r>
      <w:r w:rsidRPr="5C413465" w:rsidR="0081306B">
        <w:rPr>
          <w:rFonts w:ascii="Arial" w:hAnsi="Arial"/>
        </w:rPr>
        <w:t>investments as high-quality care and support in the first 1000 days are</w:t>
      </w:r>
      <w:r w:rsidRPr="5C413465">
        <w:rPr>
          <w:rFonts w:ascii="Arial" w:hAnsi="Arial"/>
        </w:rPr>
        <w:t xml:space="preserve"> not only helpful to the individual children and families but also to the entire society since it makes the communities healthier and more resilient (Karakochuk et al., 2018). </w:t>
      </w:r>
    </w:p>
    <w:p w:rsidRPr="000B15B6" w:rsidR="0036534F" w:rsidP="5C413465" w:rsidRDefault="0036534F" w14:paraId="538FD047" w14:textId="77777777">
      <w:pPr>
        <w:rPr>
          <w:rFonts w:ascii="Arial" w:hAnsi="Arial"/>
          <w:lang w:val="en-US"/>
        </w:rPr>
      </w:pPr>
    </w:p>
    <w:p w:rsidRPr="000B15B6" w:rsidR="0036534F" w:rsidP="5C413465" w:rsidRDefault="0036534F" w14:paraId="6B4AC844" w14:textId="77777777">
      <w:pPr>
        <w:rPr>
          <w:rFonts w:ascii="Arial" w:hAnsi="Arial"/>
          <w:lang w:val="en-US"/>
        </w:rPr>
      </w:pPr>
    </w:p>
    <w:p w:rsidRPr="000B15B6" w:rsidR="0036534F" w:rsidP="5C413465" w:rsidRDefault="0036534F" w14:paraId="0D800073" w14:textId="77777777">
      <w:pPr>
        <w:rPr>
          <w:rFonts w:ascii="Arial" w:hAnsi="Arial"/>
          <w:lang w:val="en-US"/>
        </w:rPr>
      </w:pPr>
    </w:p>
    <w:p w:rsidRPr="000B15B6" w:rsidR="0036534F" w:rsidP="5C413465" w:rsidRDefault="0036534F" w14:paraId="01F2EB24" w14:textId="77777777">
      <w:pPr>
        <w:rPr>
          <w:rFonts w:ascii="Arial" w:hAnsi="Arial"/>
          <w:lang w:val="en-US"/>
        </w:rPr>
      </w:pPr>
    </w:p>
    <w:p w:rsidRPr="000B15B6" w:rsidR="0036534F" w:rsidP="5C413465" w:rsidRDefault="0036534F" w14:paraId="531CDB2A" w14:textId="77777777">
      <w:pPr>
        <w:rPr>
          <w:rFonts w:ascii="Arial" w:hAnsi="Arial"/>
          <w:lang w:val="en-US"/>
        </w:rPr>
      </w:pPr>
    </w:p>
    <w:p w:rsidRPr="000B15B6" w:rsidR="0036534F" w:rsidP="5C413465" w:rsidRDefault="0036534F" w14:paraId="3B810446" w14:textId="77777777">
      <w:pPr>
        <w:rPr>
          <w:rFonts w:ascii="Arial" w:hAnsi="Arial"/>
          <w:lang w:val="en-US"/>
        </w:rPr>
      </w:pPr>
    </w:p>
    <w:p w:rsidRPr="000B15B6" w:rsidR="0036534F" w:rsidP="5C413465" w:rsidRDefault="0036534F" w14:paraId="5D09AFC1" w14:textId="77777777">
      <w:pPr>
        <w:rPr>
          <w:rFonts w:ascii="Arial" w:hAnsi="Arial"/>
          <w:lang w:val="en-US"/>
        </w:rPr>
      </w:pPr>
    </w:p>
    <w:p w:rsidRPr="000B15B6" w:rsidR="0036534F" w:rsidP="5C413465" w:rsidRDefault="0036534F" w14:paraId="7423AF60" w14:textId="77777777">
      <w:pPr>
        <w:rPr>
          <w:rFonts w:ascii="Arial" w:hAnsi="Arial"/>
          <w:lang w:val="en-US"/>
        </w:rPr>
      </w:pPr>
    </w:p>
    <w:p w:rsidRPr="000B15B6" w:rsidR="0036534F" w:rsidP="5C413465" w:rsidRDefault="0036534F" w14:paraId="392EC984" w14:textId="793DD021">
      <w:pPr>
        <w:pStyle w:val="Heading1"/>
        <w:rPr>
          <w:rFonts w:ascii="Arial" w:hAnsi="Arial"/>
        </w:rPr>
      </w:pPr>
      <w:bookmarkStart w:name="_Toc1328409075" w:id="344269923"/>
      <w:r w:rsidRPr="3AB61F0A" w:rsidR="6E3B57DB">
        <w:rPr>
          <w:rFonts w:ascii="Arial" w:hAnsi="Arial"/>
        </w:rPr>
        <w:t>2. Caregiving in the First 1000 Days</w:t>
      </w:r>
      <w:bookmarkEnd w:id="344269923"/>
      <w:r w:rsidRPr="3AB61F0A" w:rsidR="6E3B57DB">
        <w:rPr>
          <w:rFonts w:ascii="Arial" w:hAnsi="Arial"/>
        </w:rPr>
        <w:t xml:space="preserve"> </w:t>
      </w:r>
    </w:p>
    <w:p w:rsidRPr="000B15B6" w:rsidR="003032D4" w:rsidP="5C413465" w:rsidRDefault="003032D4" w14:paraId="5A84CF65" w14:textId="77777777">
      <w:pPr>
        <w:pStyle w:val="Heading2"/>
        <w:rPr>
          <w:rFonts w:ascii="Arial" w:hAnsi="Arial"/>
        </w:rPr>
      </w:pPr>
      <w:bookmarkStart w:name="_Toc1869515611" w:id="2017973962"/>
      <w:r w:rsidRPr="3AB61F0A" w:rsidR="3DAD1962">
        <w:rPr>
          <w:rFonts w:ascii="Arial" w:hAnsi="Arial"/>
        </w:rPr>
        <w:t>2.1 Understanding Exceptional Caregiving</w:t>
      </w:r>
      <w:bookmarkEnd w:id="2017973962"/>
    </w:p>
    <w:p w:rsidRPr="000B15B6" w:rsidR="001E0083" w:rsidP="5C413465" w:rsidRDefault="001E0083" w14:paraId="7A93FF39" w14:textId="25689188">
      <w:pPr>
        <w:rPr>
          <w:rFonts w:ascii="Arial" w:hAnsi="Arial"/>
        </w:rPr>
      </w:pPr>
      <w:r w:rsidRPr="5C413465">
        <w:rPr>
          <w:rFonts w:ascii="Arial" w:hAnsi="Arial"/>
          <w:lang w:val="en-US"/>
        </w:rPr>
        <w:t>Exceptional caregiving during the first 1000 days</w:t>
      </w:r>
      <w:r w:rsidRPr="5C413465" w:rsidR="66C2AFD9">
        <w:rPr>
          <w:rFonts w:ascii="Arial" w:hAnsi="Arial"/>
          <w:lang w:val="en-US"/>
        </w:rPr>
        <w:t xml:space="preserve"> of</w:t>
      </w:r>
      <w:r w:rsidRPr="5C413465">
        <w:rPr>
          <w:rFonts w:ascii="Arial" w:hAnsi="Arial"/>
          <w:lang w:val="en-US"/>
        </w:rPr>
        <w:t xml:space="preserve"> </w:t>
      </w:r>
      <w:r w:rsidRPr="5C413465" w:rsidR="5F714FBE">
        <w:rPr>
          <w:rFonts w:ascii="Arial" w:hAnsi="Arial"/>
          <w:lang w:val="en-US"/>
        </w:rPr>
        <w:t>care</w:t>
      </w:r>
      <w:r w:rsidRPr="5C413465">
        <w:rPr>
          <w:rFonts w:ascii="Arial" w:hAnsi="Arial"/>
          <w:lang w:val="en-US"/>
        </w:rPr>
        <w:t xml:space="preserve"> that </w:t>
      </w:r>
      <w:r w:rsidRPr="5C413465" w:rsidR="002322AA">
        <w:rPr>
          <w:rFonts w:ascii="Arial" w:hAnsi="Arial"/>
          <w:lang w:val="en-US"/>
        </w:rPr>
        <w:t>are</w:t>
      </w:r>
      <w:r w:rsidRPr="5C413465">
        <w:rPr>
          <w:rFonts w:ascii="Arial" w:hAnsi="Arial"/>
          <w:lang w:val="en-US"/>
        </w:rPr>
        <w:t xml:space="preserve"> responsive, respectful, and based on good relationships (Brodie, 2018). It is during this stage </w:t>
      </w:r>
      <w:r w:rsidRPr="5C413465" w:rsidR="0081306B">
        <w:rPr>
          <w:rFonts w:ascii="Arial" w:hAnsi="Arial"/>
          <w:lang w:val="en-US"/>
        </w:rPr>
        <w:t xml:space="preserve">that infants are totally at the mercy of </w:t>
      </w:r>
      <w:r w:rsidRPr="5C413465" w:rsidR="002322AA">
        <w:rPr>
          <w:rFonts w:ascii="Arial" w:hAnsi="Arial"/>
          <w:lang w:val="en-US"/>
        </w:rPr>
        <w:t>caregivers</w:t>
      </w:r>
      <w:r w:rsidRPr="5C413465" w:rsidR="0081306B">
        <w:rPr>
          <w:rFonts w:ascii="Arial" w:hAnsi="Arial"/>
          <w:lang w:val="en-US"/>
        </w:rPr>
        <w:t xml:space="preserve"> to attend to their physical needs, emotional needs,</w:t>
      </w:r>
      <w:r w:rsidRPr="5C413465">
        <w:rPr>
          <w:rFonts w:ascii="Arial" w:hAnsi="Arial"/>
          <w:lang w:val="en-US"/>
        </w:rPr>
        <w:t xml:space="preserve"> and social needs as well. Outstanding caregiving is more than just </w:t>
      </w:r>
      <w:r w:rsidRPr="5C413465" w:rsidR="002322AA">
        <w:rPr>
          <w:rFonts w:ascii="Arial" w:hAnsi="Arial"/>
          <w:lang w:val="en-US"/>
        </w:rPr>
        <w:t>routine</w:t>
      </w:r>
      <w:r w:rsidRPr="5C413465">
        <w:rPr>
          <w:rFonts w:ascii="Arial" w:hAnsi="Arial"/>
          <w:lang w:val="en-US"/>
        </w:rPr>
        <w:t xml:space="preserve"> care </w:t>
      </w:r>
      <w:r w:rsidRPr="5C413465" w:rsidR="3AE831B2">
        <w:rPr>
          <w:rFonts w:ascii="Arial" w:hAnsi="Arial"/>
          <w:lang w:val="en-US"/>
        </w:rPr>
        <w:t>for</w:t>
      </w:r>
      <w:r w:rsidRPr="5C413465">
        <w:rPr>
          <w:rFonts w:ascii="Arial" w:hAnsi="Arial"/>
          <w:lang w:val="en-US"/>
        </w:rPr>
        <w:t xml:space="preserve"> things, including feeding, changing, and is more concerned with emotional bonding, regularity</w:t>
      </w:r>
      <w:r w:rsidRPr="5C413465" w:rsidR="0081306B">
        <w:rPr>
          <w:rFonts w:ascii="Arial" w:hAnsi="Arial"/>
          <w:lang w:val="en-US"/>
        </w:rPr>
        <w:t>,</w:t>
      </w:r>
      <w:r w:rsidRPr="5C413465">
        <w:rPr>
          <w:rFonts w:ascii="Arial" w:hAnsi="Arial"/>
          <w:lang w:val="en-US"/>
        </w:rPr>
        <w:t xml:space="preserve"> and responsiveness to the cues of the infants. Infants express themselves by facial cues, body language, eye contact, and </w:t>
      </w:r>
      <w:r w:rsidRPr="5C413465" w:rsidR="15CF6EA7">
        <w:rPr>
          <w:rFonts w:ascii="Arial" w:hAnsi="Arial"/>
          <w:lang w:val="en-US"/>
        </w:rPr>
        <w:t>vocalizations</w:t>
      </w:r>
      <w:r w:rsidRPr="5C413465">
        <w:rPr>
          <w:rFonts w:ascii="Arial" w:hAnsi="Arial"/>
          <w:lang w:val="en-US"/>
        </w:rPr>
        <w:t>, and attentive caregivers identify such signs and thereby respond to them in a timely and fitting way (Bateman and Church, 2022).</w:t>
      </w:r>
    </w:p>
    <w:p w:rsidRPr="000B15B6" w:rsidR="00DF5501" w:rsidP="5C413465" w:rsidRDefault="00DF5501" w14:paraId="5C42573F" w14:textId="4FBF65EC">
      <w:pPr>
        <w:rPr>
          <w:rFonts w:ascii="Arial" w:hAnsi="Arial"/>
        </w:rPr>
      </w:pPr>
      <w:r>
        <w:rPr>
          <w:noProof/>
        </w:rPr>
        <w:drawing>
          <wp:inline distT="0" distB="0" distL="0" distR="0" wp14:anchorId="2D96533B" wp14:editId="53B83DD7">
            <wp:extent cx="2896819" cy="3147171"/>
            <wp:effectExtent l="0" t="0" r="0" b="0"/>
            <wp:docPr id="205068199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a:stretch>
                      <a:fillRect/>
                    </a:stretch>
                  </pic:blipFill>
                  <pic:spPr bwMode="auto">
                    <a:xfrm>
                      <a:off x="0" y="0"/>
                      <a:ext cx="2904926" cy="3155978"/>
                    </a:xfrm>
                    <a:prstGeom prst="rect">
                      <a:avLst/>
                    </a:prstGeom>
                    <a:noFill/>
                    <a:ln>
                      <a:noFill/>
                    </a:ln>
                    <a:extLst>
                      <a:ext uri="{53640926-AAD7-44D8-BBD7-CCE9431645EC}">
                        <a14:shadowObscured xmlns:a14="http://schemas.microsoft.com/office/drawing/2010/main"/>
                      </a:ext>
                    </a:extLst>
                  </pic:spPr>
                </pic:pic>
              </a:graphicData>
            </a:graphic>
          </wp:inline>
        </w:drawing>
      </w:r>
    </w:p>
    <w:p w:rsidRPr="000B15B6" w:rsidR="00DF5501" w:rsidP="5C413465" w:rsidRDefault="00DF5501" w14:paraId="0C6BB07C" w14:textId="6D5B1F25">
      <w:pPr>
        <w:rPr>
          <w:rFonts w:ascii="Arial" w:hAnsi="Arial"/>
          <w:lang w:val="en-US"/>
        </w:rPr>
      </w:pPr>
      <w:r w:rsidRPr="5C413465">
        <w:rPr>
          <w:rFonts w:ascii="Arial" w:hAnsi="Arial"/>
        </w:rPr>
        <w:t xml:space="preserve">Figure 4: </w:t>
      </w:r>
      <w:r w:rsidRPr="5C413465" w:rsidR="00A075D6">
        <w:rPr>
          <w:rFonts w:ascii="Arial" w:hAnsi="Arial"/>
        </w:rPr>
        <w:t xml:space="preserve">The nurturing care framework </w:t>
      </w:r>
      <w:r w:rsidRPr="5C413465" w:rsidR="00A075D6">
        <w:rPr>
          <w:rFonts w:ascii="Arial" w:hAnsi="Arial"/>
          <w:lang w:val="en-US"/>
        </w:rPr>
        <w:t>(Lakewalk Media, 2026)</w:t>
      </w:r>
    </w:p>
    <w:p w:rsidRPr="000B15B6" w:rsidR="001E0083" w:rsidP="5C413465" w:rsidRDefault="001E0083" w14:paraId="6419C60C" w14:textId="4BCFB65E">
      <w:pPr>
        <w:rPr>
          <w:rFonts w:ascii="Arial" w:hAnsi="Arial"/>
        </w:rPr>
      </w:pPr>
      <w:r w:rsidRPr="5C413465">
        <w:rPr>
          <w:rFonts w:ascii="Arial" w:hAnsi="Arial"/>
          <w:lang w:val="en-US"/>
        </w:rPr>
        <w:t xml:space="preserve"> This kind of caregiving facilitates the formation of secure attachment, without which emotional regulation and a sense of safety will be impossible (Gerhardt, 2015). In cases where infants receive consistent and positive reactions, they start trusting their parents and their world. This faith is the basis of confidence, exploration, and subsequent study (MacBlain, 2021).</w:t>
      </w:r>
    </w:p>
    <w:p w:rsidRPr="000B15B6" w:rsidR="003032D4" w:rsidP="5C413465" w:rsidRDefault="003032D4" w14:paraId="06A9C127" w14:textId="766D8F27">
      <w:pPr>
        <w:pStyle w:val="Heading2"/>
        <w:rPr>
          <w:rFonts w:ascii="Arial" w:hAnsi="Arial"/>
        </w:rPr>
      </w:pPr>
      <w:bookmarkStart w:name="_Toc101909030" w:id="1814422075"/>
      <w:r w:rsidRPr="3AB61F0A" w:rsidR="3DAD1962">
        <w:rPr>
          <w:rFonts w:ascii="Arial" w:hAnsi="Arial"/>
        </w:rPr>
        <w:t>2.2 Enabling and Inclusive Care Environments</w:t>
      </w:r>
      <w:bookmarkEnd w:id="1814422075"/>
    </w:p>
    <w:p w:rsidRPr="000B15B6" w:rsidR="001E0083" w:rsidP="5C413465" w:rsidRDefault="0081306B" w14:paraId="14FEB1E2" w14:textId="720D159E">
      <w:pPr>
        <w:rPr>
          <w:rFonts w:ascii="Arial" w:hAnsi="Arial"/>
        </w:rPr>
      </w:pPr>
      <w:r w:rsidRPr="5C413465">
        <w:rPr>
          <w:rFonts w:ascii="Arial" w:hAnsi="Arial"/>
          <w:lang w:val="en-US"/>
        </w:rPr>
        <w:t>An enabling</w:t>
      </w:r>
      <w:r w:rsidRPr="5C413465" w:rsidR="001E0083">
        <w:rPr>
          <w:rFonts w:ascii="Arial" w:hAnsi="Arial"/>
          <w:lang w:val="en-US"/>
        </w:rPr>
        <w:t xml:space="preserve"> environment is an important factor in promoting excellent caregiving in the initial 1000 days (Rose, 2016). The </w:t>
      </w:r>
      <w:r w:rsidRPr="5C413465" w:rsidR="004B743D">
        <w:rPr>
          <w:rFonts w:ascii="Arial" w:hAnsi="Arial"/>
          <w:lang w:val="en-US"/>
        </w:rPr>
        <w:t>environment</w:t>
      </w:r>
      <w:r w:rsidRPr="5C413465" w:rsidR="001E0083">
        <w:rPr>
          <w:rFonts w:ascii="Arial" w:hAnsi="Arial"/>
          <w:lang w:val="en-US"/>
        </w:rPr>
        <w:t xml:space="preserve"> should be calm, predictable, and rich in sensory experiences to make infants feel safe and consequently explore and be curious. The environments are supposed to be provided in such a way that they can facilitate development without overworking the child and leave the infants to work through materials and experiences at their own pace (Brodie, 2018).</w:t>
      </w:r>
    </w:p>
    <w:p w:rsidRPr="000B15B6" w:rsidR="00A075D6" w:rsidP="5C413465" w:rsidRDefault="00A075D6" w14:paraId="7F133D8D" w14:textId="58211818">
      <w:pPr>
        <w:rPr>
          <w:rFonts w:ascii="Arial" w:hAnsi="Arial"/>
        </w:rPr>
      </w:pPr>
      <w:r>
        <w:rPr>
          <w:noProof/>
        </w:rPr>
        <w:drawing>
          <wp:inline distT="0" distB="0" distL="0" distR="0" wp14:anchorId="1B719F76" wp14:editId="7052233E">
            <wp:extent cx="5072889" cy="3184213"/>
            <wp:effectExtent l="0" t="0" r="0" b="0"/>
            <wp:docPr id="162643176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b="11224"/>
                    <a:stretch>
                      <a:fillRect/>
                    </a:stretch>
                  </pic:blipFill>
                  <pic:spPr bwMode="auto">
                    <a:xfrm>
                      <a:off x="0" y="0"/>
                      <a:ext cx="5078416" cy="3187682"/>
                    </a:xfrm>
                    <a:prstGeom prst="rect">
                      <a:avLst/>
                    </a:prstGeom>
                    <a:noFill/>
                    <a:ln>
                      <a:noFill/>
                    </a:ln>
                    <a:extLst>
                      <a:ext uri="{53640926-AAD7-44D8-BBD7-CCE9431645EC}">
                        <a14:shadowObscured xmlns:a14="http://schemas.microsoft.com/office/drawing/2010/main"/>
                      </a:ext>
                    </a:extLst>
                  </pic:spPr>
                </pic:pic>
              </a:graphicData>
            </a:graphic>
          </wp:inline>
        </w:drawing>
      </w:r>
    </w:p>
    <w:p w:rsidRPr="000B15B6" w:rsidR="00A075D6" w:rsidP="5C413465" w:rsidRDefault="00A075D6" w14:paraId="7AC93B33" w14:textId="0AFFC896">
      <w:pPr>
        <w:rPr>
          <w:rFonts w:ascii="Arial" w:hAnsi="Arial"/>
          <w:lang w:val="en-US"/>
        </w:rPr>
      </w:pPr>
      <w:r w:rsidRPr="5C413465">
        <w:rPr>
          <w:rFonts w:ascii="Arial" w:hAnsi="Arial"/>
        </w:rPr>
        <w:t xml:space="preserve">Figure 5: Factors that influence the next 1000 days </w:t>
      </w:r>
      <w:r w:rsidRPr="5C413465">
        <w:rPr>
          <w:rFonts w:ascii="Arial" w:hAnsi="Arial"/>
          <w:lang w:val="en-US"/>
        </w:rPr>
        <w:t>(ECDAN, 2024)</w:t>
      </w:r>
    </w:p>
    <w:p w:rsidRPr="000B15B6" w:rsidR="001E0083" w:rsidP="5C413465" w:rsidRDefault="001E0083" w14:paraId="41767F74" w14:textId="3231AC7E">
      <w:pPr>
        <w:rPr>
          <w:rFonts w:ascii="Arial" w:hAnsi="Arial"/>
        </w:rPr>
      </w:pPr>
      <w:r w:rsidRPr="5C413465">
        <w:rPr>
          <w:rFonts w:ascii="Arial" w:hAnsi="Arial"/>
          <w:lang w:val="en-US"/>
        </w:rPr>
        <w:t xml:space="preserve"> An enabling environment should include </w:t>
      </w:r>
      <w:r w:rsidRPr="5C413465" w:rsidR="002322AA">
        <w:rPr>
          <w:rFonts w:ascii="Arial" w:hAnsi="Arial"/>
          <w:lang w:val="en-US"/>
        </w:rPr>
        <w:t>inclusive</w:t>
      </w:r>
      <w:r w:rsidRPr="5C413465">
        <w:rPr>
          <w:rFonts w:ascii="Arial" w:hAnsi="Arial"/>
          <w:lang w:val="en-US"/>
        </w:rPr>
        <w:t xml:space="preserve"> practice. This includes the identification and appreciation of diversity, such as cultural backgrounds, family setups, and other needs (MacBlain, 2021). Inclusive caregiving will make sure that every family and </w:t>
      </w:r>
      <w:r w:rsidRPr="5C413465" w:rsidR="0081306B">
        <w:rPr>
          <w:rFonts w:ascii="Arial" w:hAnsi="Arial"/>
          <w:lang w:val="en-US"/>
        </w:rPr>
        <w:t>child</w:t>
      </w:r>
      <w:r w:rsidRPr="5C413465">
        <w:rPr>
          <w:rFonts w:ascii="Arial" w:hAnsi="Arial"/>
          <w:lang w:val="en-US"/>
        </w:rPr>
        <w:t xml:space="preserve"> </w:t>
      </w:r>
      <w:r w:rsidRPr="5C413465" w:rsidR="0081306B">
        <w:rPr>
          <w:rFonts w:ascii="Arial" w:hAnsi="Arial"/>
          <w:lang w:val="en-US"/>
        </w:rPr>
        <w:t>is</w:t>
      </w:r>
      <w:r w:rsidRPr="5C413465">
        <w:rPr>
          <w:rFonts w:ascii="Arial" w:hAnsi="Arial"/>
          <w:lang w:val="en-US"/>
        </w:rPr>
        <w:t xml:space="preserve"> respected and made to feel supported. Inclusive practitioners collaborate with families and other professionals to address the needs of individuals and establish equity in early care (Bateman and Church, 2022).</w:t>
      </w:r>
    </w:p>
    <w:p w:rsidRPr="000B15B6" w:rsidR="003032D4" w:rsidP="5C413465" w:rsidRDefault="003032D4" w14:paraId="31FA1EA6" w14:textId="0EB1437B">
      <w:pPr>
        <w:pStyle w:val="Heading2"/>
        <w:rPr>
          <w:rFonts w:ascii="Arial" w:hAnsi="Arial"/>
        </w:rPr>
      </w:pPr>
      <w:bookmarkStart w:name="_Toc84213810" w:id="1496639871"/>
      <w:r w:rsidRPr="3AB61F0A" w:rsidR="3DAD1962">
        <w:rPr>
          <w:rFonts w:ascii="Arial" w:hAnsi="Arial"/>
        </w:rPr>
        <w:t>2.3 Theoretical Foundations of Caregiving</w:t>
      </w:r>
      <w:bookmarkEnd w:id="1496639871"/>
    </w:p>
    <w:p w:rsidRPr="000B15B6" w:rsidR="001E0083" w:rsidP="5C413465" w:rsidRDefault="001E0083" w14:paraId="4CC27653" w14:textId="77777777">
      <w:pPr>
        <w:rPr>
          <w:rFonts w:ascii="Arial" w:hAnsi="Arial"/>
        </w:rPr>
      </w:pPr>
      <w:r w:rsidRPr="5C413465">
        <w:rPr>
          <w:rFonts w:ascii="Arial" w:hAnsi="Arial"/>
          <w:lang w:val="en-US"/>
        </w:rPr>
        <w:t xml:space="preserve">The early childhood theories support the significance of exceptional caregiving (MacBlain, 2021). The Ecological Systems Theory by Bronfenbrenner emphasizes the fact that the development of a child is affected by several interdependent systems, such as family, community, and broader social environments. This theory also focuses on the importance of regular and supportive relationships within these systems (Brodie, 2018). </w:t>
      </w:r>
    </w:p>
    <w:p w:rsidRPr="000B15B6" w:rsidR="001E0083" w:rsidP="5C413465" w:rsidRDefault="001E0083" w14:paraId="331D7FEC" w14:textId="7D72BA23">
      <w:pPr>
        <w:rPr>
          <w:rFonts w:ascii="Arial" w:hAnsi="Arial"/>
        </w:rPr>
      </w:pPr>
      <w:r w:rsidRPr="5C413465">
        <w:rPr>
          <w:rFonts w:ascii="Arial" w:hAnsi="Arial"/>
          <w:lang w:val="en-US"/>
        </w:rPr>
        <w:t xml:space="preserve">The Attachment Theory developed by Bowlby also supports the importance of responsive caregiving by implying that secure attachment </w:t>
      </w:r>
      <w:r w:rsidRPr="5C413465" w:rsidR="0081306B">
        <w:rPr>
          <w:rFonts w:ascii="Arial" w:hAnsi="Arial"/>
          <w:lang w:val="en-US"/>
        </w:rPr>
        <w:t>formed during early adulthood can lead to emotional safety and subsequent relationships</w:t>
      </w:r>
      <w:r w:rsidRPr="5C413465">
        <w:rPr>
          <w:rFonts w:ascii="Arial" w:hAnsi="Arial"/>
          <w:lang w:val="en-US"/>
        </w:rPr>
        <w:t xml:space="preserve"> (Gerhardt, 2015). It is also possible to understand remarkable caregiving with the Pikler approach that allows one to nurture infant autonomy and competence by promoting peaceful, unhurried care routines (González-Patiño, 2018). The combination of these theories reveals the key role of </w:t>
      </w:r>
      <w:r w:rsidRPr="5C413465" w:rsidR="0081306B">
        <w:rPr>
          <w:rFonts w:ascii="Arial" w:hAnsi="Arial"/>
          <w:lang w:val="en-US"/>
        </w:rPr>
        <w:t>caregiving</w:t>
      </w:r>
      <w:r w:rsidRPr="5C413465">
        <w:rPr>
          <w:rFonts w:ascii="Arial" w:hAnsi="Arial"/>
          <w:lang w:val="en-US"/>
        </w:rPr>
        <w:t xml:space="preserve"> in healthy development within the first 1000 days (Karakochuk et al., 2018).</w:t>
      </w:r>
    </w:p>
    <w:p w:rsidRPr="000B15B6" w:rsidR="0036534F" w:rsidP="5C413465" w:rsidRDefault="0036534F" w14:paraId="26B74BEC" w14:textId="345EC7A3">
      <w:pPr>
        <w:rPr>
          <w:rFonts w:ascii="Arial" w:hAnsi="Arial"/>
          <w:b/>
          <w:bCs/>
        </w:rPr>
      </w:pPr>
      <w:r w:rsidRPr="5C413465">
        <w:rPr>
          <w:rFonts w:ascii="Arial" w:hAnsi="Arial"/>
          <w:b/>
          <w:bCs/>
        </w:rPr>
        <w:t>Table 1: Key Characteristics of Exceptional Caregiving</w:t>
      </w:r>
    </w:p>
    <w:tbl>
      <w:tblPr>
        <w:tblStyle w:val="GridTable1Light-Accent5"/>
        <w:tblW w:w="6459" w:type="dxa"/>
        <w:jc w:val="center"/>
        <w:tblLook w:val="04A0" w:firstRow="1" w:lastRow="0" w:firstColumn="1" w:lastColumn="0" w:noHBand="0" w:noVBand="1"/>
      </w:tblPr>
      <w:tblGrid>
        <w:gridCol w:w="2984"/>
        <w:gridCol w:w="3475"/>
      </w:tblGrid>
      <w:tr w:rsidRPr="000B15B6" w:rsidR="0036534F" w:rsidTr="5C413465" w14:paraId="3D2F1C15" w14:textId="77777777">
        <w:trPr>
          <w:cnfStyle w:val="100000000000" w:firstRow="1" w:lastRow="0" w:firstColumn="0" w:lastColumn="0" w:oddVBand="0" w:evenVBand="0" w:oddHBand="0" w:evenHBand="0" w:firstRowFirstColumn="0" w:firstRowLastColumn="0" w:lastRowFirstColumn="0" w:lastRowLastColumn="0"/>
          <w:trHeight w:val="349"/>
          <w:jc w:val="center"/>
        </w:trPr>
        <w:tc>
          <w:tcPr>
            <w:cnfStyle w:val="001000000000" w:firstRow="0" w:lastRow="0" w:firstColumn="1" w:lastColumn="0" w:oddVBand="0" w:evenVBand="0" w:oddHBand="0" w:evenHBand="0" w:firstRowFirstColumn="0" w:firstRowLastColumn="0" w:lastRowFirstColumn="0" w:lastRowLastColumn="0"/>
            <w:tcW w:w="0" w:type="auto"/>
            <w:hideMark/>
          </w:tcPr>
          <w:p w:rsidRPr="000B15B6" w:rsidR="0036534F" w:rsidP="5C413465" w:rsidRDefault="0036534F" w14:paraId="687C0D9F" w14:textId="77777777">
            <w:pPr>
              <w:spacing w:before="0" w:after="0"/>
              <w:rPr>
                <w:rFonts w:ascii="Arial" w:hAnsi="Arial" w:eastAsia="Times New Roman"/>
                <w:lang w:val="en-US"/>
              </w:rPr>
            </w:pPr>
            <w:r w:rsidRPr="5C413465">
              <w:rPr>
                <w:rFonts w:ascii="Arial" w:hAnsi="Arial" w:eastAsia="Times New Roman"/>
                <w:lang w:val="en-US"/>
              </w:rPr>
              <w:t>Aspect</w:t>
            </w:r>
          </w:p>
        </w:tc>
        <w:tc>
          <w:tcPr>
            <w:tcW w:w="0" w:type="auto"/>
            <w:hideMark/>
          </w:tcPr>
          <w:p w:rsidRPr="000B15B6" w:rsidR="0036534F" w:rsidP="5C413465" w:rsidRDefault="0036534F" w14:paraId="7A23743C" w14:textId="77777777">
            <w:pPr>
              <w:spacing w:before="0" w:after="0"/>
              <w:cnfStyle w:val="100000000000" w:firstRow="1" w:lastRow="0" w:firstColumn="0" w:lastColumn="0" w:oddVBand="0" w:evenVBand="0" w:oddHBand="0" w:evenHBand="0" w:firstRowFirstColumn="0" w:firstRowLastColumn="0" w:lastRowFirstColumn="0" w:lastRowLastColumn="0"/>
              <w:rPr>
                <w:rFonts w:ascii="Arial" w:hAnsi="Arial" w:eastAsia="Times New Roman"/>
                <w:lang w:val="en-US"/>
              </w:rPr>
            </w:pPr>
            <w:r w:rsidRPr="5C413465">
              <w:rPr>
                <w:rFonts w:ascii="Arial" w:hAnsi="Arial" w:eastAsia="Times New Roman"/>
                <w:lang w:val="en-US"/>
              </w:rPr>
              <w:t>Contribution to Development</w:t>
            </w:r>
          </w:p>
        </w:tc>
      </w:tr>
      <w:tr w:rsidRPr="000B15B6" w:rsidR="0036534F" w:rsidTr="5C413465" w14:paraId="5C1C2595" w14:textId="77777777">
        <w:trPr>
          <w:trHeight w:val="335"/>
          <w:jc w:val="center"/>
        </w:trPr>
        <w:tc>
          <w:tcPr>
            <w:cnfStyle w:val="001000000000" w:firstRow="0" w:lastRow="0" w:firstColumn="1" w:lastColumn="0" w:oddVBand="0" w:evenVBand="0" w:oddHBand="0" w:evenHBand="0" w:firstRowFirstColumn="0" w:firstRowLastColumn="0" w:lastRowFirstColumn="0" w:lastRowLastColumn="0"/>
            <w:tcW w:w="0" w:type="auto"/>
            <w:hideMark/>
          </w:tcPr>
          <w:p w:rsidRPr="000B15B6" w:rsidR="0036534F" w:rsidP="5C413465" w:rsidRDefault="0036534F" w14:paraId="535515E3" w14:textId="77777777">
            <w:pPr>
              <w:spacing w:before="0" w:after="0"/>
              <w:rPr>
                <w:rFonts w:ascii="Arial" w:hAnsi="Arial" w:eastAsia="Times New Roman"/>
                <w:lang w:val="en-US"/>
              </w:rPr>
            </w:pPr>
            <w:r w:rsidRPr="5C413465">
              <w:rPr>
                <w:rFonts w:ascii="Arial" w:hAnsi="Arial" w:eastAsia="Times New Roman"/>
                <w:lang w:val="en-US"/>
              </w:rPr>
              <w:t>Responsive caregiving</w:t>
            </w:r>
          </w:p>
        </w:tc>
        <w:tc>
          <w:tcPr>
            <w:tcW w:w="0" w:type="auto"/>
            <w:hideMark/>
          </w:tcPr>
          <w:p w:rsidRPr="000B15B6" w:rsidR="0036534F" w:rsidP="5C413465" w:rsidRDefault="0036534F" w14:paraId="02359184" w14:textId="77777777">
            <w:pPr>
              <w:spacing w:before="0" w:after="0"/>
              <w:cnfStyle w:val="000000000000" w:firstRow="0" w:lastRow="0" w:firstColumn="0" w:lastColumn="0" w:oddVBand="0" w:evenVBand="0" w:oddHBand="0" w:evenHBand="0" w:firstRowFirstColumn="0" w:firstRowLastColumn="0" w:lastRowFirstColumn="0" w:lastRowLastColumn="0"/>
              <w:rPr>
                <w:rFonts w:ascii="Arial" w:hAnsi="Arial" w:eastAsia="Times New Roman"/>
                <w:lang w:val="en-US"/>
              </w:rPr>
            </w:pPr>
            <w:r w:rsidRPr="5C413465">
              <w:rPr>
                <w:rFonts w:ascii="Arial" w:hAnsi="Arial" w:eastAsia="Times New Roman"/>
                <w:lang w:val="en-US"/>
              </w:rPr>
              <w:t>Builds secure attachment</w:t>
            </w:r>
          </w:p>
        </w:tc>
      </w:tr>
      <w:tr w:rsidRPr="000B15B6" w:rsidR="0036534F" w:rsidTr="5C413465" w14:paraId="23188658" w14:textId="77777777">
        <w:trPr>
          <w:trHeight w:val="349"/>
          <w:jc w:val="center"/>
        </w:trPr>
        <w:tc>
          <w:tcPr>
            <w:cnfStyle w:val="001000000000" w:firstRow="0" w:lastRow="0" w:firstColumn="1" w:lastColumn="0" w:oddVBand="0" w:evenVBand="0" w:oddHBand="0" w:evenHBand="0" w:firstRowFirstColumn="0" w:firstRowLastColumn="0" w:lastRowFirstColumn="0" w:lastRowLastColumn="0"/>
            <w:tcW w:w="0" w:type="auto"/>
            <w:hideMark/>
          </w:tcPr>
          <w:p w:rsidRPr="000B15B6" w:rsidR="0036534F" w:rsidP="5C413465" w:rsidRDefault="0036534F" w14:paraId="3EDA9A8D" w14:textId="77777777">
            <w:pPr>
              <w:spacing w:before="0" w:after="0"/>
              <w:rPr>
                <w:rFonts w:ascii="Arial" w:hAnsi="Arial" w:eastAsia="Times New Roman"/>
                <w:lang w:val="en-US"/>
              </w:rPr>
            </w:pPr>
            <w:r w:rsidRPr="5C413465">
              <w:rPr>
                <w:rFonts w:ascii="Arial" w:hAnsi="Arial" w:eastAsia="Times New Roman"/>
                <w:lang w:val="en-US"/>
              </w:rPr>
              <w:t>Enabling environments</w:t>
            </w:r>
          </w:p>
        </w:tc>
        <w:tc>
          <w:tcPr>
            <w:tcW w:w="0" w:type="auto"/>
            <w:hideMark/>
          </w:tcPr>
          <w:p w:rsidRPr="000B15B6" w:rsidR="0036534F" w:rsidP="5C413465" w:rsidRDefault="0036534F" w14:paraId="6367E066" w14:textId="77777777">
            <w:pPr>
              <w:spacing w:before="0" w:after="0"/>
              <w:cnfStyle w:val="000000000000" w:firstRow="0" w:lastRow="0" w:firstColumn="0" w:lastColumn="0" w:oddVBand="0" w:evenVBand="0" w:oddHBand="0" w:evenHBand="0" w:firstRowFirstColumn="0" w:firstRowLastColumn="0" w:lastRowFirstColumn="0" w:lastRowLastColumn="0"/>
              <w:rPr>
                <w:rFonts w:ascii="Arial" w:hAnsi="Arial" w:eastAsia="Times New Roman"/>
                <w:lang w:val="en-US"/>
              </w:rPr>
            </w:pPr>
            <w:r w:rsidRPr="5C413465">
              <w:rPr>
                <w:rFonts w:ascii="Arial" w:hAnsi="Arial" w:eastAsia="Times New Roman"/>
                <w:lang w:val="en-US"/>
              </w:rPr>
              <w:t>Encourages exploration</w:t>
            </w:r>
          </w:p>
        </w:tc>
      </w:tr>
      <w:tr w:rsidRPr="000B15B6" w:rsidR="0036534F" w:rsidTr="5C413465" w14:paraId="62601B79" w14:textId="77777777">
        <w:trPr>
          <w:trHeight w:val="349"/>
          <w:jc w:val="center"/>
        </w:trPr>
        <w:tc>
          <w:tcPr>
            <w:cnfStyle w:val="001000000000" w:firstRow="0" w:lastRow="0" w:firstColumn="1" w:lastColumn="0" w:oddVBand="0" w:evenVBand="0" w:oddHBand="0" w:evenHBand="0" w:firstRowFirstColumn="0" w:firstRowLastColumn="0" w:lastRowFirstColumn="0" w:lastRowLastColumn="0"/>
            <w:tcW w:w="0" w:type="auto"/>
            <w:hideMark/>
          </w:tcPr>
          <w:p w:rsidRPr="000B15B6" w:rsidR="0036534F" w:rsidP="5C413465" w:rsidRDefault="0036534F" w14:paraId="7EE696E9" w14:textId="77777777">
            <w:pPr>
              <w:spacing w:before="0" w:after="0"/>
              <w:rPr>
                <w:rFonts w:ascii="Arial" w:hAnsi="Arial" w:eastAsia="Times New Roman"/>
                <w:lang w:val="en-US"/>
              </w:rPr>
            </w:pPr>
            <w:r w:rsidRPr="5C413465">
              <w:rPr>
                <w:rFonts w:ascii="Arial" w:hAnsi="Arial" w:eastAsia="Times New Roman"/>
                <w:lang w:val="en-US"/>
              </w:rPr>
              <w:t>Inclusive practice</w:t>
            </w:r>
          </w:p>
        </w:tc>
        <w:tc>
          <w:tcPr>
            <w:tcW w:w="0" w:type="auto"/>
            <w:hideMark/>
          </w:tcPr>
          <w:p w:rsidRPr="000B15B6" w:rsidR="0036534F" w:rsidP="5C413465" w:rsidRDefault="0036534F" w14:paraId="6F386AA4" w14:textId="77777777">
            <w:pPr>
              <w:spacing w:before="0" w:after="0"/>
              <w:cnfStyle w:val="000000000000" w:firstRow="0" w:lastRow="0" w:firstColumn="0" w:lastColumn="0" w:oddVBand="0" w:evenVBand="0" w:oddHBand="0" w:evenHBand="0" w:firstRowFirstColumn="0" w:firstRowLastColumn="0" w:lastRowFirstColumn="0" w:lastRowLastColumn="0"/>
              <w:rPr>
                <w:rFonts w:ascii="Arial" w:hAnsi="Arial" w:eastAsia="Times New Roman"/>
                <w:lang w:val="en-US"/>
              </w:rPr>
            </w:pPr>
            <w:r w:rsidRPr="5C413465">
              <w:rPr>
                <w:rFonts w:ascii="Arial" w:hAnsi="Arial" w:eastAsia="Times New Roman"/>
                <w:lang w:val="en-US"/>
              </w:rPr>
              <w:t>Promotes belonging</w:t>
            </w:r>
          </w:p>
        </w:tc>
      </w:tr>
      <w:tr w:rsidRPr="000B15B6" w:rsidR="0036534F" w:rsidTr="5C413465" w14:paraId="0FD821D0" w14:textId="77777777">
        <w:trPr>
          <w:trHeight w:val="349"/>
          <w:jc w:val="center"/>
        </w:trPr>
        <w:tc>
          <w:tcPr>
            <w:cnfStyle w:val="001000000000" w:firstRow="0" w:lastRow="0" w:firstColumn="1" w:lastColumn="0" w:oddVBand="0" w:evenVBand="0" w:oddHBand="0" w:evenHBand="0" w:firstRowFirstColumn="0" w:firstRowLastColumn="0" w:lastRowFirstColumn="0" w:lastRowLastColumn="0"/>
            <w:tcW w:w="0" w:type="auto"/>
            <w:hideMark/>
          </w:tcPr>
          <w:p w:rsidRPr="000B15B6" w:rsidR="0036534F" w:rsidP="5C413465" w:rsidRDefault="0036534F" w14:paraId="1C0AE194" w14:textId="77777777">
            <w:pPr>
              <w:spacing w:before="0" w:after="0"/>
              <w:rPr>
                <w:rFonts w:ascii="Arial" w:hAnsi="Arial" w:eastAsia="Times New Roman"/>
                <w:lang w:val="en-US"/>
              </w:rPr>
            </w:pPr>
            <w:r w:rsidRPr="5C413465">
              <w:rPr>
                <w:rFonts w:ascii="Arial" w:hAnsi="Arial" w:eastAsia="Times New Roman"/>
                <w:lang w:val="en-US"/>
              </w:rPr>
              <w:t>Respectful routines</w:t>
            </w:r>
          </w:p>
        </w:tc>
        <w:tc>
          <w:tcPr>
            <w:tcW w:w="0" w:type="auto"/>
            <w:hideMark/>
          </w:tcPr>
          <w:p w:rsidRPr="000B15B6" w:rsidR="0036534F" w:rsidP="5C413465" w:rsidRDefault="0036534F" w14:paraId="687C9E77" w14:textId="77777777">
            <w:pPr>
              <w:spacing w:before="0" w:after="0"/>
              <w:cnfStyle w:val="000000000000" w:firstRow="0" w:lastRow="0" w:firstColumn="0" w:lastColumn="0" w:oddVBand="0" w:evenVBand="0" w:oddHBand="0" w:evenHBand="0" w:firstRowFirstColumn="0" w:firstRowLastColumn="0" w:lastRowFirstColumn="0" w:lastRowLastColumn="0"/>
              <w:rPr>
                <w:rFonts w:ascii="Arial" w:hAnsi="Arial" w:eastAsia="Times New Roman"/>
                <w:lang w:val="en-US"/>
              </w:rPr>
            </w:pPr>
            <w:r w:rsidRPr="5C413465">
              <w:rPr>
                <w:rFonts w:ascii="Arial" w:hAnsi="Arial" w:eastAsia="Times New Roman"/>
                <w:lang w:val="en-US"/>
              </w:rPr>
              <w:t>Supports autonomy</w:t>
            </w:r>
          </w:p>
        </w:tc>
      </w:tr>
      <w:tr w:rsidRPr="000B15B6" w:rsidR="0036534F" w:rsidTr="5C413465" w14:paraId="5C5EF77F" w14:textId="77777777">
        <w:trPr>
          <w:trHeight w:val="349"/>
          <w:jc w:val="center"/>
        </w:trPr>
        <w:tc>
          <w:tcPr>
            <w:cnfStyle w:val="001000000000" w:firstRow="0" w:lastRow="0" w:firstColumn="1" w:lastColumn="0" w:oddVBand="0" w:evenVBand="0" w:oddHBand="0" w:evenHBand="0" w:firstRowFirstColumn="0" w:firstRowLastColumn="0" w:lastRowFirstColumn="0" w:lastRowLastColumn="0"/>
            <w:tcW w:w="0" w:type="auto"/>
            <w:hideMark/>
          </w:tcPr>
          <w:p w:rsidRPr="000B15B6" w:rsidR="0036534F" w:rsidP="5C413465" w:rsidRDefault="0036534F" w14:paraId="7195CF39" w14:textId="77777777">
            <w:pPr>
              <w:spacing w:before="0" w:after="0"/>
              <w:rPr>
                <w:rFonts w:ascii="Arial" w:hAnsi="Arial" w:eastAsia="Times New Roman"/>
                <w:lang w:val="en-US"/>
              </w:rPr>
            </w:pPr>
            <w:r w:rsidRPr="5C413465">
              <w:rPr>
                <w:rFonts w:ascii="Arial" w:hAnsi="Arial" w:eastAsia="Times New Roman"/>
                <w:lang w:val="en-US"/>
              </w:rPr>
              <w:t>Consistent relationships</w:t>
            </w:r>
          </w:p>
        </w:tc>
        <w:tc>
          <w:tcPr>
            <w:tcW w:w="0" w:type="auto"/>
            <w:hideMark/>
          </w:tcPr>
          <w:p w:rsidRPr="000B15B6" w:rsidR="0036534F" w:rsidP="5C413465" w:rsidRDefault="0036534F" w14:paraId="1B3BB36C" w14:textId="77777777">
            <w:pPr>
              <w:spacing w:before="0" w:after="0"/>
              <w:cnfStyle w:val="000000000000" w:firstRow="0" w:lastRow="0" w:firstColumn="0" w:lastColumn="0" w:oddVBand="0" w:evenVBand="0" w:oddHBand="0" w:evenHBand="0" w:firstRowFirstColumn="0" w:firstRowLastColumn="0" w:lastRowFirstColumn="0" w:lastRowLastColumn="0"/>
              <w:rPr>
                <w:rFonts w:ascii="Arial" w:hAnsi="Arial" w:eastAsia="Times New Roman"/>
                <w:lang w:val="en-US"/>
              </w:rPr>
            </w:pPr>
            <w:r w:rsidRPr="5C413465">
              <w:rPr>
                <w:rFonts w:ascii="Arial" w:hAnsi="Arial" w:eastAsia="Times New Roman"/>
                <w:lang w:val="en-US"/>
              </w:rPr>
              <w:t>Enhances emotional security</w:t>
            </w:r>
          </w:p>
        </w:tc>
      </w:tr>
    </w:tbl>
    <w:p w:rsidRPr="000B15B6" w:rsidR="0036534F" w:rsidP="5C413465" w:rsidRDefault="0036534F" w14:paraId="74B3E19B" w14:textId="77777777">
      <w:pPr>
        <w:rPr>
          <w:rFonts w:ascii="Arial" w:hAnsi="Arial"/>
        </w:rPr>
      </w:pPr>
    </w:p>
    <w:p w:rsidRPr="000B15B6" w:rsidR="0036534F" w:rsidP="5C413465" w:rsidRDefault="0036534F" w14:paraId="3812B61A" w14:textId="77777777">
      <w:pPr>
        <w:rPr>
          <w:rFonts w:ascii="Arial" w:hAnsi="Arial"/>
        </w:rPr>
      </w:pPr>
    </w:p>
    <w:p w:rsidRPr="000B15B6" w:rsidR="001E0083" w:rsidP="296539C3" w:rsidRDefault="001E0083" w14:paraId="600A063C" w14:textId="2CBF1CF8">
      <w:pPr>
        <w:pStyle w:val="Normal"/>
        <w:rPr>
          <w:rFonts w:ascii="Arial" w:hAnsi="Arial"/>
        </w:rPr>
      </w:pPr>
    </w:p>
    <w:p w:rsidRPr="000B15B6" w:rsidR="003032D4" w:rsidP="5C413465" w:rsidRDefault="003032D4" w14:paraId="08630621" w14:textId="77777777">
      <w:pPr>
        <w:rPr>
          <w:rFonts w:ascii="Arial" w:hAnsi="Arial"/>
        </w:rPr>
      </w:pPr>
    </w:p>
    <w:p w:rsidRPr="000B15B6" w:rsidR="0036534F" w:rsidP="5C413465" w:rsidRDefault="0036534F" w14:paraId="00425B9D" w14:textId="526480C4">
      <w:pPr>
        <w:pStyle w:val="Heading1"/>
        <w:rPr>
          <w:rFonts w:ascii="Arial" w:hAnsi="Arial"/>
        </w:rPr>
      </w:pPr>
      <w:bookmarkStart w:name="_Toc2105602640" w:id="547280152"/>
      <w:r w:rsidRPr="3AB61F0A" w:rsidR="6E3B57DB">
        <w:rPr>
          <w:rFonts w:ascii="Arial" w:hAnsi="Arial"/>
        </w:rPr>
        <w:t>3. Professional Partnerships in the First 1000 Days</w:t>
      </w:r>
      <w:bookmarkEnd w:id="547280152"/>
      <w:r w:rsidRPr="3AB61F0A" w:rsidR="6E3B57DB">
        <w:rPr>
          <w:rFonts w:ascii="Arial" w:hAnsi="Arial"/>
        </w:rPr>
        <w:t xml:space="preserve"> </w:t>
      </w:r>
    </w:p>
    <w:p w:rsidRPr="000B15B6" w:rsidR="003032D4" w:rsidP="5C413465" w:rsidRDefault="003032D4" w14:paraId="57729788" w14:textId="77777777">
      <w:pPr>
        <w:pStyle w:val="Heading2"/>
        <w:rPr>
          <w:rFonts w:ascii="Arial" w:hAnsi="Arial"/>
          <w:lang w:val="en-US"/>
        </w:rPr>
      </w:pPr>
      <w:bookmarkStart w:name="_Toc1641854852" w:id="1883178910"/>
      <w:r w:rsidRPr="3AB61F0A" w:rsidR="3DAD1962">
        <w:rPr>
          <w:rFonts w:ascii="Arial" w:hAnsi="Arial"/>
          <w:lang w:val="en-US"/>
        </w:rPr>
        <w:t>3.1 Role of the Early Years Practitioner</w:t>
      </w:r>
      <w:bookmarkEnd w:id="1883178910"/>
    </w:p>
    <w:p w:rsidRPr="000B15B6" w:rsidR="001E0083" w:rsidP="5C413465" w:rsidRDefault="001E0083" w14:paraId="2F150FA1" w14:textId="09150A96">
      <w:pPr>
        <w:rPr>
          <w:rFonts w:ascii="Arial" w:hAnsi="Arial"/>
        </w:rPr>
      </w:pPr>
      <w:r w:rsidRPr="5C413465">
        <w:rPr>
          <w:rFonts w:ascii="Arial" w:hAnsi="Arial"/>
          <w:lang w:val="en-US"/>
        </w:rPr>
        <w:t xml:space="preserve">The early years practitioners are also crucial in the provision of care to the infants and the families within the first 1000 days because this is a time that demands a holistic and responsive approach to care (Brodie, 2018). The task of the practitioners is to monitor the development of children, assess their individual needs, and provide them with favorable environments that support their physical, emotional, and social </w:t>
      </w:r>
      <w:r w:rsidRPr="5C413465" w:rsidR="0081306B">
        <w:rPr>
          <w:rFonts w:ascii="Arial" w:hAnsi="Arial"/>
          <w:lang w:val="en-US"/>
        </w:rPr>
        <w:t>well-being</w:t>
      </w:r>
      <w:r w:rsidRPr="5C413465">
        <w:rPr>
          <w:rFonts w:ascii="Arial" w:hAnsi="Arial"/>
          <w:lang w:val="en-US"/>
        </w:rPr>
        <w:t xml:space="preserve"> (MacBlain, 2021). Practitioners promote attachment, emotional security</w:t>
      </w:r>
      <w:r w:rsidRPr="5C413465" w:rsidR="0081306B">
        <w:rPr>
          <w:rFonts w:ascii="Arial" w:hAnsi="Arial"/>
          <w:lang w:val="en-US"/>
        </w:rPr>
        <w:t>,</w:t>
      </w:r>
      <w:r w:rsidRPr="5C413465">
        <w:rPr>
          <w:rFonts w:ascii="Arial" w:hAnsi="Arial"/>
          <w:lang w:val="en-US"/>
        </w:rPr>
        <w:t xml:space="preserve"> and early learning through responsiveness to infant cues and </w:t>
      </w:r>
      <w:r w:rsidRPr="5C413465" w:rsidR="3756132F">
        <w:rPr>
          <w:rFonts w:ascii="Arial" w:hAnsi="Arial"/>
          <w:lang w:val="en-US"/>
        </w:rPr>
        <w:t>behaviors</w:t>
      </w:r>
      <w:r w:rsidRPr="5C413465">
        <w:rPr>
          <w:rFonts w:ascii="Arial" w:hAnsi="Arial"/>
          <w:lang w:val="en-US"/>
        </w:rPr>
        <w:t xml:space="preserve"> through daily interactions (Gerhardt, 2015). </w:t>
      </w:r>
    </w:p>
    <w:p w:rsidRPr="000B15B6" w:rsidR="00A075D6" w:rsidP="5C413465" w:rsidRDefault="00A075D6" w14:paraId="7D6682F7" w14:textId="744C8021">
      <w:pPr>
        <w:rPr>
          <w:rFonts w:ascii="Arial" w:hAnsi="Arial"/>
        </w:rPr>
      </w:pPr>
      <w:r>
        <w:rPr>
          <w:noProof/>
        </w:rPr>
        <w:drawing>
          <wp:inline distT="0" distB="0" distL="0" distR="0" wp14:anchorId="3367F71F" wp14:editId="437BC121">
            <wp:extent cx="4436669" cy="2534495"/>
            <wp:effectExtent l="0" t="0" r="2540" b="0"/>
            <wp:docPr id="123288209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449831" cy="2542014"/>
                    </a:xfrm>
                    <a:prstGeom prst="rect">
                      <a:avLst/>
                    </a:prstGeom>
                    <a:noFill/>
                    <a:ln>
                      <a:noFill/>
                    </a:ln>
                  </pic:spPr>
                </pic:pic>
              </a:graphicData>
            </a:graphic>
          </wp:inline>
        </w:drawing>
      </w:r>
    </w:p>
    <w:p w:rsidRPr="000B15B6" w:rsidR="00A075D6" w:rsidP="5C413465" w:rsidRDefault="00A075D6" w14:paraId="6EE63D43" w14:textId="5BBA655C">
      <w:pPr>
        <w:rPr>
          <w:rFonts w:ascii="Arial" w:hAnsi="Arial"/>
          <w:lang w:val="en-US"/>
        </w:rPr>
      </w:pPr>
      <w:r w:rsidRPr="5C413465">
        <w:rPr>
          <w:rFonts w:ascii="Arial" w:hAnsi="Arial"/>
        </w:rPr>
        <w:t xml:space="preserve">Figure 6: </w:t>
      </w:r>
      <w:r w:rsidRPr="5C413465">
        <w:rPr>
          <w:rFonts w:ascii="Arial" w:hAnsi="Arial"/>
          <w:lang w:val="en-US"/>
        </w:rPr>
        <w:t>Role of the Early Years Practitioner (Butcher, 2026)</w:t>
      </w:r>
    </w:p>
    <w:p w:rsidRPr="000B15B6" w:rsidR="001E0083" w:rsidP="5C413465" w:rsidRDefault="001E0083" w14:paraId="3AE85FD0" w14:textId="492798E7">
      <w:pPr>
        <w:rPr>
          <w:rFonts w:ascii="Arial" w:hAnsi="Arial"/>
        </w:rPr>
      </w:pPr>
      <w:r w:rsidRPr="5C413465">
        <w:rPr>
          <w:rFonts w:ascii="Arial" w:hAnsi="Arial"/>
          <w:lang w:val="en-US"/>
        </w:rPr>
        <w:t xml:space="preserve">Besides direct practice with children, practitioners are now advocates of infants, which means that their rights, </w:t>
      </w:r>
      <w:r w:rsidRPr="5C413465" w:rsidR="0081306B">
        <w:rPr>
          <w:rFonts w:ascii="Arial" w:hAnsi="Arial"/>
          <w:lang w:val="en-US"/>
        </w:rPr>
        <w:t>well-being</w:t>
      </w:r>
      <w:r w:rsidRPr="5C413465">
        <w:rPr>
          <w:rFonts w:ascii="Arial" w:hAnsi="Arial"/>
          <w:lang w:val="en-US"/>
        </w:rPr>
        <w:t xml:space="preserve">, and developmental needs are at the center of practice (Rose, 2016). This includes the ability to identify early signs of developmental delay or other requirements and act accordingly to make sure that the support is provided in time (Brodie, 2018). Practitioners also become significant </w:t>
      </w:r>
      <w:r w:rsidRPr="5C413465" w:rsidR="0081306B">
        <w:rPr>
          <w:rFonts w:ascii="Arial" w:hAnsi="Arial"/>
          <w:lang w:val="en-US"/>
        </w:rPr>
        <w:t>in modeling positive caregiving practices,</w:t>
      </w:r>
      <w:r w:rsidRPr="5C413465">
        <w:rPr>
          <w:rFonts w:ascii="Arial" w:hAnsi="Arial"/>
          <w:lang w:val="en-US"/>
        </w:rPr>
        <w:t xml:space="preserve"> hiring parents and caregivers to be confident in their role (Bateman and Church, 2022). Early years practitioners </w:t>
      </w:r>
      <w:r w:rsidRPr="5C413465" w:rsidR="004B743D">
        <w:rPr>
          <w:rFonts w:ascii="Arial" w:hAnsi="Arial"/>
          <w:lang w:val="en-US"/>
        </w:rPr>
        <w:t>can</w:t>
      </w:r>
      <w:r w:rsidRPr="5C413465">
        <w:rPr>
          <w:rFonts w:ascii="Arial" w:hAnsi="Arial"/>
          <w:lang w:val="en-US"/>
        </w:rPr>
        <w:t xml:space="preserve"> constantly respond to the changing needs of children and families throughout this crucial phase of their lives by engaging in reflective practice and constant improvement of their practice (MacBlain, 2021).</w:t>
      </w:r>
    </w:p>
    <w:p w:rsidRPr="000B15B6" w:rsidR="003032D4" w:rsidP="5C413465" w:rsidRDefault="003032D4" w14:paraId="3649DE01" w14:textId="04A14BDF">
      <w:pPr>
        <w:pStyle w:val="Heading2"/>
        <w:rPr>
          <w:rFonts w:ascii="Arial" w:hAnsi="Arial"/>
          <w:lang w:val="en-US"/>
        </w:rPr>
      </w:pPr>
      <w:bookmarkStart w:name="_Toc165671177" w:id="830356273"/>
      <w:r w:rsidRPr="3AB61F0A" w:rsidR="3DAD1962">
        <w:rPr>
          <w:rFonts w:ascii="Arial" w:hAnsi="Arial"/>
          <w:lang w:val="en-US"/>
        </w:rPr>
        <w:t>3.2 Working in Partnership with Families and Professionals</w:t>
      </w:r>
      <w:bookmarkEnd w:id="830356273"/>
    </w:p>
    <w:p w:rsidRPr="000B15B6" w:rsidR="004F6A0A" w:rsidP="5C413465" w:rsidRDefault="001E0083" w14:paraId="1EA91442" w14:textId="6B2828C9">
      <w:pPr>
        <w:rPr>
          <w:rFonts w:ascii="Arial" w:hAnsi="Arial"/>
        </w:rPr>
      </w:pPr>
      <w:r w:rsidRPr="5C413465">
        <w:rPr>
          <w:rFonts w:ascii="Arial" w:hAnsi="Arial"/>
          <w:lang w:val="en-US"/>
        </w:rPr>
        <w:t>One of the key elements of effective early years</w:t>
      </w:r>
      <w:r w:rsidRPr="5C413465" w:rsidR="362D8B0A">
        <w:rPr>
          <w:rFonts w:ascii="Arial" w:hAnsi="Arial"/>
          <w:lang w:val="en-US"/>
        </w:rPr>
        <w:t xml:space="preserve"> of</w:t>
      </w:r>
      <w:r w:rsidRPr="5C413465">
        <w:rPr>
          <w:rFonts w:ascii="Arial" w:hAnsi="Arial"/>
          <w:lang w:val="en-US"/>
        </w:rPr>
        <w:t xml:space="preserve"> practice in the first 1000 days is the concept of partnership working (Bateman and Church, 2022). Close relationships with families are based on mutual respect, open communication</w:t>
      </w:r>
      <w:r w:rsidRPr="5C413465" w:rsidR="0081306B">
        <w:rPr>
          <w:rFonts w:ascii="Arial" w:hAnsi="Arial"/>
          <w:lang w:val="en-US"/>
        </w:rPr>
        <w:t>,</w:t>
      </w:r>
      <w:r w:rsidRPr="5C413465">
        <w:rPr>
          <w:rFonts w:ascii="Arial" w:hAnsi="Arial"/>
          <w:lang w:val="en-US"/>
        </w:rPr>
        <w:t xml:space="preserve"> and trust. The practitioners identify parents and caregivers as the primary and most important educators of a child and appreciate their knowledge, experiences, and perspectives (Brodie, 2018). Through teamwork, practitioners and families can guarantee continuity of care both inside and outside early years, especially to </w:t>
      </w:r>
      <w:r w:rsidRPr="5C413465" w:rsidR="427F89F6">
        <w:rPr>
          <w:rFonts w:ascii="Arial" w:hAnsi="Arial"/>
          <w:lang w:val="en-US"/>
        </w:rPr>
        <w:t>infants</w:t>
      </w:r>
      <w:r w:rsidRPr="5C413465">
        <w:rPr>
          <w:rFonts w:ascii="Arial" w:hAnsi="Arial"/>
          <w:lang w:val="en-US"/>
        </w:rPr>
        <w:t xml:space="preserve"> dependent on predictable routines and bonds (Gerhardt, 2015).</w:t>
      </w:r>
    </w:p>
    <w:p w:rsidRPr="000B15B6" w:rsidR="001E0083" w:rsidP="5C413465" w:rsidRDefault="004F6A0A" w14:paraId="7359B61E" w14:textId="04C1ECE1">
      <w:pPr>
        <w:rPr>
          <w:rFonts w:ascii="Arial" w:hAnsi="Arial"/>
        </w:rPr>
      </w:pPr>
      <w:r>
        <w:rPr>
          <w:noProof/>
        </w:rPr>
        <w:drawing>
          <wp:inline distT="0" distB="0" distL="0" distR="0" wp14:anchorId="0091A0FB" wp14:editId="1482D589">
            <wp:extent cx="4384646" cy="3277692"/>
            <wp:effectExtent l="0" t="0" r="0" b="0"/>
            <wp:docPr id="3304840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a:stretch>
                      <a:fillRect/>
                    </a:stretch>
                  </pic:blipFill>
                  <pic:spPr bwMode="auto">
                    <a:xfrm>
                      <a:off x="0" y="0"/>
                      <a:ext cx="4387753" cy="3280014"/>
                    </a:xfrm>
                    <a:prstGeom prst="rect">
                      <a:avLst/>
                    </a:prstGeom>
                    <a:noFill/>
                    <a:ln>
                      <a:noFill/>
                    </a:ln>
                    <a:extLst>
                      <a:ext uri="{53640926-AAD7-44D8-BBD7-CCE9431645EC}">
                        <a14:shadowObscured xmlns:a14="http://schemas.microsoft.com/office/drawing/2010/main"/>
                      </a:ext>
                    </a:extLst>
                  </pic:spPr>
                </pic:pic>
              </a:graphicData>
            </a:graphic>
          </wp:inline>
        </w:drawing>
      </w:r>
    </w:p>
    <w:p w:rsidRPr="000B15B6" w:rsidR="004F6A0A" w:rsidP="5C413465" w:rsidRDefault="004F6A0A" w14:paraId="5531EF72" w14:textId="4189EC18">
      <w:pPr>
        <w:rPr>
          <w:rFonts w:ascii="Arial" w:hAnsi="Arial"/>
          <w:lang w:val="en-US"/>
        </w:rPr>
      </w:pPr>
      <w:r w:rsidRPr="5C413465">
        <w:rPr>
          <w:rFonts w:ascii="Arial" w:hAnsi="Arial"/>
        </w:rPr>
        <w:t xml:space="preserve">Figure 7: Relationship between parent and child </w:t>
      </w:r>
      <w:r w:rsidRPr="5C413465">
        <w:rPr>
          <w:rFonts w:ascii="Arial" w:hAnsi="Arial"/>
          <w:lang w:val="en-US"/>
        </w:rPr>
        <w:t>(Meyer, 2023)</w:t>
      </w:r>
    </w:p>
    <w:p w:rsidRPr="000B15B6" w:rsidR="001E0083" w:rsidP="5C413465" w:rsidRDefault="001E0083" w14:paraId="3FEB286E" w14:textId="3B7ADC14">
      <w:pPr>
        <w:rPr>
          <w:rFonts w:ascii="Arial" w:hAnsi="Arial"/>
        </w:rPr>
      </w:pPr>
      <w:r w:rsidRPr="5C413465">
        <w:rPr>
          <w:rFonts w:ascii="Arial" w:hAnsi="Arial"/>
          <w:lang w:val="en-US"/>
        </w:rPr>
        <w:t>Besides providing close work with families, early years practitioners may also be involved in cooperation with various professionals, such as health visitors, midwives, speech and language therapists, and social workers (Rose, 2016). This is a multi-agency intervention, which helps to better understand the child as a whole and identify the issues in the early stage (MacBlain, 2021). Communication among professionals also provides the necessary coordination of support and makes sure that families do not feel overloaded and unheard (Bateman and Church, 2022). Working in partnership in the first 1000 days thus forms a chain of care around the child, which facilitates positive outcomes and mitigates the risk of disjointed care (Karakochuk et al., 2018).</w:t>
      </w:r>
    </w:p>
    <w:p w:rsidRPr="000B15B6" w:rsidR="003032D4" w:rsidP="5C413465" w:rsidRDefault="003032D4" w14:paraId="031FF546" w14:textId="0A6781CC">
      <w:pPr>
        <w:pStyle w:val="Heading2"/>
        <w:rPr>
          <w:rFonts w:ascii="Arial" w:hAnsi="Arial"/>
          <w:lang w:val="en-US"/>
        </w:rPr>
      </w:pPr>
      <w:bookmarkStart w:name="_Toc1533539478" w:id="1145342795"/>
      <w:r w:rsidRPr="3AB61F0A" w:rsidR="3DAD1962">
        <w:rPr>
          <w:rFonts w:ascii="Arial" w:hAnsi="Arial"/>
          <w:lang w:val="en-US"/>
        </w:rPr>
        <w:t>3.3 Maternal Factors and Support Strategies</w:t>
      </w:r>
      <w:bookmarkEnd w:id="1145342795"/>
    </w:p>
    <w:p w:rsidRPr="000B15B6" w:rsidR="001E0083" w:rsidP="5C413465" w:rsidRDefault="001E0083" w14:paraId="2D8A301A" w14:textId="127656D9">
      <w:pPr>
        <w:rPr>
          <w:rFonts w:ascii="Arial" w:hAnsi="Arial"/>
        </w:rPr>
      </w:pPr>
      <w:r w:rsidRPr="5C413465">
        <w:rPr>
          <w:rFonts w:ascii="Arial" w:hAnsi="Arial"/>
          <w:lang w:val="en-US"/>
        </w:rPr>
        <w:t xml:space="preserve">The first 1000 days have a major influence on child development, which is determined by maternal factors (Sansone, 2021). </w:t>
      </w:r>
      <w:r w:rsidRPr="5C413465" w:rsidR="0081306B">
        <w:rPr>
          <w:rFonts w:ascii="Arial" w:hAnsi="Arial"/>
          <w:lang w:val="en-US"/>
        </w:rPr>
        <w:t>Prenatal</w:t>
      </w:r>
      <w:r w:rsidRPr="5C413465">
        <w:rPr>
          <w:rFonts w:ascii="Arial" w:hAnsi="Arial"/>
          <w:lang w:val="en-US"/>
        </w:rPr>
        <w:t xml:space="preserve"> and postnatal development can be affected by maternal mental health, nutrition, stress levels, and access to social support (Annis, 2019). As an illustration, the attachment </w:t>
      </w:r>
      <w:r w:rsidRPr="5C413465" w:rsidR="5A4E107D">
        <w:rPr>
          <w:rFonts w:ascii="Arial" w:hAnsi="Arial"/>
          <w:lang w:val="en-US"/>
        </w:rPr>
        <w:t>of</w:t>
      </w:r>
      <w:r w:rsidRPr="5C413465">
        <w:rPr>
          <w:rFonts w:ascii="Arial" w:hAnsi="Arial"/>
          <w:lang w:val="en-US"/>
        </w:rPr>
        <w:t xml:space="preserve"> relationships and infant emotional regulation can be affected by long-term stress or poor mental health </w:t>
      </w:r>
      <w:r w:rsidRPr="5C413465" w:rsidR="004B743D">
        <w:rPr>
          <w:rFonts w:ascii="Arial" w:hAnsi="Arial"/>
          <w:lang w:val="en-US"/>
        </w:rPr>
        <w:t>during</w:t>
      </w:r>
      <w:r w:rsidRPr="5C413465">
        <w:rPr>
          <w:rFonts w:ascii="Arial" w:hAnsi="Arial"/>
          <w:lang w:val="en-US"/>
        </w:rPr>
        <w:t xml:space="preserve"> pregnancy and early infancy (Gerhardt, 2015). These aspects need to be </w:t>
      </w:r>
      <w:r w:rsidRPr="5C413465" w:rsidR="004B743D">
        <w:rPr>
          <w:rFonts w:ascii="Arial" w:hAnsi="Arial"/>
          <w:lang w:val="en-US"/>
        </w:rPr>
        <w:t>considered</w:t>
      </w:r>
      <w:r w:rsidRPr="5C413465">
        <w:rPr>
          <w:rFonts w:ascii="Arial" w:hAnsi="Arial"/>
          <w:lang w:val="en-US"/>
        </w:rPr>
        <w:t xml:space="preserve"> by early years practitioners who should treat families with sensitivity, professionalism, and empathy (Brodie, 2018). </w:t>
      </w:r>
    </w:p>
    <w:p w:rsidRPr="000B15B6" w:rsidR="004F6A0A" w:rsidP="5C413465" w:rsidRDefault="004F6A0A" w14:paraId="2D8C53DA" w14:textId="69637062">
      <w:pPr>
        <w:rPr>
          <w:rFonts w:ascii="Arial" w:hAnsi="Arial"/>
        </w:rPr>
      </w:pPr>
      <w:r>
        <w:rPr>
          <w:noProof/>
        </w:rPr>
        <w:drawing>
          <wp:inline distT="0" distB="0" distL="0" distR="0" wp14:anchorId="1C0D60CB" wp14:editId="09C70068">
            <wp:extent cx="4015994" cy="2352012"/>
            <wp:effectExtent l="0" t="0" r="3810" b="0"/>
            <wp:docPr id="156526970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a:stretch>
                      <a:fillRect/>
                    </a:stretch>
                  </pic:blipFill>
                  <pic:spPr bwMode="auto">
                    <a:xfrm>
                      <a:off x="0" y="0"/>
                      <a:ext cx="4029751" cy="2360069"/>
                    </a:xfrm>
                    <a:prstGeom prst="rect">
                      <a:avLst/>
                    </a:prstGeom>
                    <a:noFill/>
                    <a:ln>
                      <a:noFill/>
                    </a:ln>
                    <a:extLst>
                      <a:ext uri="{53640926-AAD7-44D8-BBD7-CCE9431645EC}">
                        <a14:shadowObscured xmlns:a14="http://schemas.microsoft.com/office/drawing/2010/main"/>
                      </a:ext>
                    </a:extLst>
                  </pic:spPr>
                </pic:pic>
              </a:graphicData>
            </a:graphic>
          </wp:inline>
        </w:drawing>
      </w:r>
    </w:p>
    <w:p w:rsidRPr="000B15B6" w:rsidR="004F6A0A" w:rsidP="5C413465" w:rsidRDefault="004F6A0A" w14:paraId="09EC9630" w14:textId="3F60867F">
      <w:pPr>
        <w:rPr>
          <w:rFonts w:ascii="Arial" w:hAnsi="Arial"/>
        </w:rPr>
      </w:pPr>
      <w:r w:rsidRPr="5C413465">
        <w:rPr>
          <w:rFonts w:ascii="Arial" w:hAnsi="Arial"/>
        </w:rPr>
        <w:t xml:space="preserve">Figure 8: Inventions to improve child </w:t>
      </w:r>
      <w:r w:rsidRPr="5C413465" w:rsidR="002322AA">
        <w:rPr>
          <w:rFonts w:ascii="Arial" w:hAnsi="Arial"/>
        </w:rPr>
        <w:t>health.</w:t>
      </w:r>
    </w:p>
    <w:p w:rsidRPr="000B15B6" w:rsidR="003032D4" w:rsidP="5C413465" w:rsidRDefault="001E0083" w14:paraId="134D431D" w14:textId="03A7C9A3">
      <w:pPr>
        <w:rPr>
          <w:rFonts w:ascii="Arial" w:hAnsi="Arial"/>
        </w:rPr>
      </w:pPr>
      <w:r w:rsidRPr="5C413465">
        <w:rPr>
          <w:rFonts w:ascii="Arial" w:hAnsi="Arial"/>
          <w:lang w:val="en-US"/>
        </w:rPr>
        <w:t xml:space="preserve">Helping mothers at this stage will mean offering emotional support, giving the correct information, and referring these families to the right services when necessary (Rose, 2016). The practitioners are encouraged to take a </w:t>
      </w:r>
      <w:r w:rsidRPr="5C413465" w:rsidR="0081306B">
        <w:rPr>
          <w:rFonts w:ascii="Arial" w:hAnsi="Arial"/>
          <w:lang w:val="en-US"/>
        </w:rPr>
        <w:t>non-judgmental</w:t>
      </w:r>
      <w:r w:rsidRPr="5C413465">
        <w:rPr>
          <w:rFonts w:ascii="Arial" w:hAnsi="Arial"/>
          <w:lang w:val="en-US"/>
        </w:rPr>
        <w:t xml:space="preserve"> role, as families can be exposed to various issues, such as financial constraint, social isolation, or health problems (Bateman and Church, 2022). The coordination of other professionals and community services </w:t>
      </w:r>
      <w:r w:rsidRPr="5C413465" w:rsidR="03379983">
        <w:rPr>
          <w:rFonts w:ascii="Arial" w:hAnsi="Arial"/>
          <w:lang w:val="en-US"/>
        </w:rPr>
        <w:t>allows</w:t>
      </w:r>
      <w:r w:rsidRPr="5C413465">
        <w:rPr>
          <w:rFonts w:ascii="Arial" w:hAnsi="Arial"/>
          <w:lang w:val="en-US"/>
        </w:rPr>
        <w:t xml:space="preserve"> practitioners to contribute to the provision of mothers with the necessary support, and in turn, to the development of infants (MacBlain, 2021). Good support plans enhance the </w:t>
      </w:r>
      <w:r w:rsidRPr="5C413465" w:rsidR="0081306B">
        <w:rPr>
          <w:rFonts w:ascii="Arial" w:hAnsi="Arial"/>
          <w:lang w:val="en-US"/>
        </w:rPr>
        <w:t>well-being</w:t>
      </w:r>
      <w:r w:rsidRPr="5C413465">
        <w:rPr>
          <w:rFonts w:ascii="Arial" w:hAnsi="Arial"/>
          <w:lang w:val="en-US"/>
        </w:rPr>
        <w:t xml:space="preserve"> of families and lead to more favorable developmental results in the initial 1000 days (Karakochuk et al., 2018). </w:t>
      </w:r>
    </w:p>
    <w:p w:rsidRPr="000B15B6" w:rsidR="0036534F" w:rsidP="5C413465" w:rsidRDefault="0036534F" w14:paraId="03BC2272" w14:textId="77777777">
      <w:pPr>
        <w:rPr>
          <w:rFonts w:ascii="Arial" w:hAnsi="Arial"/>
        </w:rPr>
      </w:pPr>
    </w:p>
    <w:p w:rsidRPr="000B15B6" w:rsidR="003032D4" w:rsidP="5C413465" w:rsidRDefault="003032D4" w14:paraId="3E88232D" w14:textId="77777777">
      <w:pPr>
        <w:rPr>
          <w:rFonts w:ascii="Arial" w:hAnsi="Arial"/>
        </w:rPr>
      </w:pPr>
    </w:p>
    <w:p w:rsidRPr="000B15B6" w:rsidR="0036534F" w:rsidP="5C413465" w:rsidRDefault="0036534F" w14:paraId="7403A70C" w14:textId="74ACB059">
      <w:pPr>
        <w:pStyle w:val="Heading1"/>
        <w:rPr>
          <w:rFonts w:ascii="Arial" w:hAnsi="Arial"/>
        </w:rPr>
      </w:pPr>
      <w:bookmarkStart w:name="_Toc584994412" w:id="30551606"/>
      <w:r w:rsidRPr="3AB61F0A" w:rsidR="6E3B57DB">
        <w:rPr>
          <w:rFonts w:ascii="Arial" w:hAnsi="Arial"/>
        </w:rPr>
        <w:t>4. Challenges in Providing High-Quality Care</w:t>
      </w:r>
      <w:bookmarkEnd w:id="30551606"/>
      <w:r w:rsidRPr="3AB61F0A" w:rsidR="6E3B57DB">
        <w:rPr>
          <w:rFonts w:ascii="Arial" w:hAnsi="Arial"/>
        </w:rPr>
        <w:t xml:space="preserve"> </w:t>
      </w:r>
    </w:p>
    <w:p w:rsidRPr="000B15B6" w:rsidR="003032D4" w:rsidP="5C413465" w:rsidRDefault="003032D4" w14:paraId="52B4BC56" w14:textId="77777777">
      <w:pPr>
        <w:pStyle w:val="Heading2"/>
        <w:rPr>
          <w:rFonts w:ascii="Arial" w:hAnsi="Arial"/>
        </w:rPr>
      </w:pPr>
      <w:bookmarkStart w:name="_Toc1793140968" w:id="1462612407"/>
      <w:r w:rsidRPr="3AB61F0A" w:rsidR="3DAD1962">
        <w:rPr>
          <w:rFonts w:ascii="Arial" w:hAnsi="Arial"/>
          <w:lang w:val="en-US"/>
        </w:rPr>
        <w:t xml:space="preserve">4.1 Practical and </w:t>
      </w:r>
      <w:r w:rsidRPr="3AB61F0A" w:rsidR="3DAD1962">
        <w:rPr>
          <w:rFonts w:ascii="Arial" w:hAnsi="Arial"/>
          <w:lang w:val="en-US"/>
        </w:rPr>
        <w:t>Organisational</w:t>
      </w:r>
      <w:r w:rsidRPr="3AB61F0A" w:rsidR="3DAD1962">
        <w:rPr>
          <w:rFonts w:ascii="Arial" w:hAnsi="Arial"/>
          <w:lang w:val="en-US"/>
        </w:rPr>
        <w:t xml:space="preserve"> Challenges</w:t>
      </w:r>
      <w:bookmarkEnd w:id="1462612407"/>
    </w:p>
    <w:p w:rsidRPr="000B15B6" w:rsidR="001E0083" w:rsidP="5C413465" w:rsidRDefault="001E0083" w14:paraId="4A2D9335" w14:textId="059DE8EE">
      <w:pPr>
        <w:rPr>
          <w:rFonts w:ascii="Arial" w:hAnsi="Arial"/>
        </w:rPr>
      </w:pPr>
      <w:r w:rsidRPr="5C413465">
        <w:rPr>
          <w:rFonts w:ascii="Arial" w:hAnsi="Arial"/>
          <w:lang w:val="en-US"/>
        </w:rPr>
        <w:t xml:space="preserve">The quality of care provided within the first 1000 days may be problematic because of practical and organisational limitations in the early </w:t>
      </w:r>
      <w:r w:rsidRPr="5C413465" w:rsidR="004B743D">
        <w:rPr>
          <w:rFonts w:ascii="Arial" w:hAnsi="Arial"/>
          <w:lang w:val="en-US"/>
        </w:rPr>
        <w:t>years’</w:t>
      </w:r>
      <w:r w:rsidRPr="5C413465">
        <w:rPr>
          <w:rFonts w:ascii="Arial" w:hAnsi="Arial"/>
          <w:lang w:val="en-US"/>
        </w:rPr>
        <w:t xml:space="preserve"> settings (Brodie, 2018). The shortage of </w:t>
      </w:r>
      <w:r w:rsidRPr="5C413465" w:rsidR="0081306B">
        <w:rPr>
          <w:rFonts w:ascii="Arial" w:hAnsi="Arial"/>
          <w:lang w:val="en-US"/>
        </w:rPr>
        <w:t>staff is quite a typical phenomenon that frequently leads to increased workload for practitioners and a decrease in the chances of providing consistent, relationship-based</w:t>
      </w:r>
      <w:r w:rsidRPr="5C413465">
        <w:rPr>
          <w:rFonts w:ascii="Arial" w:hAnsi="Arial"/>
          <w:lang w:val="en-US"/>
        </w:rPr>
        <w:t xml:space="preserve"> care. When employees are overworked, responding to each individual infant more sensitively and having helpful time to establish relationships with families becomes harder. The possibility of designing enabling and developmentally appropriate environments is also further limited by limited resources, such as space, equipment, and funding (Rose, 2016). </w:t>
      </w:r>
    </w:p>
    <w:p w:rsidRPr="000B15B6" w:rsidR="003032D4" w:rsidP="5C413465" w:rsidRDefault="001E0083" w14:paraId="78E49248" w14:textId="342FD2AF">
      <w:pPr>
        <w:rPr>
          <w:rFonts w:ascii="Arial" w:hAnsi="Arial"/>
        </w:rPr>
      </w:pPr>
      <w:r w:rsidRPr="5C413465">
        <w:rPr>
          <w:rFonts w:ascii="Arial" w:hAnsi="Arial"/>
          <w:lang w:val="en-US"/>
        </w:rPr>
        <w:t>There is also a challenge of time constraints. Practitioners may be less able to interact with children and families directly because of administrative tasks</w:t>
      </w:r>
      <w:r w:rsidRPr="5C413465" w:rsidR="0081306B">
        <w:rPr>
          <w:rFonts w:ascii="Arial" w:hAnsi="Arial"/>
          <w:lang w:val="en-US"/>
        </w:rPr>
        <w:t>, documentation requirements,</w:t>
      </w:r>
      <w:r w:rsidRPr="5C413465">
        <w:rPr>
          <w:rFonts w:ascii="Arial" w:hAnsi="Arial"/>
          <w:lang w:val="en-US"/>
        </w:rPr>
        <w:t xml:space="preserve"> and regulatory responsibilities (MacBlain, 2021). This may influence the quality of the interactions, which are the critical ones needed to promote safe attachment and emotional </w:t>
      </w:r>
      <w:r w:rsidRPr="5C413465" w:rsidR="0081306B">
        <w:rPr>
          <w:rFonts w:ascii="Arial" w:hAnsi="Arial"/>
          <w:lang w:val="en-US"/>
        </w:rPr>
        <w:t>well-being</w:t>
      </w:r>
      <w:r w:rsidRPr="5C413465">
        <w:rPr>
          <w:rFonts w:ascii="Arial" w:hAnsi="Arial"/>
          <w:lang w:val="en-US"/>
        </w:rPr>
        <w:t xml:space="preserve"> in the first 1000 days (Gerhardt, 2015).</w:t>
      </w:r>
    </w:p>
    <w:p w:rsidRPr="000B15B6" w:rsidR="003032D4" w:rsidP="5C413465" w:rsidRDefault="003032D4" w14:paraId="73CCC30C" w14:textId="77777777">
      <w:pPr>
        <w:pStyle w:val="Heading2"/>
        <w:rPr>
          <w:rFonts w:ascii="Arial" w:hAnsi="Arial"/>
        </w:rPr>
      </w:pPr>
      <w:bookmarkStart w:name="_Toc1048245660" w:id="238724943"/>
      <w:r w:rsidRPr="3AB61F0A" w:rsidR="3DAD1962">
        <w:rPr>
          <w:rFonts w:ascii="Arial" w:hAnsi="Arial"/>
        </w:rPr>
        <w:t>4.2 Emotional Challenges for Practitioners</w:t>
      </w:r>
      <w:bookmarkEnd w:id="238724943"/>
    </w:p>
    <w:p w:rsidRPr="000B15B6" w:rsidR="001E0083" w:rsidP="5C413465" w:rsidRDefault="001E0083" w14:paraId="198BC4BF" w14:textId="47B5E5FD">
      <w:pPr>
        <w:rPr>
          <w:rFonts w:ascii="Arial" w:hAnsi="Arial"/>
        </w:rPr>
      </w:pPr>
      <w:r w:rsidRPr="5C413465">
        <w:rPr>
          <w:rFonts w:ascii="Arial" w:hAnsi="Arial"/>
          <w:lang w:val="en-US"/>
        </w:rPr>
        <w:t>The emotional labour of early years practice is also high</w:t>
      </w:r>
      <w:r w:rsidRPr="5C413465" w:rsidR="0081306B">
        <w:rPr>
          <w:rFonts w:ascii="Arial" w:hAnsi="Arial"/>
          <w:lang w:val="en-US"/>
        </w:rPr>
        <w:t>,</w:t>
      </w:r>
      <w:r w:rsidRPr="5C413465">
        <w:rPr>
          <w:rFonts w:ascii="Arial" w:hAnsi="Arial"/>
          <w:lang w:val="en-US"/>
        </w:rPr>
        <w:t xml:space="preserve"> especially when dealing with infants and families in such a delicate phase of development (Sansone, 2021). The practitioners tend to assist families with complicated situations, such as mental illnesses, social exclusion, or financial pressure. The ability to handle such cases involves compassion, competency, and emotional strength (Bateman and Church, 2022). </w:t>
      </w:r>
    </w:p>
    <w:p w:rsidRPr="000B15B6" w:rsidR="003032D4" w:rsidP="5C413465" w:rsidRDefault="001E0083" w14:paraId="5F7E0F11" w14:textId="1BDBBF2B">
      <w:pPr>
        <w:rPr>
          <w:rFonts w:ascii="Arial" w:hAnsi="Arial"/>
        </w:rPr>
      </w:pPr>
      <w:r w:rsidRPr="5C413465">
        <w:rPr>
          <w:rFonts w:ascii="Arial" w:hAnsi="Arial"/>
          <w:lang w:val="en-US"/>
        </w:rPr>
        <w:t xml:space="preserve">Lacking proper assistance, practitioners can be stressed, affected by compassion, or burned out (Rose, 2016). Emotional burden coupled with </w:t>
      </w:r>
      <w:r w:rsidRPr="5C413465" w:rsidR="0081306B">
        <w:rPr>
          <w:rFonts w:ascii="Arial" w:hAnsi="Arial"/>
          <w:lang w:val="en-US"/>
        </w:rPr>
        <w:t>a heavy workload may influence the well-being</w:t>
      </w:r>
      <w:r w:rsidRPr="5C413465">
        <w:rPr>
          <w:rFonts w:ascii="Arial" w:hAnsi="Arial"/>
          <w:lang w:val="en-US"/>
        </w:rPr>
        <w:t xml:space="preserve"> and job satisfaction of practitioners. This, in </w:t>
      </w:r>
      <w:r w:rsidRPr="5C413465" w:rsidR="002322AA">
        <w:rPr>
          <w:rFonts w:ascii="Arial" w:hAnsi="Arial"/>
          <w:lang w:val="en-US"/>
        </w:rPr>
        <w:t>turn</w:t>
      </w:r>
      <w:r w:rsidRPr="5C413465">
        <w:rPr>
          <w:rFonts w:ascii="Arial" w:hAnsi="Arial"/>
          <w:lang w:val="en-US"/>
        </w:rPr>
        <w:t xml:space="preserve">, can </w:t>
      </w:r>
      <w:r w:rsidRPr="5C413465" w:rsidR="004B743D">
        <w:rPr>
          <w:rFonts w:ascii="Arial" w:hAnsi="Arial"/>
          <w:lang w:val="en-US"/>
        </w:rPr>
        <w:t>influence</w:t>
      </w:r>
      <w:r w:rsidRPr="5C413465">
        <w:rPr>
          <w:rFonts w:ascii="Arial" w:hAnsi="Arial"/>
          <w:lang w:val="en-US"/>
        </w:rPr>
        <w:t xml:space="preserve"> the quality of care that is delivered to children (Brodie, 2018). Supervision, peer support</w:t>
      </w:r>
      <w:r w:rsidRPr="5C413465" w:rsidR="0081306B">
        <w:rPr>
          <w:rFonts w:ascii="Arial" w:hAnsi="Arial"/>
          <w:lang w:val="en-US"/>
        </w:rPr>
        <w:t>, and access to professional development are thus important in supporting the well-being</w:t>
      </w:r>
      <w:r w:rsidRPr="5C413465">
        <w:rPr>
          <w:rFonts w:ascii="Arial" w:hAnsi="Arial"/>
          <w:lang w:val="en-US"/>
        </w:rPr>
        <w:t xml:space="preserve"> of practitioners in ensuring high-quality practice (MacBlain, 2021).</w:t>
      </w:r>
    </w:p>
    <w:p w:rsidRPr="000B15B6" w:rsidR="001E0083" w:rsidP="5C413465" w:rsidRDefault="001E0083" w14:paraId="2CBBE444" w14:textId="77777777">
      <w:pPr>
        <w:rPr>
          <w:rFonts w:ascii="Arial" w:hAnsi="Arial"/>
        </w:rPr>
      </w:pPr>
    </w:p>
    <w:p w:rsidRPr="000B15B6" w:rsidR="001E0083" w:rsidP="5C413465" w:rsidRDefault="001E0083" w14:paraId="4ECE0393" w14:textId="77777777">
      <w:pPr>
        <w:rPr>
          <w:rFonts w:ascii="Arial" w:hAnsi="Arial"/>
        </w:rPr>
      </w:pPr>
    </w:p>
    <w:p w:rsidRPr="000B15B6" w:rsidR="003032D4" w:rsidP="5C413465" w:rsidRDefault="003032D4" w14:paraId="0214D8CB" w14:textId="3F30D0FB">
      <w:pPr>
        <w:pStyle w:val="Heading2"/>
        <w:rPr>
          <w:rFonts w:ascii="Arial" w:hAnsi="Arial"/>
        </w:rPr>
      </w:pPr>
      <w:bookmarkStart w:name="_Toc389039761" w:id="1021669720"/>
      <w:r w:rsidRPr="3AB61F0A" w:rsidR="3DAD1962">
        <w:rPr>
          <w:rFonts w:ascii="Arial" w:hAnsi="Arial"/>
        </w:rPr>
        <w:t>4.3 Social and Environmental Barriers</w:t>
      </w:r>
      <w:bookmarkEnd w:id="1021669720"/>
    </w:p>
    <w:p w:rsidRPr="000B15B6" w:rsidR="001E0083" w:rsidP="5C413465" w:rsidRDefault="001E0083" w14:paraId="79F42041" w14:textId="3C4B2888">
      <w:pPr>
        <w:rPr>
          <w:rFonts w:ascii="Arial" w:hAnsi="Arial"/>
        </w:rPr>
      </w:pPr>
      <w:r w:rsidRPr="5C413465">
        <w:rPr>
          <w:rFonts w:ascii="Arial" w:hAnsi="Arial"/>
          <w:lang w:val="en-US"/>
        </w:rPr>
        <w:t xml:space="preserve">A broader range of social and environmental influences also affects the possibility of offering quality care within the first 1000 days (Karakochuk et al., 2018). Families in poverty, poor housing conditions, or poor access to health and social services can encounter further obstacles to full participation in the provision of early years (Rose, 2016). The challenges may have an impact on child development as well as the </w:t>
      </w:r>
      <w:r w:rsidRPr="5C413465" w:rsidR="0081306B">
        <w:rPr>
          <w:rFonts w:ascii="Arial" w:hAnsi="Arial"/>
          <w:lang w:val="en-US"/>
        </w:rPr>
        <w:t>well-being</w:t>
      </w:r>
      <w:r w:rsidRPr="5C413465">
        <w:rPr>
          <w:rFonts w:ascii="Arial" w:hAnsi="Arial"/>
          <w:lang w:val="en-US"/>
        </w:rPr>
        <w:t xml:space="preserve"> of families and pose more pressures to early years practitioners (Brodie, 2018). </w:t>
      </w:r>
    </w:p>
    <w:p w:rsidRPr="000B15B6" w:rsidR="007D695C" w:rsidP="5C413465" w:rsidRDefault="007D695C" w14:paraId="33BDA036" w14:textId="04F7EC57">
      <w:pPr>
        <w:rPr>
          <w:rFonts w:ascii="Arial" w:hAnsi="Arial"/>
        </w:rPr>
      </w:pPr>
      <w:r>
        <w:rPr>
          <w:noProof/>
        </w:rPr>
        <w:drawing>
          <wp:inline distT="0" distB="0" distL="0" distR="0" wp14:anchorId="1ED8DDF9" wp14:editId="06335490">
            <wp:extent cx="3328449" cy="3386658"/>
            <wp:effectExtent l="0" t="0" r="5715" b="4445"/>
            <wp:docPr id="126525397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335287" cy="3393615"/>
                    </a:xfrm>
                    <a:prstGeom prst="rect">
                      <a:avLst/>
                    </a:prstGeom>
                    <a:noFill/>
                    <a:ln>
                      <a:noFill/>
                    </a:ln>
                  </pic:spPr>
                </pic:pic>
              </a:graphicData>
            </a:graphic>
          </wp:inline>
        </w:drawing>
      </w:r>
    </w:p>
    <w:p w:rsidRPr="000B15B6" w:rsidR="007D695C" w:rsidP="5C413465" w:rsidRDefault="007D695C" w14:paraId="431454DB" w14:textId="6A78FA25">
      <w:pPr>
        <w:rPr>
          <w:rFonts w:ascii="Arial" w:hAnsi="Arial"/>
        </w:rPr>
      </w:pPr>
      <w:r w:rsidRPr="5C413465">
        <w:rPr>
          <w:rFonts w:ascii="Arial" w:hAnsi="Arial"/>
        </w:rPr>
        <w:t>Figure 9: Challenges in the first 1000 days</w:t>
      </w:r>
    </w:p>
    <w:p w:rsidRPr="000B15B6" w:rsidR="0036534F" w:rsidP="5C413465" w:rsidRDefault="001E0083" w14:paraId="278F14BE" w14:textId="2A7B1413">
      <w:pPr>
        <w:rPr>
          <w:rFonts w:ascii="Arial" w:hAnsi="Arial"/>
        </w:rPr>
      </w:pPr>
      <w:r w:rsidRPr="5C413465">
        <w:rPr>
          <w:rFonts w:ascii="Arial" w:hAnsi="Arial"/>
          <w:lang w:val="en-US"/>
        </w:rPr>
        <w:t xml:space="preserve">Social and environmental barriers are to be dealt with in a holistic and reflective way. Practitioners </w:t>
      </w:r>
      <w:r w:rsidRPr="5C413465" w:rsidR="004B743D">
        <w:rPr>
          <w:rFonts w:ascii="Arial" w:hAnsi="Arial"/>
          <w:lang w:val="en-US"/>
        </w:rPr>
        <w:t>must</w:t>
      </w:r>
      <w:r w:rsidRPr="5C413465">
        <w:rPr>
          <w:rFonts w:ascii="Arial" w:hAnsi="Arial"/>
          <w:lang w:val="en-US"/>
        </w:rPr>
        <w:t xml:space="preserve"> cooperate with families and other professionals to assess needs and have an opportunity to offer proper support (Bateman and Church, 2022). Effective leadership, inclusive policies, and continuing professional development are key factors to help practitioners address these issues to remain responsive in delivering </w:t>
      </w:r>
      <w:r w:rsidRPr="5C413465" w:rsidR="0081306B">
        <w:rPr>
          <w:rFonts w:ascii="Arial" w:hAnsi="Arial"/>
          <w:lang w:val="en-US"/>
        </w:rPr>
        <w:t>high-quality</w:t>
      </w:r>
      <w:r w:rsidRPr="5C413465">
        <w:rPr>
          <w:rFonts w:ascii="Arial" w:hAnsi="Arial"/>
          <w:lang w:val="en-US"/>
        </w:rPr>
        <w:t xml:space="preserve"> care despite broader systemic pressures (MacBlain, 2021). </w:t>
      </w:r>
    </w:p>
    <w:p w:rsidRPr="000B15B6" w:rsidR="0036534F" w:rsidP="5C413465" w:rsidRDefault="0036534F" w14:paraId="3421F6E1" w14:textId="77777777">
      <w:pPr>
        <w:rPr>
          <w:rFonts w:ascii="Arial" w:hAnsi="Arial"/>
        </w:rPr>
      </w:pPr>
    </w:p>
    <w:p w:rsidRPr="000B15B6" w:rsidR="003032D4" w:rsidP="5C413465" w:rsidRDefault="003032D4" w14:paraId="45D5B7A0" w14:textId="77777777">
      <w:pPr>
        <w:rPr>
          <w:rFonts w:ascii="Arial" w:hAnsi="Arial"/>
        </w:rPr>
      </w:pPr>
    </w:p>
    <w:p w:rsidRPr="000B15B6" w:rsidR="0036534F" w:rsidP="5C413465" w:rsidRDefault="0036534F" w14:paraId="09B841F7" w14:textId="1618A157">
      <w:pPr>
        <w:pStyle w:val="Heading1"/>
        <w:rPr>
          <w:rFonts w:ascii="Arial" w:hAnsi="Arial"/>
        </w:rPr>
      </w:pPr>
      <w:bookmarkStart w:name="_Toc345208606" w:id="1922037829"/>
      <w:r w:rsidRPr="3AB61F0A" w:rsidR="6E3B57DB">
        <w:rPr>
          <w:rFonts w:ascii="Arial" w:hAnsi="Arial"/>
        </w:rPr>
        <w:t>5. Activities and Meaningful Learning in the First 1000 Days</w:t>
      </w:r>
      <w:bookmarkEnd w:id="1922037829"/>
      <w:r w:rsidRPr="3AB61F0A" w:rsidR="6E3B57DB">
        <w:rPr>
          <w:rFonts w:ascii="Arial" w:hAnsi="Arial"/>
        </w:rPr>
        <w:t xml:space="preserve"> </w:t>
      </w:r>
    </w:p>
    <w:p w:rsidRPr="000B15B6" w:rsidR="001E0083" w:rsidP="5C413465" w:rsidRDefault="001E0083" w14:paraId="4D48F38B" w14:textId="77777777">
      <w:pPr>
        <w:pStyle w:val="Heading2"/>
        <w:rPr>
          <w:rFonts w:ascii="Arial" w:hAnsi="Arial"/>
        </w:rPr>
      </w:pPr>
      <w:bookmarkStart w:name="_Toc1660574930" w:id="256865087"/>
      <w:r w:rsidRPr="3AB61F0A" w:rsidR="7C1612D8">
        <w:rPr>
          <w:rFonts w:ascii="Arial" w:hAnsi="Arial"/>
        </w:rPr>
        <w:t>5.1 Meaningful Learning Through Play and Relationships</w:t>
      </w:r>
      <w:bookmarkEnd w:id="256865087"/>
    </w:p>
    <w:p w:rsidRPr="000B15B6" w:rsidR="001E0083" w:rsidP="5C413465" w:rsidRDefault="001E0083" w14:paraId="7E43C08C" w14:textId="4385C23D">
      <w:pPr>
        <w:rPr>
          <w:rFonts w:ascii="Arial" w:hAnsi="Arial"/>
        </w:rPr>
      </w:pPr>
      <w:r w:rsidRPr="5C413465">
        <w:rPr>
          <w:rFonts w:ascii="Arial" w:hAnsi="Arial"/>
          <w:lang w:val="en-US"/>
        </w:rPr>
        <w:t>The relationships, daily interactions, and play are three key centers of meaningful first</w:t>
      </w:r>
      <w:r w:rsidRPr="5C413465" w:rsidR="4C5A5975">
        <w:rPr>
          <w:rFonts w:ascii="Arial" w:hAnsi="Arial"/>
          <w:lang w:val="en-US"/>
        </w:rPr>
        <w:t xml:space="preserve"> </w:t>
      </w:r>
      <w:r w:rsidRPr="5C413465">
        <w:rPr>
          <w:rFonts w:ascii="Arial" w:hAnsi="Arial"/>
          <w:lang w:val="en-US"/>
        </w:rPr>
        <w:t xml:space="preserve">1000-days learning (MacBlain, 2021). At this stage, infants familiarize themselves with the world using their senses and using the affective bonds that they develop with </w:t>
      </w:r>
      <w:r w:rsidRPr="5C413465" w:rsidR="0081306B">
        <w:rPr>
          <w:rFonts w:ascii="Arial" w:hAnsi="Arial"/>
          <w:lang w:val="en-US"/>
        </w:rPr>
        <w:t>their</w:t>
      </w:r>
      <w:r w:rsidRPr="5C413465">
        <w:rPr>
          <w:rFonts w:ascii="Arial" w:hAnsi="Arial"/>
          <w:lang w:val="en-US"/>
        </w:rPr>
        <w:t xml:space="preserve"> caregivers. Learning does not exist in the form of structured lessons</w:t>
      </w:r>
      <w:r w:rsidRPr="5C413465" w:rsidR="0081306B">
        <w:rPr>
          <w:rFonts w:ascii="Arial" w:hAnsi="Arial"/>
          <w:lang w:val="en-US"/>
        </w:rPr>
        <w:t>,</w:t>
      </w:r>
      <w:r w:rsidRPr="5C413465">
        <w:rPr>
          <w:rFonts w:ascii="Arial" w:hAnsi="Arial"/>
          <w:lang w:val="en-US"/>
        </w:rPr>
        <w:t xml:space="preserve"> but rather it is integrated into daily life experiences like feeding, nappy changing, play, and communication. These daily events offer bountiful chances of learning when the caregivers are always responsive and receptive to the signals of the infants (Bateman and Church, 2022). </w:t>
      </w:r>
    </w:p>
    <w:p w:rsidRPr="000B15B6" w:rsidR="007D695C" w:rsidP="5C413465" w:rsidRDefault="007D695C" w14:paraId="4778E9E1" w14:textId="0A57ABA1">
      <w:pPr>
        <w:rPr>
          <w:rFonts w:ascii="Arial" w:hAnsi="Arial"/>
        </w:rPr>
      </w:pPr>
      <w:r>
        <w:rPr>
          <w:noProof/>
        </w:rPr>
        <w:drawing>
          <wp:inline distT="0" distB="0" distL="0" distR="0" wp14:anchorId="012CE40A" wp14:editId="249CC73B">
            <wp:extent cx="5943600" cy="3049905"/>
            <wp:effectExtent l="0" t="0" r="0" b="0"/>
            <wp:docPr id="196818395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43600" cy="3049905"/>
                    </a:xfrm>
                    <a:prstGeom prst="rect">
                      <a:avLst/>
                    </a:prstGeom>
                    <a:noFill/>
                    <a:ln>
                      <a:noFill/>
                    </a:ln>
                  </pic:spPr>
                </pic:pic>
              </a:graphicData>
            </a:graphic>
          </wp:inline>
        </w:drawing>
      </w:r>
    </w:p>
    <w:p w:rsidRPr="000B15B6" w:rsidR="007D695C" w:rsidP="5C413465" w:rsidRDefault="007D695C" w14:paraId="22266350" w14:textId="6FFA11C6">
      <w:pPr>
        <w:rPr>
          <w:rFonts w:ascii="Arial" w:hAnsi="Arial"/>
          <w:lang w:val="en-US"/>
        </w:rPr>
      </w:pPr>
      <w:r w:rsidRPr="5C413465">
        <w:rPr>
          <w:rFonts w:ascii="Arial" w:hAnsi="Arial"/>
        </w:rPr>
        <w:t xml:space="preserve">Figure 10: Changes in the activities of the first 1000 days </w:t>
      </w:r>
      <w:r w:rsidRPr="5C413465">
        <w:rPr>
          <w:rFonts w:ascii="Arial" w:hAnsi="Arial"/>
          <w:lang w:val="en-US"/>
        </w:rPr>
        <w:t>(Kanekin, 2019)</w:t>
      </w:r>
    </w:p>
    <w:p w:rsidRPr="000B15B6" w:rsidR="001E0083" w:rsidP="5C413465" w:rsidRDefault="001E0083" w14:paraId="077D0765" w14:textId="796A58A6">
      <w:pPr>
        <w:rPr>
          <w:rFonts w:ascii="Arial" w:hAnsi="Arial"/>
        </w:rPr>
      </w:pPr>
      <w:r w:rsidRPr="5C413465">
        <w:rPr>
          <w:rFonts w:ascii="Arial" w:hAnsi="Arial"/>
          <w:lang w:val="en-US"/>
        </w:rPr>
        <w:t>The infants start to feel safe and trusted through friendly and attentive relationships, which underline exploration and interaction with their surroundings (Gerhardt, 2015). Safe and secure relationships help the infants feel secure enough to risk, explore new objects</w:t>
      </w:r>
      <w:r w:rsidRPr="5C413465" w:rsidR="0081306B">
        <w:rPr>
          <w:rFonts w:ascii="Arial" w:hAnsi="Arial"/>
          <w:lang w:val="en-US"/>
        </w:rPr>
        <w:t>, and acquire problem-solving</w:t>
      </w:r>
      <w:r w:rsidRPr="5C413465">
        <w:rPr>
          <w:rFonts w:ascii="Arial" w:hAnsi="Arial"/>
          <w:lang w:val="en-US"/>
        </w:rPr>
        <w:t xml:space="preserve"> skills at an early age. The quality of relationships within the context of the first 1000 days is thus critical to meaningful learning of infants and caregivers because it is based on these relationships that cognitive, emotional, and social learning occur (Brodie, 2018).</w:t>
      </w:r>
    </w:p>
    <w:p w:rsidRPr="000B15B6" w:rsidR="001E0083" w:rsidP="5C413465" w:rsidRDefault="001E0083" w14:paraId="442307CE" w14:textId="112304D5">
      <w:pPr>
        <w:pStyle w:val="Heading2"/>
        <w:rPr>
          <w:rFonts w:ascii="Arial" w:hAnsi="Arial"/>
        </w:rPr>
      </w:pPr>
      <w:bookmarkStart w:name="_Toc1934192735" w:id="1160890389"/>
      <w:r w:rsidRPr="3AB61F0A" w:rsidR="7C1612D8">
        <w:rPr>
          <w:rFonts w:ascii="Arial" w:hAnsi="Arial"/>
        </w:rPr>
        <w:t>5.2 Play-Based and Sensory Activities</w:t>
      </w:r>
      <w:bookmarkEnd w:id="1160890389"/>
    </w:p>
    <w:p w:rsidRPr="000B15B6" w:rsidR="001E0083" w:rsidP="5C413465" w:rsidRDefault="001E0083" w14:paraId="132F1360" w14:textId="6BB31E82">
      <w:pPr>
        <w:rPr>
          <w:rFonts w:ascii="Arial" w:hAnsi="Arial"/>
        </w:rPr>
      </w:pPr>
      <w:r w:rsidRPr="5C413465">
        <w:rPr>
          <w:rFonts w:ascii="Arial" w:hAnsi="Arial"/>
          <w:lang w:val="en-US"/>
        </w:rPr>
        <w:t>There are play-based and sensory activities, which are at the center of facilitating development in the first 1000 days (MacBlain, 2021). Loose parts</w:t>
      </w:r>
      <w:r w:rsidRPr="5C413465" w:rsidR="0133A1E7">
        <w:rPr>
          <w:rFonts w:ascii="Arial" w:hAnsi="Arial"/>
          <w:lang w:val="en-US"/>
        </w:rPr>
        <w:t xml:space="preserve"> of</w:t>
      </w:r>
      <w:r w:rsidRPr="5C413465">
        <w:rPr>
          <w:rFonts w:ascii="Arial" w:hAnsi="Arial"/>
          <w:lang w:val="en-US"/>
        </w:rPr>
        <w:t xml:space="preserve"> play </w:t>
      </w:r>
      <w:r w:rsidRPr="5C413465" w:rsidR="37BF2886">
        <w:rPr>
          <w:rFonts w:ascii="Arial" w:hAnsi="Arial"/>
          <w:lang w:val="en-US"/>
        </w:rPr>
        <w:t>are</w:t>
      </w:r>
      <w:r w:rsidRPr="5C413465">
        <w:rPr>
          <w:rFonts w:ascii="Arial" w:hAnsi="Arial"/>
          <w:lang w:val="en-US"/>
        </w:rPr>
        <w:t xml:space="preserve"> a play that involves the provision of infants with open-ended materials, including natural objects, fabrics, or common household objects that may be touched and handled in different ways. Sensory play helps to foster curiosity, creativity, and confidence because</w:t>
      </w:r>
      <w:r w:rsidRPr="5C413465" w:rsidR="0081306B">
        <w:rPr>
          <w:rFonts w:ascii="Arial" w:hAnsi="Arial"/>
          <w:lang w:val="en-US"/>
        </w:rPr>
        <w:t>, in the early stages of development, infants can be given a chance to lead their learning experiences and explore materials at</w:t>
      </w:r>
      <w:r w:rsidRPr="5C413465">
        <w:rPr>
          <w:rFonts w:ascii="Arial" w:hAnsi="Arial"/>
          <w:lang w:val="en-US"/>
        </w:rPr>
        <w:t xml:space="preserve"> their own speed (Brodie, 2018).</w:t>
      </w:r>
    </w:p>
    <w:p w:rsidRPr="000B15B6" w:rsidR="00F602E8" w:rsidP="5C413465" w:rsidRDefault="00F602E8" w14:paraId="545B4334" w14:textId="45F6EDDB">
      <w:pPr>
        <w:rPr>
          <w:rFonts w:ascii="Arial" w:hAnsi="Arial"/>
        </w:rPr>
      </w:pPr>
      <w:r>
        <w:rPr>
          <w:noProof/>
        </w:rPr>
        <w:drawing>
          <wp:inline distT="0" distB="0" distL="0" distR="0" wp14:anchorId="0FBFEF56" wp14:editId="3C85D9EE">
            <wp:extent cx="4112315" cy="2743301"/>
            <wp:effectExtent l="0" t="0" r="2540" b="0"/>
            <wp:docPr id="1475722002"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122163" cy="2749870"/>
                    </a:xfrm>
                    <a:prstGeom prst="rect">
                      <a:avLst/>
                    </a:prstGeom>
                    <a:noFill/>
                    <a:ln>
                      <a:noFill/>
                    </a:ln>
                  </pic:spPr>
                </pic:pic>
              </a:graphicData>
            </a:graphic>
          </wp:inline>
        </w:drawing>
      </w:r>
    </w:p>
    <w:p w:rsidRPr="000B15B6" w:rsidR="00F602E8" w:rsidP="5C413465" w:rsidRDefault="00F602E8" w14:paraId="50C7CC11" w14:textId="659975B9">
      <w:pPr>
        <w:rPr>
          <w:rFonts w:ascii="Arial" w:hAnsi="Arial"/>
          <w:lang w:val="en-US"/>
        </w:rPr>
      </w:pPr>
      <w:r w:rsidRPr="5C413465">
        <w:rPr>
          <w:rFonts w:ascii="Arial" w:hAnsi="Arial"/>
        </w:rPr>
        <w:t xml:space="preserve">Figure 11: Sensor activity </w:t>
      </w:r>
      <w:r w:rsidRPr="5C413465">
        <w:rPr>
          <w:rFonts w:ascii="Arial" w:hAnsi="Arial"/>
          <w:lang w:val="en-US"/>
        </w:rPr>
        <w:t>(Green, 2022)</w:t>
      </w:r>
    </w:p>
    <w:p w:rsidRPr="000B15B6" w:rsidR="001E0083" w:rsidP="5C413465" w:rsidRDefault="001E0083" w14:paraId="352B1FF6" w14:textId="516CAB3B">
      <w:pPr>
        <w:rPr>
          <w:rFonts w:ascii="Arial" w:hAnsi="Arial"/>
        </w:rPr>
      </w:pPr>
      <w:r w:rsidRPr="5C413465">
        <w:rPr>
          <w:rFonts w:ascii="Arial" w:hAnsi="Arial"/>
          <w:lang w:val="en-US"/>
        </w:rPr>
        <w:t>Sensory play is especially significant in the early stages of development because it can facilitate brain development and sensory integration (Karakochuk et al., 2018). Touch, sound, and movement, as well as visual stimulation activities</w:t>
      </w:r>
      <w:r w:rsidRPr="5C413465" w:rsidR="0081306B">
        <w:rPr>
          <w:rFonts w:ascii="Arial" w:hAnsi="Arial"/>
          <w:lang w:val="en-US"/>
        </w:rPr>
        <w:t>,</w:t>
      </w:r>
      <w:r w:rsidRPr="5C413465">
        <w:rPr>
          <w:rFonts w:ascii="Arial" w:hAnsi="Arial"/>
          <w:lang w:val="en-US"/>
        </w:rPr>
        <w:t xml:space="preserve"> assist infants in constructing </w:t>
      </w:r>
      <w:r w:rsidRPr="5C413465" w:rsidR="5E81B2B3">
        <w:rPr>
          <w:rFonts w:ascii="Arial" w:hAnsi="Arial"/>
          <w:lang w:val="en-US"/>
        </w:rPr>
        <w:t xml:space="preserve">the </w:t>
      </w:r>
      <w:r w:rsidRPr="5C413465">
        <w:rPr>
          <w:rFonts w:ascii="Arial" w:hAnsi="Arial"/>
          <w:lang w:val="en-US"/>
        </w:rPr>
        <w:t xml:space="preserve">meaning of the surrounding environment and </w:t>
      </w:r>
      <w:r w:rsidRPr="5C413465" w:rsidR="004B743D">
        <w:rPr>
          <w:rFonts w:ascii="Arial" w:hAnsi="Arial"/>
          <w:lang w:val="en-US"/>
        </w:rPr>
        <w:t>maintaining</w:t>
      </w:r>
      <w:r w:rsidRPr="5C413465">
        <w:rPr>
          <w:rFonts w:ascii="Arial" w:hAnsi="Arial"/>
          <w:lang w:val="en-US"/>
        </w:rPr>
        <w:t xml:space="preserve"> their emotions. As an example, experimenting with various textures, listening to music, or activities related to movement-based </w:t>
      </w:r>
      <w:r w:rsidRPr="5C413465" w:rsidR="0081306B">
        <w:rPr>
          <w:rFonts w:ascii="Arial" w:hAnsi="Arial"/>
          <w:lang w:val="en-US"/>
        </w:rPr>
        <w:t>games</w:t>
      </w:r>
      <w:r w:rsidRPr="5C413465">
        <w:rPr>
          <w:rFonts w:ascii="Arial" w:hAnsi="Arial"/>
          <w:lang w:val="en-US"/>
        </w:rPr>
        <w:t xml:space="preserve"> allows </w:t>
      </w:r>
      <w:r w:rsidRPr="5C413465" w:rsidR="0081306B">
        <w:rPr>
          <w:rFonts w:ascii="Arial" w:hAnsi="Arial"/>
          <w:lang w:val="en-US"/>
        </w:rPr>
        <w:t xml:space="preserve">for the development of </w:t>
      </w:r>
      <w:r w:rsidRPr="5C413465">
        <w:rPr>
          <w:rFonts w:ascii="Arial" w:hAnsi="Arial"/>
          <w:lang w:val="en-US"/>
        </w:rPr>
        <w:t>neural connections and motor skills (Rose, 2016). Reading aloud, singing, and speaking to infants are also examples of meaningful learning (Bateman and Church, 2022). These practices endorse early language development, communication abilities</w:t>
      </w:r>
      <w:r w:rsidRPr="5C413465" w:rsidR="0081306B">
        <w:rPr>
          <w:rFonts w:ascii="Arial" w:hAnsi="Arial"/>
          <w:lang w:val="en-US"/>
        </w:rPr>
        <w:t>,</w:t>
      </w:r>
      <w:r w:rsidRPr="5C413465">
        <w:rPr>
          <w:rFonts w:ascii="Arial" w:hAnsi="Arial"/>
          <w:lang w:val="en-US"/>
        </w:rPr>
        <w:t xml:space="preserve"> and emotional attachment. Reading and singing provide possibilities to have </w:t>
      </w:r>
      <w:r w:rsidRPr="5C413465" w:rsidR="0081306B">
        <w:rPr>
          <w:rFonts w:ascii="Arial" w:hAnsi="Arial"/>
          <w:lang w:val="en-US"/>
        </w:rPr>
        <w:t>eye contact, turn-taking, and joint attention, which are key elements to establish secure attachment relationships and help children learn to read</w:t>
      </w:r>
      <w:r w:rsidRPr="5C413465">
        <w:rPr>
          <w:rFonts w:ascii="Arial" w:hAnsi="Arial"/>
          <w:lang w:val="en-US"/>
        </w:rPr>
        <w:t xml:space="preserve"> early (Gerhardt, 2015).</w:t>
      </w:r>
    </w:p>
    <w:p w:rsidRPr="000B15B6" w:rsidR="001E0083" w:rsidP="5C413465" w:rsidRDefault="001E0083" w14:paraId="47273C5D" w14:textId="6E93BF9F">
      <w:pPr>
        <w:pStyle w:val="Heading2"/>
        <w:rPr>
          <w:rFonts w:ascii="Arial" w:hAnsi="Arial"/>
        </w:rPr>
      </w:pPr>
      <w:bookmarkStart w:name="_Toc2114333078" w:id="1025350135"/>
      <w:r w:rsidRPr="3AB61F0A" w:rsidR="7C1612D8">
        <w:rPr>
          <w:rFonts w:ascii="Arial" w:hAnsi="Arial"/>
        </w:rPr>
        <w:t>5.3 International Approaches to Early Learning</w:t>
      </w:r>
      <w:bookmarkEnd w:id="1025350135"/>
    </w:p>
    <w:p w:rsidRPr="000B15B6" w:rsidR="001E0083" w:rsidP="5C413465" w:rsidRDefault="001E0083" w14:paraId="0FEB0063" w14:textId="1B9407B5">
      <w:pPr>
        <w:rPr>
          <w:rFonts w:ascii="Arial" w:hAnsi="Arial"/>
        </w:rPr>
      </w:pPr>
      <w:r w:rsidRPr="5C413465">
        <w:rPr>
          <w:rFonts w:ascii="Arial" w:hAnsi="Arial"/>
          <w:lang w:val="en-US"/>
        </w:rPr>
        <w:t xml:space="preserve">The concepts of international approaches to early years education can be useful in promoting significant learning within </w:t>
      </w:r>
      <w:r w:rsidRPr="5C413465" w:rsidR="004B743D">
        <w:rPr>
          <w:rFonts w:ascii="Arial" w:hAnsi="Arial"/>
          <w:lang w:val="en-US"/>
        </w:rPr>
        <w:t>1000</w:t>
      </w:r>
      <w:r w:rsidRPr="5C413465">
        <w:rPr>
          <w:rFonts w:ascii="Arial" w:hAnsi="Arial"/>
          <w:lang w:val="en-US"/>
        </w:rPr>
        <w:t xml:space="preserve"> days (MacBlain, 2021). Forest school models place focus on outdoor education and frequent engagement with nature, which </w:t>
      </w:r>
      <w:r w:rsidRPr="5C413465" w:rsidR="0081306B">
        <w:rPr>
          <w:rFonts w:ascii="Arial" w:hAnsi="Arial"/>
          <w:lang w:val="en-US"/>
        </w:rPr>
        <w:t>promotes</w:t>
      </w:r>
      <w:r w:rsidRPr="5C413465">
        <w:rPr>
          <w:rFonts w:ascii="Arial" w:hAnsi="Arial"/>
          <w:lang w:val="en-US"/>
        </w:rPr>
        <w:t xml:space="preserve"> physical growth, sensory discovery, and emotional health. Outdoor activities allow moving, being curious, and enduring; they also help establish a bond with nature (Rose, 2016). </w:t>
      </w:r>
    </w:p>
    <w:p w:rsidRPr="000B15B6" w:rsidR="001E0083" w:rsidP="5C413465" w:rsidRDefault="0081306B" w14:paraId="0BE8A3D8" w14:textId="0C018693">
      <w:pPr>
        <w:rPr>
          <w:rFonts w:ascii="Arial" w:hAnsi="Arial"/>
        </w:rPr>
      </w:pPr>
      <w:r w:rsidRPr="5C413465">
        <w:rPr>
          <w:rFonts w:ascii="Arial" w:hAnsi="Arial"/>
          <w:lang w:val="en-US"/>
        </w:rPr>
        <w:t xml:space="preserve">The </w:t>
      </w:r>
      <w:r w:rsidRPr="5C413465" w:rsidR="001E0083">
        <w:rPr>
          <w:rFonts w:ascii="Arial" w:hAnsi="Arial"/>
          <w:lang w:val="en-US"/>
        </w:rPr>
        <w:t xml:space="preserve">Reggio Emilia approach emphasizes relationships, creativity, and environment </w:t>
      </w:r>
      <w:r w:rsidRPr="5C413465" w:rsidR="004B743D">
        <w:rPr>
          <w:rFonts w:ascii="Arial" w:hAnsi="Arial"/>
          <w:lang w:val="en-US"/>
        </w:rPr>
        <w:t>largely</w:t>
      </w:r>
      <w:r w:rsidRPr="5C413465" w:rsidR="001E0083">
        <w:rPr>
          <w:rFonts w:ascii="Arial" w:hAnsi="Arial"/>
          <w:lang w:val="en-US"/>
        </w:rPr>
        <w:t xml:space="preserve"> as critical factors to learning (González-Patiño, 2018). The environment in this approach is usually referred to as the third teacher, which helps in exploration, communication, and expression. Infants should be able to play with their environments using natural materials, open-ended resources, and aesthetically pleasing spaces (MacBlain, 2021). </w:t>
      </w:r>
    </w:p>
    <w:p w:rsidRPr="000B15B6" w:rsidR="001E0083" w:rsidP="5C413465" w:rsidRDefault="001E0083" w14:paraId="2A75DE0B" w14:textId="2C747B48">
      <w:pPr>
        <w:rPr>
          <w:rFonts w:ascii="Arial" w:hAnsi="Arial"/>
        </w:rPr>
      </w:pPr>
      <w:r w:rsidRPr="5C413465">
        <w:rPr>
          <w:rFonts w:ascii="Arial" w:hAnsi="Arial"/>
          <w:lang w:val="en-US"/>
        </w:rPr>
        <w:t>Comparing the two approaches, both place an emphasis on child-led exploration, respect toward the child, and the significance of relationships to learning (Brodie, 2018). Although they are not similar in context and implementation, aspects of Forest School and Reggio Emilia can be modified to assist infants and toddlers in the first 1000 days. These global views help to strengthen the notion that play, relationships, and rich environments are the best to support meaningful learning (Karakochuk et al., 2018).</w:t>
      </w:r>
    </w:p>
    <w:p w:rsidRPr="000B15B6" w:rsidR="0036534F" w:rsidP="5C413465" w:rsidRDefault="0036534F" w14:paraId="583476EA" w14:textId="0FB1938A">
      <w:pPr>
        <w:rPr>
          <w:rFonts w:ascii="Arial" w:hAnsi="Arial"/>
          <w:b/>
          <w:bCs/>
        </w:rPr>
      </w:pPr>
      <w:r w:rsidRPr="5C413465">
        <w:rPr>
          <w:rFonts w:ascii="Arial" w:hAnsi="Arial"/>
          <w:b/>
          <w:bCs/>
        </w:rPr>
        <w:t>Table 2: Activities Supporting Meaningful Learning</w:t>
      </w:r>
    </w:p>
    <w:tbl>
      <w:tblPr>
        <w:tblStyle w:val="GridTable4"/>
        <w:tblW w:w="5868" w:type="dxa"/>
        <w:jc w:val="center"/>
        <w:tblLook w:val="04A0" w:firstRow="1" w:lastRow="0" w:firstColumn="1" w:lastColumn="0" w:noHBand="0" w:noVBand="1"/>
      </w:tblPr>
      <w:tblGrid>
        <w:gridCol w:w="2678"/>
        <w:gridCol w:w="3190"/>
      </w:tblGrid>
      <w:tr w:rsidRPr="000B15B6" w:rsidR="00141705" w:rsidTr="5C413465" w14:paraId="4BFBCFFB" w14:textId="77777777">
        <w:trPr>
          <w:cnfStyle w:val="100000000000" w:firstRow="1" w:lastRow="0" w:firstColumn="0" w:lastColumn="0" w:oddVBand="0" w:evenVBand="0" w:oddHBand="0" w:evenHBand="0" w:firstRowFirstColumn="0" w:firstRowLastColumn="0" w:lastRowFirstColumn="0" w:lastRowLastColumn="0"/>
          <w:trHeight w:val="379"/>
          <w:jc w:val="center"/>
        </w:trPr>
        <w:tc>
          <w:tcPr>
            <w:cnfStyle w:val="001000000000" w:firstRow="0" w:lastRow="0" w:firstColumn="1" w:lastColumn="0" w:oddVBand="0" w:evenVBand="0" w:oddHBand="0" w:evenHBand="0" w:firstRowFirstColumn="0" w:firstRowLastColumn="0" w:lastRowFirstColumn="0" w:lastRowLastColumn="0"/>
            <w:tcW w:w="0" w:type="auto"/>
            <w:hideMark/>
          </w:tcPr>
          <w:p w:rsidRPr="000B15B6" w:rsidR="00141705" w:rsidP="5C413465" w:rsidRDefault="00141705" w14:paraId="150D3012" w14:textId="77777777">
            <w:pPr>
              <w:spacing w:before="0" w:after="0"/>
              <w:rPr>
                <w:rFonts w:ascii="Arial" w:hAnsi="Arial" w:eastAsia="Times New Roman"/>
                <w:lang w:val="en-US"/>
              </w:rPr>
            </w:pPr>
            <w:r w:rsidRPr="5C413465">
              <w:rPr>
                <w:rFonts w:ascii="Arial" w:hAnsi="Arial" w:eastAsia="Times New Roman"/>
                <w:lang w:val="en-US"/>
              </w:rPr>
              <w:t>Activity</w:t>
            </w:r>
          </w:p>
        </w:tc>
        <w:tc>
          <w:tcPr>
            <w:tcW w:w="0" w:type="auto"/>
            <w:hideMark/>
          </w:tcPr>
          <w:p w:rsidRPr="000B15B6" w:rsidR="00141705" w:rsidP="5C413465" w:rsidRDefault="00141705" w14:paraId="35F9D20B" w14:textId="77777777">
            <w:pPr>
              <w:spacing w:before="0" w:after="0"/>
              <w:cnfStyle w:val="100000000000" w:firstRow="1" w:lastRow="0" w:firstColumn="0" w:lastColumn="0" w:oddVBand="0" w:evenVBand="0" w:oddHBand="0" w:evenHBand="0" w:firstRowFirstColumn="0" w:firstRowLastColumn="0" w:lastRowFirstColumn="0" w:lastRowLastColumn="0"/>
              <w:rPr>
                <w:rFonts w:ascii="Arial" w:hAnsi="Arial" w:eastAsia="Times New Roman"/>
                <w:lang w:val="en-US"/>
              </w:rPr>
            </w:pPr>
            <w:r w:rsidRPr="5C413465">
              <w:rPr>
                <w:rFonts w:ascii="Arial" w:hAnsi="Arial" w:eastAsia="Times New Roman"/>
                <w:lang w:val="en-US"/>
              </w:rPr>
              <w:t>Developmental Benefits</w:t>
            </w:r>
          </w:p>
        </w:tc>
      </w:tr>
      <w:tr w:rsidRPr="000B15B6" w:rsidR="00141705" w:rsidTr="5C413465" w14:paraId="799B0D67" w14:textId="77777777">
        <w:trPr>
          <w:cnfStyle w:val="000000100000" w:firstRow="0" w:lastRow="0" w:firstColumn="0" w:lastColumn="0" w:oddVBand="0" w:evenVBand="0" w:oddHBand="1" w:evenHBand="0" w:firstRowFirstColumn="0" w:firstRowLastColumn="0" w:lastRowFirstColumn="0" w:lastRowLastColumn="0"/>
          <w:trHeight w:val="379"/>
          <w:jc w:val="center"/>
        </w:trPr>
        <w:tc>
          <w:tcPr>
            <w:cnfStyle w:val="001000000000" w:firstRow="0" w:lastRow="0" w:firstColumn="1" w:lastColumn="0" w:oddVBand="0" w:evenVBand="0" w:oddHBand="0" w:evenHBand="0" w:firstRowFirstColumn="0" w:firstRowLastColumn="0" w:lastRowFirstColumn="0" w:lastRowLastColumn="0"/>
            <w:tcW w:w="0" w:type="auto"/>
            <w:hideMark/>
          </w:tcPr>
          <w:p w:rsidRPr="000B15B6" w:rsidR="00141705" w:rsidP="5C413465" w:rsidRDefault="00141705" w14:paraId="16669DD0" w14:textId="77777777">
            <w:pPr>
              <w:spacing w:before="0" w:after="0"/>
              <w:rPr>
                <w:rFonts w:ascii="Arial" w:hAnsi="Arial" w:eastAsia="Times New Roman"/>
                <w:lang w:val="en-US"/>
              </w:rPr>
            </w:pPr>
            <w:r w:rsidRPr="5C413465">
              <w:rPr>
                <w:rFonts w:ascii="Arial" w:hAnsi="Arial" w:eastAsia="Times New Roman"/>
                <w:lang w:val="en-US"/>
              </w:rPr>
              <w:t>Loose parts play</w:t>
            </w:r>
          </w:p>
        </w:tc>
        <w:tc>
          <w:tcPr>
            <w:tcW w:w="0" w:type="auto"/>
            <w:hideMark/>
          </w:tcPr>
          <w:p w:rsidRPr="000B15B6" w:rsidR="00141705" w:rsidP="5C413465" w:rsidRDefault="00141705" w14:paraId="79C0EEEE" w14:textId="77777777">
            <w:pPr>
              <w:spacing w:before="0" w:after="0"/>
              <w:cnfStyle w:val="000000100000" w:firstRow="0" w:lastRow="0" w:firstColumn="0" w:lastColumn="0" w:oddVBand="0" w:evenVBand="0" w:oddHBand="1" w:evenHBand="0" w:firstRowFirstColumn="0" w:firstRowLastColumn="0" w:lastRowFirstColumn="0" w:lastRowLastColumn="0"/>
              <w:rPr>
                <w:rFonts w:ascii="Arial" w:hAnsi="Arial" w:eastAsia="Times New Roman"/>
                <w:lang w:val="en-US"/>
              </w:rPr>
            </w:pPr>
            <w:r w:rsidRPr="5C413465">
              <w:rPr>
                <w:rFonts w:ascii="Arial" w:hAnsi="Arial" w:eastAsia="Times New Roman"/>
                <w:lang w:val="en-US"/>
              </w:rPr>
              <w:t>Exploration and creativity</w:t>
            </w:r>
          </w:p>
        </w:tc>
      </w:tr>
      <w:tr w:rsidRPr="000B15B6" w:rsidR="00141705" w:rsidTr="5C413465" w14:paraId="58CADE76" w14:textId="77777777">
        <w:trPr>
          <w:trHeight w:val="364"/>
          <w:jc w:val="center"/>
        </w:trPr>
        <w:tc>
          <w:tcPr>
            <w:cnfStyle w:val="001000000000" w:firstRow="0" w:lastRow="0" w:firstColumn="1" w:lastColumn="0" w:oddVBand="0" w:evenVBand="0" w:oddHBand="0" w:evenHBand="0" w:firstRowFirstColumn="0" w:firstRowLastColumn="0" w:lastRowFirstColumn="0" w:lastRowLastColumn="0"/>
            <w:tcW w:w="0" w:type="auto"/>
            <w:hideMark/>
          </w:tcPr>
          <w:p w:rsidRPr="000B15B6" w:rsidR="00141705" w:rsidP="5C413465" w:rsidRDefault="00141705" w14:paraId="4C5E2CD1" w14:textId="77777777">
            <w:pPr>
              <w:spacing w:before="0" w:after="0"/>
              <w:rPr>
                <w:rFonts w:ascii="Arial" w:hAnsi="Arial" w:eastAsia="Times New Roman"/>
                <w:lang w:val="en-US"/>
              </w:rPr>
            </w:pPr>
            <w:r w:rsidRPr="5C413465">
              <w:rPr>
                <w:rFonts w:ascii="Arial" w:hAnsi="Arial" w:eastAsia="Times New Roman"/>
                <w:lang w:val="en-US"/>
              </w:rPr>
              <w:t>Sensory play</w:t>
            </w:r>
          </w:p>
        </w:tc>
        <w:tc>
          <w:tcPr>
            <w:tcW w:w="0" w:type="auto"/>
            <w:hideMark/>
          </w:tcPr>
          <w:p w:rsidRPr="000B15B6" w:rsidR="00141705" w:rsidP="5C413465" w:rsidRDefault="00141705" w14:paraId="53EA2644" w14:textId="77777777">
            <w:pPr>
              <w:spacing w:before="0" w:after="0"/>
              <w:cnfStyle w:val="000000000000" w:firstRow="0" w:lastRow="0" w:firstColumn="0" w:lastColumn="0" w:oddVBand="0" w:evenVBand="0" w:oddHBand="0" w:evenHBand="0" w:firstRowFirstColumn="0" w:firstRowLastColumn="0" w:lastRowFirstColumn="0" w:lastRowLastColumn="0"/>
              <w:rPr>
                <w:rFonts w:ascii="Arial" w:hAnsi="Arial" w:eastAsia="Times New Roman"/>
                <w:lang w:val="en-US"/>
              </w:rPr>
            </w:pPr>
            <w:r w:rsidRPr="5C413465">
              <w:rPr>
                <w:rFonts w:ascii="Arial" w:hAnsi="Arial" w:eastAsia="Times New Roman"/>
                <w:lang w:val="en-US"/>
              </w:rPr>
              <w:t>Brain development</w:t>
            </w:r>
          </w:p>
        </w:tc>
      </w:tr>
      <w:tr w:rsidRPr="000B15B6" w:rsidR="00141705" w:rsidTr="5C413465" w14:paraId="0E6DCE56" w14:textId="77777777">
        <w:trPr>
          <w:cnfStyle w:val="000000100000" w:firstRow="0" w:lastRow="0" w:firstColumn="0" w:lastColumn="0" w:oddVBand="0" w:evenVBand="0" w:oddHBand="1" w:evenHBand="0" w:firstRowFirstColumn="0" w:firstRowLastColumn="0" w:lastRowFirstColumn="0" w:lastRowLastColumn="0"/>
          <w:trHeight w:val="379"/>
          <w:jc w:val="center"/>
        </w:trPr>
        <w:tc>
          <w:tcPr>
            <w:cnfStyle w:val="001000000000" w:firstRow="0" w:lastRow="0" w:firstColumn="1" w:lastColumn="0" w:oddVBand="0" w:evenVBand="0" w:oddHBand="0" w:evenHBand="0" w:firstRowFirstColumn="0" w:firstRowLastColumn="0" w:lastRowFirstColumn="0" w:lastRowLastColumn="0"/>
            <w:tcW w:w="0" w:type="auto"/>
            <w:hideMark/>
          </w:tcPr>
          <w:p w:rsidRPr="000B15B6" w:rsidR="00141705" w:rsidP="5C413465" w:rsidRDefault="00141705" w14:paraId="79C533F3" w14:textId="77777777">
            <w:pPr>
              <w:spacing w:before="0" w:after="0"/>
              <w:rPr>
                <w:rFonts w:ascii="Arial" w:hAnsi="Arial" w:eastAsia="Times New Roman"/>
                <w:lang w:val="en-US"/>
              </w:rPr>
            </w:pPr>
            <w:r w:rsidRPr="5C413465">
              <w:rPr>
                <w:rFonts w:ascii="Arial" w:hAnsi="Arial" w:eastAsia="Times New Roman"/>
                <w:lang w:val="en-US"/>
              </w:rPr>
              <w:t>Reading and stories</w:t>
            </w:r>
          </w:p>
        </w:tc>
        <w:tc>
          <w:tcPr>
            <w:tcW w:w="0" w:type="auto"/>
            <w:hideMark/>
          </w:tcPr>
          <w:p w:rsidRPr="000B15B6" w:rsidR="00141705" w:rsidP="5C413465" w:rsidRDefault="00141705" w14:paraId="1D66DE60" w14:textId="77777777">
            <w:pPr>
              <w:spacing w:before="0" w:after="0"/>
              <w:cnfStyle w:val="000000100000" w:firstRow="0" w:lastRow="0" w:firstColumn="0" w:lastColumn="0" w:oddVBand="0" w:evenVBand="0" w:oddHBand="1" w:evenHBand="0" w:firstRowFirstColumn="0" w:firstRowLastColumn="0" w:lastRowFirstColumn="0" w:lastRowLastColumn="0"/>
              <w:rPr>
                <w:rFonts w:ascii="Arial" w:hAnsi="Arial" w:eastAsia="Times New Roman"/>
                <w:lang w:val="en-US"/>
              </w:rPr>
            </w:pPr>
            <w:r w:rsidRPr="5C413465">
              <w:rPr>
                <w:rFonts w:ascii="Arial" w:hAnsi="Arial" w:eastAsia="Times New Roman"/>
                <w:lang w:val="en-US"/>
              </w:rPr>
              <w:t>Language and attachment</w:t>
            </w:r>
          </w:p>
        </w:tc>
      </w:tr>
      <w:tr w:rsidRPr="000B15B6" w:rsidR="00141705" w:rsidTr="5C413465" w14:paraId="67316A05" w14:textId="77777777">
        <w:trPr>
          <w:trHeight w:val="379"/>
          <w:jc w:val="center"/>
        </w:trPr>
        <w:tc>
          <w:tcPr>
            <w:cnfStyle w:val="001000000000" w:firstRow="0" w:lastRow="0" w:firstColumn="1" w:lastColumn="0" w:oddVBand="0" w:evenVBand="0" w:oddHBand="0" w:evenHBand="0" w:firstRowFirstColumn="0" w:firstRowLastColumn="0" w:lastRowFirstColumn="0" w:lastRowLastColumn="0"/>
            <w:tcW w:w="0" w:type="auto"/>
            <w:hideMark/>
          </w:tcPr>
          <w:p w:rsidRPr="000B15B6" w:rsidR="00141705" w:rsidP="5C413465" w:rsidRDefault="00141705" w14:paraId="25917B55" w14:textId="77777777">
            <w:pPr>
              <w:spacing w:before="0" w:after="0"/>
              <w:rPr>
                <w:rFonts w:ascii="Arial" w:hAnsi="Arial" w:eastAsia="Times New Roman"/>
                <w:lang w:val="en-US"/>
              </w:rPr>
            </w:pPr>
            <w:r w:rsidRPr="5C413465">
              <w:rPr>
                <w:rFonts w:ascii="Arial" w:hAnsi="Arial" w:eastAsia="Times New Roman"/>
                <w:lang w:val="en-US"/>
              </w:rPr>
              <w:t>Music and singing</w:t>
            </w:r>
          </w:p>
        </w:tc>
        <w:tc>
          <w:tcPr>
            <w:tcW w:w="0" w:type="auto"/>
            <w:hideMark/>
          </w:tcPr>
          <w:p w:rsidRPr="000B15B6" w:rsidR="00141705" w:rsidP="5C413465" w:rsidRDefault="00141705" w14:paraId="5935274C" w14:textId="77777777">
            <w:pPr>
              <w:spacing w:before="0" w:after="0"/>
              <w:cnfStyle w:val="000000000000" w:firstRow="0" w:lastRow="0" w:firstColumn="0" w:lastColumn="0" w:oddVBand="0" w:evenVBand="0" w:oddHBand="0" w:evenHBand="0" w:firstRowFirstColumn="0" w:firstRowLastColumn="0" w:lastRowFirstColumn="0" w:lastRowLastColumn="0"/>
              <w:rPr>
                <w:rFonts w:ascii="Arial" w:hAnsi="Arial" w:eastAsia="Times New Roman"/>
                <w:lang w:val="en-US"/>
              </w:rPr>
            </w:pPr>
            <w:r w:rsidRPr="5C413465">
              <w:rPr>
                <w:rFonts w:ascii="Arial" w:hAnsi="Arial" w:eastAsia="Times New Roman"/>
                <w:lang w:val="en-US"/>
              </w:rPr>
              <w:t>Emotional connection</w:t>
            </w:r>
          </w:p>
        </w:tc>
      </w:tr>
      <w:tr w:rsidRPr="000B15B6" w:rsidR="00141705" w:rsidTr="5C413465" w14:paraId="33C9B241" w14:textId="77777777">
        <w:trPr>
          <w:cnfStyle w:val="000000100000" w:firstRow="0" w:lastRow="0" w:firstColumn="0" w:lastColumn="0" w:oddVBand="0" w:evenVBand="0" w:oddHBand="1" w:evenHBand="0" w:firstRowFirstColumn="0" w:firstRowLastColumn="0" w:lastRowFirstColumn="0" w:lastRowLastColumn="0"/>
          <w:trHeight w:val="379"/>
          <w:jc w:val="center"/>
        </w:trPr>
        <w:tc>
          <w:tcPr>
            <w:cnfStyle w:val="001000000000" w:firstRow="0" w:lastRow="0" w:firstColumn="1" w:lastColumn="0" w:oddVBand="0" w:evenVBand="0" w:oddHBand="0" w:evenHBand="0" w:firstRowFirstColumn="0" w:firstRowLastColumn="0" w:lastRowFirstColumn="0" w:lastRowLastColumn="0"/>
            <w:tcW w:w="0" w:type="auto"/>
            <w:hideMark/>
          </w:tcPr>
          <w:p w:rsidRPr="000B15B6" w:rsidR="00141705" w:rsidP="5C413465" w:rsidRDefault="00141705" w14:paraId="6DBD32BB" w14:textId="77777777">
            <w:pPr>
              <w:spacing w:before="0" w:after="0"/>
              <w:rPr>
                <w:rFonts w:ascii="Arial" w:hAnsi="Arial" w:eastAsia="Times New Roman"/>
                <w:lang w:val="en-US"/>
              </w:rPr>
            </w:pPr>
            <w:r w:rsidRPr="5C413465">
              <w:rPr>
                <w:rFonts w:ascii="Arial" w:hAnsi="Arial" w:eastAsia="Times New Roman"/>
                <w:lang w:val="en-US"/>
              </w:rPr>
              <w:t>Outdoor exploration</w:t>
            </w:r>
          </w:p>
        </w:tc>
        <w:tc>
          <w:tcPr>
            <w:tcW w:w="0" w:type="auto"/>
            <w:hideMark/>
          </w:tcPr>
          <w:p w:rsidRPr="000B15B6" w:rsidR="00141705" w:rsidP="5C413465" w:rsidRDefault="00141705" w14:paraId="0E5025E0" w14:textId="77777777">
            <w:pPr>
              <w:spacing w:before="0" w:after="0"/>
              <w:cnfStyle w:val="000000100000" w:firstRow="0" w:lastRow="0" w:firstColumn="0" w:lastColumn="0" w:oddVBand="0" w:evenVBand="0" w:oddHBand="1" w:evenHBand="0" w:firstRowFirstColumn="0" w:firstRowLastColumn="0" w:lastRowFirstColumn="0" w:lastRowLastColumn="0"/>
              <w:rPr>
                <w:rFonts w:ascii="Arial" w:hAnsi="Arial" w:eastAsia="Times New Roman"/>
                <w:lang w:val="en-US"/>
              </w:rPr>
            </w:pPr>
            <w:r w:rsidRPr="5C413465">
              <w:rPr>
                <w:rFonts w:ascii="Arial" w:hAnsi="Arial" w:eastAsia="Times New Roman"/>
                <w:lang w:val="en-US"/>
              </w:rPr>
              <w:t>Physical wellbeing</w:t>
            </w:r>
          </w:p>
        </w:tc>
      </w:tr>
    </w:tbl>
    <w:p w:rsidRPr="000B15B6" w:rsidR="00F602E8" w:rsidP="5C413465" w:rsidRDefault="00F602E8" w14:paraId="5B8CF5BE" w14:textId="2A08A569">
      <w:pPr>
        <w:rPr>
          <w:rFonts w:ascii="Arial" w:hAnsi="Arial"/>
        </w:rPr>
      </w:pPr>
    </w:p>
    <w:p w:rsidRPr="000B15B6" w:rsidR="00F602E8" w:rsidP="5C413465" w:rsidRDefault="00F602E8" w14:paraId="5D6AC319" w14:textId="77777777">
      <w:pPr>
        <w:rPr>
          <w:rFonts w:ascii="Arial" w:hAnsi="Arial"/>
        </w:rPr>
      </w:pPr>
    </w:p>
    <w:p w:rsidRPr="000B15B6" w:rsidR="00141705" w:rsidP="5C413465" w:rsidRDefault="00141705" w14:paraId="252D98C7" w14:textId="54EF8076">
      <w:pPr>
        <w:pStyle w:val="Heading1"/>
        <w:rPr>
          <w:rFonts w:ascii="Arial" w:hAnsi="Arial"/>
          <w:lang w:val="en-US"/>
        </w:rPr>
      </w:pPr>
      <w:bookmarkStart w:name="_Toc1720905903" w:id="138361790"/>
      <w:r w:rsidRPr="3AB61F0A" w:rsidR="79221381">
        <w:rPr>
          <w:rFonts w:ascii="Arial" w:hAnsi="Arial"/>
          <w:lang w:val="en-US"/>
        </w:rPr>
        <w:t>Conclusion</w:t>
      </w:r>
      <w:bookmarkEnd w:id="138361790"/>
      <w:r w:rsidRPr="3AB61F0A" w:rsidR="79221381">
        <w:rPr>
          <w:rFonts w:ascii="Arial" w:hAnsi="Arial"/>
          <w:lang w:val="en-US"/>
        </w:rPr>
        <w:t xml:space="preserve"> </w:t>
      </w:r>
    </w:p>
    <w:p w:rsidRPr="000B15B6" w:rsidR="0081306B" w:rsidP="5C413465" w:rsidRDefault="004B743D" w14:paraId="4B7086D2" w14:textId="6B2AF24F">
      <w:pPr>
        <w:rPr>
          <w:rFonts w:ascii="Arial" w:hAnsi="Arial"/>
        </w:rPr>
      </w:pPr>
      <w:r w:rsidRPr="5C413465">
        <w:rPr>
          <w:rFonts w:ascii="Arial" w:hAnsi="Arial"/>
          <w:lang w:val="en-US"/>
        </w:rPr>
        <w:t>1000</w:t>
      </w:r>
      <w:r w:rsidRPr="5C413465" w:rsidR="0081306B">
        <w:rPr>
          <w:rFonts w:ascii="Arial" w:hAnsi="Arial"/>
          <w:lang w:val="en-US"/>
        </w:rPr>
        <w:t xml:space="preserve"> days are a very important base for lifetime development, where early experiences at a tender age are very influential on physical wellbeing, brain development, emotional wellbeing, and future learning. This is a special time to promote infants and families by providing quality and responsive care that integrates the value of relationships, environments, and comprehensive development. </w:t>
      </w:r>
    </w:p>
    <w:p w:rsidRPr="000B15B6" w:rsidR="0081306B" w:rsidP="5C413465" w:rsidRDefault="0081306B" w14:paraId="58B56B9B" w14:textId="683AC3C4">
      <w:pPr>
        <w:rPr>
          <w:rFonts w:ascii="Arial" w:hAnsi="Arial"/>
        </w:rPr>
      </w:pPr>
      <w:r w:rsidRPr="5C413465">
        <w:rPr>
          <w:rFonts w:ascii="Arial" w:hAnsi="Arial"/>
          <w:lang w:val="en-US"/>
        </w:rPr>
        <w:t xml:space="preserve">Quality care within the first 1000 days aids secure attachment, emotional regulation, and confidence, which allow the infants to explore their surroundings and make purposeful learning. Inclusive and enabling environments also promote growth by offering safe and supportive environments that support diversity and individual needs. Effective professional relationships, especially between early years </w:t>
      </w:r>
      <w:r w:rsidRPr="5C413465" w:rsidR="6EDF1B0E">
        <w:rPr>
          <w:rFonts w:ascii="Arial" w:hAnsi="Arial"/>
          <w:lang w:val="en-US"/>
        </w:rPr>
        <w:t>of</w:t>
      </w:r>
      <w:r w:rsidRPr="5C413465">
        <w:rPr>
          <w:rFonts w:ascii="Arial" w:hAnsi="Arial"/>
          <w:lang w:val="en-US"/>
        </w:rPr>
        <w:t xml:space="preserve"> practitioners, families, and other professionals, are necessary </w:t>
      </w:r>
      <w:r w:rsidRPr="5C413465" w:rsidR="004B743D">
        <w:rPr>
          <w:rFonts w:ascii="Arial" w:hAnsi="Arial"/>
          <w:lang w:val="en-US"/>
        </w:rPr>
        <w:t>to</w:t>
      </w:r>
      <w:r w:rsidRPr="5C413465">
        <w:rPr>
          <w:rFonts w:ascii="Arial" w:hAnsi="Arial"/>
          <w:lang w:val="en-US"/>
        </w:rPr>
        <w:t xml:space="preserve"> provide quality and sustained support to children and caregivers at this critical phase.</w:t>
      </w:r>
    </w:p>
    <w:p w:rsidRPr="000B15B6" w:rsidR="005C0FEE" w:rsidP="5C413465" w:rsidRDefault="0081306B" w14:paraId="6B8BEB90" w14:textId="4BE71FA8">
      <w:pPr>
        <w:rPr>
          <w:rFonts w:ascii="Arial" w:hAnsi="Arial"/>
        </w:rPr>
      </w:pPr>
      <w:r w:rsidRPr="5C413465">
        <w:rPr>
          <w:rFonts w:ascii="Arial" w:hAnsi="Arial"/>
          <w:lang w:val="en-US"/>
        </w:rPr>
        <w:t xml:space="preserve"> Despite the problematic situations that early </w:t>
      </w:r>
      <w:r w:rsidRPr="5C413465" w:rsidR="2E2B7E6C">
        <w:rPr>
          <w:rFonts w:ascii="Arial" w:hAnsi="Arial"/>
          <w:lang w:val="en-US"/>
        </w:rPr>
        <w:t>year</w:t>
      </w:r>
      <w:r w:rsidRPr="5C413465">
        <w:rPr>
          <w:rFonts w:ascii="Arial" w:hAnsi="Arial"/>
          <w:lang w:val="en-US"/>
        </w:rPr>
        <w:t xml:space="preserve"> practitioners are exposed to in terms of practical, emotional, and social issues, reflective practice, professional development, and effective leadership can be used to overcome the barriers. The high-quality care provided in the first 1000 days is beneficial not only on a personal and family level but also on </w:t>
      </w:r>
      <w:r w:rsidRPr="5C413465" w:rsidR="002322AA">
        <w:rPr>
          <w:rFonts w:ascii="Arial" w:hAnsi="Arial"/>
          <w:lang w:val="en-US"/>
        </w:rPr>
        <w:t>a</w:t>
      </w:r>
      <w:r w:rsidRPr="5C413465">
        <w:rPr>
          <w:rFonts w:ascii="Arial" w:hAnsi="Arial"/>
          <w:lang w:val="en-US"/>
        </w:rPr>
        <w:t xml:space="preserve"> broader social level. Exceptional early care can also help lay the foundations of healthier and more confident people and a stronger society throughout the lifespan by fostering resilience, inequality reduction, and holistic development. </w:t>
      </w:r>
    </w:p>
    <w:p w:rsidR="00F602E8" w:rsidP="5C413465" w:rsidRDefault="00F602E8" w14:paraId="0E10283B" w14:textId="77777777"/>
    <w:p w:rsidR="00F602E8" w:rsidP="5C413465" w:rsidRDefault="00F602E8" w14:paraId="73B0B215" w14:textId="77777777"/>
    <w:p w:rsidR="00F602E8" w:rsidP="5C413465" w:rsidRDefault="00F602E8" w14:paraId="6B521FD9" w14:textId="77777777"/>
    <w:p w:rsidR="004B743D" w:rsidP="5C413465" w:rsidRDefault="004B743D" w14:paraId="3B861E01" w14:textId="4CC22C4A"/>
    <w:p w:rsidR="00F602E8" w:rsidP="00F602E8" w:rsidRDefault="00F602E8" w14:paraId="5F9063BF" w14:textId="2217A2AE">
      <w:pPr>
        <w:pStyle w:val="Heading1"/>
        <w:rPr>
          <w:rFonts w:ascii="Arial" w:hAnsi="Arial"/>
          <w:sz w:val="24"/>
          <w:szCs w:val="24"/>
        </w:rPr>
      </w:pPr>
      <w:bookmarkStart w:name="_Toc866107380" w:id="1246977602"/>
      <w:r w:rsidRPr="3AB61F0A" w:rsidR="1A16791B">
        <w:rPr>
          <w:rFonts w:ascii="Arial" w:hAnsi="Arial"/>
          <w:sz w:val="24"/>
          <w:szCs w:val="24"/>
        </w:rPr>
        <w:t>References</w:t>
      </w:r>
      <w:bookmarkEnd w:id="1246977602"/>
    </w:p>
    <w:p w:rsidRPr="00F602E8" w:rsidR="00F602E8" w:rsidP="4CCBA241" w:rsidRDefault="00F602E8" w14:paraId="0593E0DE" w14:textId="77777777">
      <w:pPr>
        <w:jc w:val="left"/>
        <w:rPr>
          <w:rFonts w:ascii="Arial" w:hAnsi="Arial"/>
          <w:szCs w:val="24"/>
          <w:lang w:val="en-US"/>
        </w:rPr>
      </w:pPr>
      <w:r w:rsidRPr="6B413D2E">
        <w:rPr>
          <w:rFonts w:ascii="Arial" w:hAnsi="Arial"/>
          <w:szCs w:val="24"/>
          <w:lang w:val="en-US"/>
        </w:rPr>
        <w:t xml:space="preserve">Annis, L.F. (2019) </w:t>
      </w:r>
      <w:r w:rsidRPr="6B413D2E">
        <w:rPr>
          <w:rFonts w:ascii="Arial" w:hAnsi="Arial"/>
          <w:i/>
          <w:szCs w:val="24"/>
          <w:lang w:val="en-US"/>
        </w:rPr>
        <w:t>The child before birth</w:t>
      </w:r>
      <w:r w:rsidRPr="6B413D2E">
        <w:rPr>
          <w:rFonts w:ascii="Arial" w:hAnsi="Arial"/>
          <w:szCs w:val="24"/>
          <w:lang w:val="en-US"/>
        </w:rPr>
        <w:t>. Ithaca, NY: Cornell University Press.</w:t>
      </w:r>
    </w:p>
    <w:p w:rsidRPr="00F602E8" w:rsidR="00F602E8" w:rsidP="4CCBA241" w:rsidRDefault="00F602E8" w14:paraId="15266085" w14:textId="0D5093EB">
      <w:pPr>
        <w:jc w:val="left"/>
        <w:rPr>
          <w:rFonts w:ascii="Arial" w:hAnsi="Arial"/>
          <w:szCs w:val="24"/>
          <w:lang w:val="en-US"/>
        </w:rPr>
      </w:pPr>
      <w:r w:rsidRPr="6B413D2E">
        <w:rPr>
          <w:rFonts w:ascii="Arial" w:hAnsi="Arial"/>
          <w:szCs w:val="24"/>
          <w:lang w:val="en-US"/>
        </w:rPr>
        <w:t>Bateman, A. and Church, A. (2022)</w:t>
      </w:r>
      <w:r w:rsidRPr="6B413D2E" w:rsidR="2182649E">
        <w:rPr>
          <w:rFonts w:ascii="Arial" w:hAnsi="Arial"/>
          <w:szCs w:val="24"/>
          <w:lang w:val="en-US"/>
        </w:rPr>
        <w:t>.</w:t>
      </w:r>
      <w:r w:rsidRPr="6B413D2E">
        <w:rPr>
          <w:rFonts w:ascii="Arial" w:hAnsi="Arial"/>
          <w:szCs w:val="24"/>
          <w:lang w:val="en-US"/>
        </w:rPr>
        <w:t xml:space="preserve"> Talking</w:t>
      </w:r>
      <w:r w:rsidRPr="6B413D2E">
        <w:rPr>
          <w:rFonts w:ascii="Arial" w:hAnsi="Arial"/>
          <w:i/>
          <w:szCs w:val="24"/>
          <w:lang w:val="en-US"/>
        </w:rPr>
        <w:t xml:space="preserve"> with children: A handbook of interaction in early childhood education</w:t>
      </w:r>
      <w:r w:rsidRPr="6B413D2E">
        <w:rPr>
          <w:rFonts w:ascii="Arial" w:hAnsi="Arial"/>
          <w:szCs w:val="24"/>
          <w:lang w:val="en-US"/>
        </w:rPr>
        <w:t>. Cambridge: Cambridge University Press.</w:t>
      </w:r>
    </w:p>
    <w:p w:rsidRPr="00F602E8" w:rsidR="00F602E8" w:rsidP="4CCBA241" w:rsidRDefault="00F602E8" w14:paraId="7C5186CF" w14:textId="0D355D4D">
      <w:pPr>
        <w:jc w:val="left"/>
        <w:rPr>
          <w:rFonts w:ascii="Arial" w:hAnsi="Arial"/>
          <w:szCs w:val="24"/>
          <w:lang w:val="en-US"/>
        </w:rPr>
      </w:pPr>
      <w:r w:rsidRPr="6B413D2E">
        <w:rPr>
          <w:rFonts w:ascii="Arial" w:hAnsi="Arial"/>
          <w:szCs w:val="24"/>
          <w:lang w:val="en-US"/>
        </w:rPr>
        <w:t xml:space="preserve">Bounty (2023). </w:t>
      </w:r>
      <w:r w:rsidRPr="6B413D2E">
        <w:rPr>
          <w:rFonts w:ascii="Arial" w:hAnsi="Arial"/>
          <w:i/>
          <w:szCs w:val="24"/>
          <w:lang w:val="en-US"/>
        </w:rPr>
        <w:t xml:space="preserve">Why are The First 1000 Days so crucial for my baby’s </w:t>
      </w:r>
      <w:r w:rsidRPr="6B413D2E" w:rsidR="002322AA">
        <w:rPr>
          <w:rFonts w:ascii="Arial" w:hAnsi="Arial"/>
          <w:i/>
          <w:szCs w:val="24"/>
          <w:lang w:val="en-US"/>
        </w:rPr>
        <w:t>development</w:t>
      </w:r>
      <w:r w:rsidRPr="6B413D2E" w:rsidR="002322AA">
        <w:rPr>
          <w:rFonts w:ascii="Arial" w:hAnsi="Arial"/>
          <w:szCs w:val="24"/>
          <w:lang w:val="en-US"/>
        </w:rPr>
        <w:t>?</w:t>
      </w:r>
      <w:r w:rsidRPr="6B413D2E">
        <w:rPr>
          <w:rFonts w:ascii="Arial" w:hAnsi="Arial"/>
          <w:szCs w:val="24"/>
          <w:lang w:val="en-US"/>
        </w:rPr>
        <w:t xml:space="preserve"> [online] Bounty Parents. Available at: https://www.bountyparents.com.au/expert-advice/first-1000-days/ [Accessed 15 Jan. 2026].</w:t>
      </w:r>
    </w:p>
    <w:p w:rsidRPr="00F602E8" w:rsidR="00F602E8" w:rsidP="4CCBA241" w:rsidRDefault="00F602E8" w14:paraId="5EADB1C0" w14:textId="77777777">
      <w:pPr>
        <w:jc w:val="left"/>
        <w:rPr>
          <w:rFonts w:ascii="Arial" w:hAnsi="Arial"/>
          <w:szCs w:val="24"/>
          <w:lang w:val="en-US"/>
        </w:rPr>
      </w:pPr>
      <w:r w:rsidRPr="6B413D2E">
        <w:rPr>
          <w:rFonts w:ascii="Arial" w:hAnsi="Arial"/>
          <w:szCs w:val="24"/>
          <w:lang w:val="en-US"/>
        </w:rPr>
        <w:t xml:space="preserve">Brodie, K. (2018) </w:t>
      </w:r>
      <w:r w:rsidRPr="6B413D2E">
        <w:rPr>
          <w:rFonts w:ascii="Arial" w:hAnsi="Arial"/>
          <w:i/>
          <w:szCs w:val="24"/>
          <w:lang w:val="en-US"/>
        </w:rPr>
        <w:t>The holistic care and development of children from birth to three: An essential guide for students and practitioners</w:t>
      </w:r>
      <w:r w:rsidRPr="6B413D2E">
        <w:rPr>
          <w:rFonts w:ascii="Arial" w:hAnsi="Arial"/>
          <w:szCs w:val="24"/>
          <w:lang w:val="en-US"/>
        </w:rPr>
        <w:t>. East Sussex: Routledge.</w:t>
      </w:r>
    </w:p>
    <w:p w:rsidRPr="00F602E8" w:rsidR="00F602E8" w:rsidP="4CCBA241" w:rsidRDefault="00F602E8" w14:paraId="48890B02" w14:textId="77777777">
      <w:pPr>
        <w:jc w:val="left"/>
        <w:rPr>
          <w:rFonts w:ascii="Arial" w:hAnsi="Arial"/>
          <w:szCs w:val="24"/>
          <w:lang w:val="en-US"/>
        </w:rPr>
      </w:pPr>
      <w:r w:rsidRPr="6B413D2E">
        <w:rPr>
          <w:rFonts w:ascii="Arial" w:hAnsi="Arial"/>
          <w:szCs w:val="24"/>
          <w:lang w:val="en-US"/>
        </w:rPr>
        <w:t xml:space="preserve">Butcher, A. (2026). </w:t>
      </w:r>
      <w:r w:rsidRPr="6B413D2E">
        <w:rPr>
          <w:rFonts w:ascii="Arial" w:hAnsi="Arial"/>
          <w:i/>
          <w:szCs w:val="24"/>
          <w:lang w:val="en-US"/>
        </w:rPr>
        <w:t>Top Tips for Young Early Years Practitioners | CPD | Twinkl</w:t>
      </w:r>
      <w:r w:rsidRPr="6B413D2E">
        <w:rPr>
          <w:rFonts w:ascii="Arial" w:hAnsi="Arial"/>
          <w:szCs w:val="24"/>
          <w:lang w:val="en-US"/>
        </w:rPr>
        <w:t>. [online] Twinkl. Available at: https://www.twinkl.com.tw/blog/top-tips-for-working-in-the-early-years-at-a-young-age [Accessed 15 Jan. 2026].</w:t>
      </w:r>
    </w:p>
    <w:p w:rsidRPr="00F602E8" w:rsidR="00F602E8" w:rsidP="4CCBA241" w:rsidRDefault="002322AA" w14:paraId="4C783A05" w14:textId="40C56F41">
      <w:pPr>
        <w:jc w:val="left"/>
        <w:rPr>
          <w:rFonts w:ascii="Arial" w:hAnsi="Arial"/>
          <w:szCs w:val="24"/>
          <w:lang w:val="en-US"/>
        </w:rPr>
      </w:pPr>
      <w:r w:rsidRPr="6B413D2E">
        <w:rPr>
          <w:rFonts w:ascii="Arial" w:hAnsi="Arial"/>
          <w:szCs w:val="24"/>
          <w:lang w:val="en-US"/>
        </w:rPr>
        <w:t>Early Edu</w:t>
      </w:r>
      <w:r w:rsidRPr="6B413D2E" w:rsidR="00F602E8">
        <w:rPr>
          <w:rFonts w:ascii="Arial" w:hAnsi="Arial"/>
          <w:szCs w:val="24"/>
          <w:lang w:val="en-US"/>
        </w:rPr>
        <w:t xml:space="preserve"> Alliance (2026). </w:t>
      </w:r>
      <w:r w:rsidRPr="6B413D2E" w:rsidR="00F602E8">
        <w:rPr>
          <w:rFonts w:ascii="Arial" w:hAnsi="Arial"/>
          <w:i/>
          <w:szCs w:val="24"/>
          <w:lang w:val="en-US"/>
        </w:rPr>
        <w:t>1-3 Introduction to the Brain</w:t>
      </w:r>
      <w:r w:rsidRPr="6B413D2E" w:rsidR="00F602E8">
        <w:rPr>
          <w:rFonts w:ascii="Arial" w:hAnsi="Arial"/>
          <w:szCs w:val="24"/>
          <w:lang w:val="en-US"/>
        </w:rPr>
        <w:t>. [online] Child Development: Brain Building Course Book. Available at: https://uw.pressbooks.pub/eeducdbb/chapter/1-3-introduction-to-the-brain/ [Accessed 15 Jan. 2026].</w:t>
      </w:r>
    </w:p>
    <w:p w:rsidRPr="00F602E8" w:rsidR="00F602E8" w:rsidP="4CCBA241" w:rsidRDefault="00F602E8" w14:paraId="3B56BA0B" w14:textId="6AE7FB83">
      <w:pPr>
        <w:jc w:val="left"/>
        <w:rPr>
          <w:rFonts w:ascii="Arial" w:hAnsi="Arial"/>
          <w:szCs w:val="24"/>
          <w:lang w:val="en-US"/>
        </w:rPr>
      </w:pPr>
      <w:r w:rsidRPr="6B413D2E">
        <w:rPr>
          <w:rFonts w:ascii="Arial" w:hAnsi="Arial"/>
          <w:szCs w:val="24"/>
          <w:lang w:val="en-US"/>
        </w:rPr>
        <w:t xml:space="preserve">Ebbeck, M., Warrier, S. and Goh, M. (2018) ‘Early experiences matter: A </w:t>
      </w:r>
      <w:r w:rsidRPr="6B413D2E" w:rsidR="525C18B1">
        <w:rPr>
          <w:rFonts w:ascii="Arial" w:hAnsi="Arial"/>
          <w:szCs w:val="24"/>
          <w:lang w:val="en-US"/>
        </w:rPr>
        <w:t>relationship–</w:t>
      </w:r>
      <w:r w:rsidRPr="6B413D2E">
        <w:rPr>
          <w:rFonts w:ascii="Arial" w:hAnsi="Arial"/>
          <w:szCs w:val="24"/>
          <w:lang w:val="en-US"/>
        </w:rPr>
        <w:t xml:space="preserve">based curriculum for the birth-to-three age group’, </w:t>
      </w:r>
      <w:r w:rsidRPr="6B413D2E">
        <w:rPr>
          <w:rFonts w:ascii="Arial" w:hAnsi="Arial"/>
          <w:i/>
          <w:szCs w:val="24"/>
          <w:lang w:val="en-US"/>
        </w:rPr>
        <w:t>Early Childhood Education Journal</w:t>
      </w:r>
      <w:r w:rsidRPr="6B413D2E">
        <w:rPr>
          <w:rFonts w:ascii="Arial" w:hAnsi="Arial"/>
          <w:szCs w:val="24"/>
          <w:lang w:val="en-US"/>
        </w:rPr>
        <w:t>, 46(1), pp. 83–92.</w:t>
      </w:r>
    </w:p>
    <w:p w:rsidRPr="00F602E8" w:rsidR="00F602E8" w:rsidP="4CCBA241" w:rsidRDefault="00F602E8" w14:paraId="092C04E0" w14:textId="77777777">
      <w:pPr>
        <w:jc w:val="left"/>
        <w:rPr>
          <w:rFonts w:ascii="Arial" w:hAnsi="Arial"/>
          <w:szCs w:val="24"/>
          <w:lang w:val="en-US"/>
        </w:rPr>
      </w:pPr>
      <w:r w:rsidRPr="6B413D2E">
        <w:rPr>
          <w:rFonts w:ascii="Arial" w:hAnsi="Arial"/>
          <w:szCs w:val="24"/>
          <w:lang w:val="en-US"/>
        </w:rPr>
        <w:t xml:space="preserve">ECDAN (2024). </w:t>
      </w:r>
      <w:r w:rsidRPr="6B413D2E">
        <w:rPr>
          <w:rFonts w:ascii="Arial" w:hAnsi="Arial"/>
          <w:i/>
          <w:szCs w:val="24"/>
          <w:lang w:val="en-US"/>
        </w:rPr>
        <w:t>The First 1,000 Days of a Child’s Life are Crucial – Growing Evidence that Next 1,000 are Just as Important - ECDAN</w:t>
      </w:r>
      <w:r w:rsidRPr="6B413D2E">
        <w:rPr>
          <w:rFonts w:ascii="Arial" w:hAnsi="Arial"/>
          <w:szCs w:val="24"/>
          <w:lang w:val="en-US"/>
        </w:rPr>
        <w:t>. [online] ECDAN. Available at: https://ecdan.org/resource/the-first-1000-days-of-a-childs-life-are-crucial-growing-evidence-that-next-1000-are-just-as-important/ [Accessed 15 Jan. 2026].</w:t>
      </w:r>
    </w:p>
    <w:p w:rsidRPr="00F602E8" w:rsidR="00F602E8" w:rsidP="4CCBA241" w:rsidRDefault="00F602E8" w14:paraId="78C3C6C9" w14:textId="77777777">
      <w:pPr>
        <w:jc w:val="left"/>
        <w:rPr>
          <w:rFonts w:ascii="Arial" w:hAnsi="Arial"/>
          <w:szCs w:val="24"/>
          <w:lang w:val="en-US"/>
        </w:rPr>
      </w:pPr>
      <w:r w:rsidRPr="6B413D2E">
        <w:rPr>
          <w:rFonts w:ascii="Arial" w:hAnsi="Arial"/>
          <w:szCs w:val="24"/>
          <w:lang w:val="en-US"/>
        </w:rPr>
        <w:t xml:space="preserve">Gerhardt, S. (2015) </w:t>
      </w:r>
      <w:r w:rsidRPr="6B413D2E">
        <w:rPr>
          <w:rFonts w:ascii="Arial" w:hAnsi="Arial"/>
          <w:i/>
          <w:szCs w:val="24"/>
          <w:lang w:val="en-US"/>
        </w:rPr>
        <w:t>Why love matters: How affection shapes a baby’s brain</w:t>
      </w:r>
      <w:r w:rsidRPr="6B413D2E">
        <w:rPr>
          <w:rFonts w:ascii="Arial" w:hAnsi="Arial"/>
          <w:szCs w:val="24"/>
          <w:lang w:val="en-US"/>
        </w:rPr>
        <w:t>. East Sussex: Routledge.</w:t>
      </w:r>
    </w:p>
    <w:p w:rsidRPr="00F602E8" w:rsidR="00F602E8" w:rsidP="4CCBA241" w:rsidRDefault="00F602E8" w14:paraId="09ADFCD1" w14:textId="77777777">
      <w:pPr>
        <w:jc w:val="left"/>
        <w:rPr>
          <w:rFonts w:ascii="Arial" w:hAnsi="Arial"/>
          <w:szCs w:val="24"/>
          <w:lang w:val="en-US"/>
        </w:rPr>
      </w:pPr>
      <w:r w:rsidRPr="6B413D2E">
        <w:rPr>
          <w:rFonts w:ascii="Arial" w:hAnsi="Arial"/>
          <w:szCs w:val="24"/>
          <w:lang w:val="en-US"/>
        </w:rPr>
        <w:t xml:space="preserve">González-Patiño, J. (2018) ‘Learn, teach and share: Participation in expanded educational communities: Madrid Pikler Seminar as a practice of continuing education between childhood professionals’, </w:t>
      </w:r>
      <w:r w:rsidRPr="6B413D2E">
        <w:rPr>
          <w:rFonts w:ascii="Arial" w:hAnsi="Arial"/>
          <w:i/>
          <w:szCs w:val="24"/>
          <w:lang w:val="en-US"/>
        </w:rPr>
        <w:t>Digital Education Review</w:t>
      </w:r>
      <w:r w:rsidRPr="6B413D2E">
        <w:rPr>
          <w:rFonts w:ascii="Arial" w:hAnsi="Arial"/>
          <w:szCs w:val="24"/>
          <w:lang w:val="en-US"/>
        </w:rPr>
        <w:t>, (33), pp. 203–216.</w:t>
      </w:r>
    </w:p>
    <w:p w:rsidRPr="00F602E8" w:rsidR="00F602E8" w:rsidP="4CCBA241" w:rsidRDefault="00F602E8" w14:paraId="72C891B3" w14:textId="77777777">
      <w:pPr>
        <w:jc w:val="left"/>
        <w:rPr>
          <w:rFonts w:ascii="Arial" w:hAnsi="Arial"/>
          <w:szCs w:val="24"/>
          <w:lang w:val="en-US"/>
        </w:rPr>
      </w:pPr>
      <w:r w:rsidRPr="6B413D2E">
        <w:rPr>
          <w:rFonts w:ascii="Arial" w:hAnsi="Arial"/>
          <w:szCs w:val="24"/>
          <w:lang w:val="en-US"/>
        </w:rPr>
        <w:t xml:space="preserve">Green, E. (2022). </w:t>
      </w:r>
      <w:r w:rsidRPr="6B413D2E">
        <w:rPr>
          <w:rFonts w:ascii="Arial" w:hAnsi="Arial"/>
          <w:i/>
          <w:szCs w:val="24"/>
          <w:lang w:val="en-US"/>
        </w:rPr>
        <w:t>Entertaining Sensory Activities for Children with Autism - Caregiver Support Services</w:t>
      </w:r>
      <w:r w:rsidRPr="6B413D2E">
        <w:rPr>
          <w:rFonts w:ascii="Arial" w:hAnsi="Arial"/>
          <w:szCs w:val="24"/>
          <w:lang w:val="en-US"/>
        </w:rPr>
        <w:t>. [online] Caregiver Support Services. Available at: https://www.caregiversupportservices.com/entertaining-sensory-activities-for-children-with-autism/ [Accessed 16 Jan. 2026].</w:t>
      </w:r>
    </w:p>
    <w:p w:rsidRPr="00F602E8" w:rsidR="00F602E8" w:rsidP="4CCBA241" w:rsidRDefault="00F602E8" w14:paraId="138A6D93" w14:textId="04DD52BD">
      <w:pPr>
        <w:jc w:val="left"/>
        <w:rPr>
          <w:rFonts w:ascii="Arial" w:hAnsi="Arial"/>
          <w:szCs w:val="24"/>
          <w:lang w:val="en-US"/>
        </w:rPr>
      </w:pPr>
      <w:proofErr w:type="spellStart"/>
      <w:r w:rsidRPr="6B413D2E">
        <w:rPr>
          <w:rFonts w:ascii="Arial" w:hAnsi="Arial"/>
          <w:szCs w:val="24"/>
          <w:lang w:val="en-US"/>
        </w:rPr>
        <w:t>Kanekin</w:t>
      </w:r>
      <w:proofErr w:type="spellEnd"/>
      <w:r w:rsidRPr="6B413D2E">
        <w:rPr>
          <w:rFonts w:ascii="Arial" w:hAnsi="Arial"/>
          <w:szCs w:val="24"/>
          <w:lang w:val="en-US"/>
        </w:rPr>
        <w:t xml:space="preserve"> (2019). </w:t>
      </w:r>
      <w:r w:rsidRPr="6B413D2E">
        <w:rPr>
          <w:rFonts w:ascii="Arial" w:hAnsi="Arial"/>
          <w:i/>
          <w:szCs w:val="24"/>
          <w:lang w:val="en-US"/>
        </w:rPr>
        <w:t xml:space="preserve">What </w:t>
      </w:r>
      <w:r w:rsidRPr="6B413D2E" w:rsidR="62B98D6E">
        <w:rPr>
          <w:rFonts w:ascii="Arial" w:hAnsi="Arial"/>
          <w:i/>
          <w:szCs w:val="24"/>
          <w:lang w:val="en-US"/>
        </w:rPr>
        <w:t>are</w:t>
      </w:r>
      <w:r w:rsidRPr="6B413D2E">
        <w:rPr>
          <w:rFonts w:ascii="Arial" w:hAnsi="Arial"/>
          <w:i/>
          <w:szCs w:val="24"/>
          <w:lang w:val="en-US"/>
        </w:rPr>
        <w:t xml:space="preserve"> the first 1,000 days of life?</w:t>
      </w:r>
      <w:r w:rsidRPr="6B413D2E">
        <w:rPr>
          <w:rFonts w:ascii="Arial" w:hAnsi="Arial"/>
          <w:szCs w:val="24"/>
          <w:lang w:val="en-US"/>
        </w:rPr>
        <w:t xml:space="preserve"> [online] Idsmed.com. Available at: https://www.idsmed.com/news/what-is-the-first-1000-days-of-life/462.html [Accessed 16 Jan. 2026].</w:t>
      </w:r>
    </w:p>
    <w:p w:rsidRPr="00F602E8" w:rsidR="00F602E8" w:rsidP="4CCBA241" w:rsidRDefault="00F602E8" w14:paraId="409A6975" w14:textId="0B5193F5">
      <w:pPr>
        <w:jc w:val="left"/>
        <w:rPr>
          <w:rFonts w:ascii="Arial" w:hAnsi="Arial"/>
          <w:szCs w:val="24"/>
          <w:lang w:val="en-US"/>
        </w:rPr>
      </w:pPr>
      <w:r w:rsidRPr="6B413D2E">
        <w:rPr>
          <w:rFonts w:ascii="Arial" w:hAnsi="Arial"/>
          <w:szCs w:val="24"/>
          <w:lang w:val="en-US"/>
        </w:rPr>
        <w:t>Karakochuk, C.D., Whitfield, K.C., Green, T.J. and Kraemer, K. (2018)</w:t>
      </w:r>
      <w:r w:rsidRPr="6B413D2E" w:rsidR="3C91D64A">
        <w:rPr>
          <w:rFonts w:ascii="Arial" w:hAnsi="Arial"/>
          <w:szCs w:val="24"/>
          <w:lang w:val="en-US"/>
        </w:rPr>
        <w:t>.</w:t>
      </w:r>
      <w:r w:rsidRPr="6B413D2E">
        <w:rPr>
          <w:rFonts w:ascii="Arial" w:hAnsi="Arial"/>
          <w:szCs w:val="24"/>
          <w:lang w:val="en-US"/>
        </w:rPr>
        <w:t xml:space="preserve"> The</w:t>
      </w:r>
      <w:r w:rsidRPr="6B413D2E">
        <w:rPr>
          <w:rFonts w:ascii="Arial" w:hAnsi="Arial"/>
          <w:i/>
          <w:szCs w:val="24"/>
          <w:lang w:val="en-US"/>
        </w:rPr>
        <w:t xml:space="preserve"> biology of the first 1,000 days</w:t>
      </w:r>
      <w:r w:rsidRPr="6B413D2E">
        <w:rPr>
          <w:rFonts w:ascii="Arial" w:hAnsi="Arial"/>
          <w:szCs w:val="24"/>
          <w:lang w:val="en-US"/>
        </w:rPr>
        <w:t>. Boca Raton, FL: CRC Press.</w:t>
      </w:r>
    </w:p>
    <w:p w:rsidRPr="00F602E8" w:rsidR="00F602E8" w:rsidP="4CCBA241" w:rsidRDefault="00F602E8" w14:paraId="7ECC8B29" w14:textId="77777777">
      <w:pPr>
        <w:jc w:val="left"/>
        <w:rPr>
          <w:rFonts w:ascii="Arial" w:hAnsi="Arial"/>
          <w:szCs w:val="24"/>
          <w:lang w:val="en-US"/>
        </w:rPr>
      </w:pPr>
      <w:proofErr w:type="spellStart"/>
      <w:r w:rsidRPr="6B413D2E">
        <w:rPr>
          <w:rFonts w:ascii="Arial" w:hAnsi="Arial"/>
          <w:szCs w:val="24"/>
          <w:lang w:val="en-US"/>
        </w:rPr>
        <w:t>Lakewalk</w:t>
      </w:r>
      <w:proofErr w:type="spellEnd"/>
      <w:r w:rsidRPr="6B413D2E">
        <w:rPr>
          <w:rFonts w:ascii="Arial" w:hAnsi="Arial"/>
          <w:szCs w:val="24"/>
          <w:lang w:val="en-US"/>
        </w:rPr>
        <w:t xml:space="preserve"> Media (2026). </w:t>
      </w:r>
      <w:r w:rsidRPr="6B413D2E">
        <w:rPr>
          <w:rFonts w:ascii="Arial" w:hAnsi="Arial"/>
          <w:i/>
          <w:szCs w:val="24"/>
          <w:lang w:val="en-US"/>
        </w:rPr>
        <w:t>First 1000 Days Manual of Procedures</w:t>
      </w:r>
      <w:r w:rsidRPr="6B413D2E">
        <w:rPr>
          <w:rFonts w:ascii="Arial" w:hAnsi="Arial"/>
          <w:szCs w:val="24"/>
          <w:lang w:val="en-US"/>
        </w:rPr>
        <w:t xml:space="preserve">. [online] </w:t>
      </w:r>
      <w:proofErr w:type="spellStart"/>
      <w:r w:rsidRPr="6B413D2E">
        <w:rPr>
          <w:rFonts w:ascii="Arial" w:hAnsi="Arial"/>
          <w:szCs w:val="24"/>
          <w:lang w:val="en-US"/>
        </w:rPr>
        <w:t>Slideshare</w:t>
      </w:r>
      <w:proofErr w:type="spellEnd"/>
      <w:r w:rsidRPr="6B413D2E">
        <w:rPr>
          <w:rFonts w:ascii="Arial" w:hAnsi="Arial"/>
          <w:szCs w:val="24"/>
          <w:lang w:val="en-US"/>
        </w:rPr>
        <w:t>. Available at: https://www.slideshare.net/slideshow/first-1000-days-manual-of-procedures/263031673 [Accessed 15 Jan. 2026].</w:t>
      </w:r>
    </w:p>
    <w:p w:rsidRPr="00F602E8" w:rsidR="00F602E8" w:rsidP="4CCBA241" w:rsidRDefault="00F602E8" w14:paraId="0803A60C" w14:textId="77777777">
      <w:pPr>
        <w:jc w:val="left"/>
        <w:rPr>
          <w:rFonts w:ascii="Arial" w:hAnsi="Arial"/>
          <w:szCs w:val="24"/>
          <w:lang w:val="en-US"/>
        </w:rPr>
      </w:pPr>
      <w:proofErr w:type="spellStart"/>
      <w:r w:rsidRPr="6B413D2E">
        <w:rPr>
          <w:rFonts w:ascii="Arial" w:hAnsi="Arial"/>
          <w:szCs w:val="24"/>
          <w:lang w:val="en-US"/>
        </w:rPr>
        <w:t>MacBlain</w:t>
      </w:r>
      <w:proofErr w:type="spellEnd"/>
      <w:r w:rsidRPr="6B413D2E">
        <w:rPr>
          <w:rFonts w:ascii="Arial" w:hAnsi="Arial"/>
          <w:szCs w:val="24"/>
          <w:lang w:val="en-US"/>
        </w:rPr>
        <w:t xml:space="preserve">, S. (2021) </w:t>
      </w:r>
      <w:r w:rsidRPr="6B413D2E">
        <w:rPr>
          <w:rFonts w:ascii="Arial" w:hAnsi="Arial"/>
          <w:i/>
          <w:szCs w:val="24"/>
          <w:lang w:val="en-US"/>
        </w:rPr>
        <w:t>Children’s learning in early childhood: Learning theories in practice (0–7 years)</w:t>
      </w:r>
      <w:r w:rsidRPr="6B413D2E">
        <w:rPr>
          <w:rFonts w:ascii="Arial" w:hAnsi="Arial"/>
          <w:szCs w:val="24"/>
          <w:lang w:val="en-US"/>
        </w:rPr>
        <w:t>. London: SAGE.</w:t>
      </w:r>
    </w:p>
    <w:p w:rsidRPr="00F602E8" w:rsidR="00F602E8" w:rsidP="4CCBA241" w:rsidRDefault="00F602E8" w14:paraId="0F05E178" w14:textId="55558A21">
      <w:pPr>
        <w:jc w:val="left"/>
        <w:rPr>
          <w:rFonts w:ascii="Arial" w:hAnsi="Arial"/>
          <w:szCs w:val="24"/>
          <w:lang w:val="en-US"/>
        </w:rPr>
      </w:pPr>
      <w:r w:rsidRPr="6B413D2E">
        <w:rPr>
          <w:rFonts w:ascii="Arial" w:hAnsi="Arial"/>
          <w:szCs w:val="24"/>
          <w:lang w:val="en-US"/>
        </w:rPr>
        <w:t xml:space="preserve">Meyer, C. (2023). </w:t>
      </w:r>
      <w:r w:rsidRPr="6B413D2E">
        <w:rPr>
          <w:rFonts w:ascii="Arial" w:hAnsi="Arial"/>
          <w:i/>
          <w:szCs w:val="24"/>
          <w:lang w:val="en-US"/>
        </w:rPr>
        <w:t xml:space="preserve">How to Communicate </w:t>
      </w:r>
      <w:r w:rsidRPr="6B413D2E" w:rsidR="03EADFB4">
        <w:rPr>
          <w:rFonts w:ascii="Arial" w:hAnsi="Arial"/>
          <w:i/>
          <w:szCs w:val="24"/>
          <w:lang w:val="en-US"/>
        </w:rPr>
        <w:t>with</w:t>
      </w:r>
      <w:r w:rsidRPr="6B413D2E">
        <w:rPr>
          <w:rFonts w:ascii="Arial" w:hAnsi="Arial"/>
          <w:i/>
          <w:szCs w:val="24"/>
          <w:lang w:val="en-US"/>
        </w:rPr>
        <w:t xml:space="preserve"> Adult Children and Stay Connected</w:t>
      </w:r>
      <w:r w:rsidRPr="6B413D2E">
        <w:rPr>
          <w:rFonts w:ascii="Arial" w:hAnsi="Arial"/>
          <w:szCs w:val="24"/>
          <w:lang w:val="en-US"/>
        </w:rPr>
        <w:t>. [online] SWM. Available at: https://secondwindmovement.com/communicating-with-adult-children/ [Accessed 16 Jan. 2026].</w:t>
      </w:r>
    </w:p>
    <w:p w:rsidRPr="00F602E8" w:rsidR="00F602E8" w:rsidP="4CCBA241" w:rsidRDefault="00F602E8" w14:paraId="6FA77A87" w14:textId="3DB6BEAA">
      <w:pPr>
        <w:jc w:val="left"/>
        <w:rPr>
          <w:rFonts w:ascii="Arial" w:hAnsi="Arial"/>
          <w:szCs w:val="24"/>
          <w:lang w:val="en-US"/>
        </w:rPr>
      </w:pPr>
      <w:r w:rsidRPr="6B413D2E">
        <w:rPr>
          <w:rFonts w:ascii="Arial" w:hAnsi="Arial"/>
          <w:szCs w:val="24"/>
          <w:lang w:val="en-US"/>
        </w:rPr>
        <w:t xml:space="preserve">Overdose Prevention (2024). </w:t>
      </w:r>
      <w:r w:rsidRPr="6B413D2E">
        <w:rPr>
          <w:rFonts w:ascii="Arial" w:hAnsi="Arial"/>
          <w:i/>
          <w:szCs w:val="24"/>
          <w:lang w:val="en-US"/>
        </w:rPr>
        <w:t>Resources for the Public</w:t>
      </w:r>
      <w:r w:rsidRPr="6B413D2E">
        <w:rPr>
          <w:rFonts w:ascii="Arial" w:hAnsi="Arial"/>
          <w:szCs w:val="24"/>
          <w:lang w:val="en-US"/>
        </w:rPr>
        <w:t>. [</w:t>
      </w:r>
      <w:r w:rsidRPr="6B413D2E" w:rsidR="002322AA">
        <w:rPr>
          <w:rFonts w:ascii="Arial" w:hAnsi="Arial"/>
          <w:szCs w:val="24"/>
          <w:lang w:val="en-US"/>
        </w:rPr>
        <w:t>Online</w:t>
      </w:r>
      <w:r w:rsidRPr="6B413D2E">
        <w:rPr>
          <w:rFonts w:ascii="Arial" w:hAnsi="Arial"/>
          <w:szCs w:val="24"/>
          <w:lang w:val="en-US"/>
        </w:rPr>
        <w:t>] Overdose Prevention. Available at: https://www.in.gov/health/overdose-prevention/resources-for-the-public/ [Accessed 15 Jan. 2026].</w:t>
      </w:r>
    </w:p>
    <w:p w:rsidRPr="00F602E8" w:rsidR="00F602E8" w:rsidP="4CCBA241" w:rsidRDefault="00F602E8" w14:paraId="07148741" w14:textId="34E95BC1">
      <w:pPr>
        <w:jc w:val="left"/>
        <w:rPr>
          <w:rFonts w:ascii="Arial" w:hAnsi="Arial"/>
          <w:szCs w:val="24"/>
          <w:lang w:val="en-US"/>
        </w:rPr>
      </w:pPr>
      <w:r w:rsidRPr="6B413D2E">
        <w:rPr>
          <w:rFonts w:ascii="Arial" w:hAnsi="Arial"/>
          <w:szCs w:val="24"/>
          <w:lang w:val="en-US"/>
        </w:rPr>
        <w:t>Rose, J. (2016)</w:t>
      </w:r>
      <w:r w:rsidRPr="6B413D2E" w:rsidR="71A9755D">
        <w:rPr>
          <w:rFonts w:ascii="Arial" w:hAnsi="Arial"/>
          <w:szCs w:val="24"/>
          <w:lang w:val="en-US"/>
        </w:rPr>
        <w:t>.</w:t>
      </w:r>
      <w:r w:rsidRPr="6B413D2E">
        <w:rPr>
          <w:rFonts w:ascii="Arial" w:hAnsi="Arial"/>
          <w:szCs w:val="24"/>
          <w:lang w:val="en-US"/>
        </w:rPr>
        <w:t xml:space="preserve"> Health</w:t>
      </w:r>
      <w:r w:rsidRPr="6B413D2E">
        <w:rPr>
          <w:rFonts w:ascii="Arial" w:hAnsi="Arial"/>
          <w:i/>
          <w:szCs w:val="24"/>
          <w:lang w:val="en-US"/>
        </w:rPr>
        <w:t xml:space="preserve"> and well-being in early childhood</w:t>
      </w:r>
      <w:r w:rsidRPr="6B413D2E">
        <w:rPr>
          <w:rFonts w:ascii="Arial" w:hAnsi="Arial"/>
          <w:szCs w:val="24"/>
          <w:lang w:val="en-US"/>
        </w:rPr>
        <w:t>. London: SAGE.</w:t>
      </w:r>
    </w:p>
    <w:p w:rsidRPr="00F602E8" w:rsidR="00F602E8" w:rsidP="4CCBA241" w:rsidRDefault="00F602E8" w14:paraId="399585FB" w14:textId="77777777">
      <w:pPr>
        <w:jc w:val="left"/>
        <w:rPr>
          <w:rFonts w:ascii="Arial" w:hAnsi="Arial"/>
          <w:szCs w:val="24"/>
          <w:lang w:val="en-US"/>
        </w:rPr>
      </w:pPr>
      <w:proofErr w:type="spellStart"/>
      <w:r w:rsidRPr="6B413D2E">
        <w:rPr>
          <w:rFonts w:ascii="Arial" w:hAnsi="Arial"/>
          <w:szCs w:val="24"/>
          <w:lang w:val="en-US"/>
        </w:rPr>
        <w:t>Sagaseta</w:t>
      </w:r>
      <w:proofErr w:type="spellEnd"/>
      <w:r w:rsidRPr="6B413D2E">
        <w:rPr>
          <w:rFonts w:ascii="Arial" w:hAnsi="Arial"/>
          <w:szCs w:val="24"/>
          <w:lang w:val="en-US"/>
        </w:rPr>
        <w:t xml:space="preserve">, J., </w:t>
      </w:r>
      <w:proofErr w:type="spellStart"/>
      <w:r w:rsidRPr="6B413D2E">
        <w:rPr>
          <w:rFonts w:ascii="Arial" w:hAnsi="Arial"/>
          <w:szCs w:val="24"/>
          <w:lang w:val="en-US"/>
        </w:rPr>
        <w:t>Herrán</w:t>
      </w:r>
      <w:proofErr w:type="spellEnd"/>
      <w:r w:rsidRPr="6B413D2E">
        <w:rPr>
          <w:rFonts w:ascii="Arial" w:hAnsi="Arial"/>
          <w:szCs w:val="24"/>
          <w:lang w:val="en-US"/>
        </w:rPr>
        <w:t xml:space="preserve">, E. and Anguera, M.T. (2021) ‘Adult intervention levels in young children’s free play: An observational study on how Pikler educators combine the instrumental and relational dimensions of their educational activity’, </w:t>
      </w:r>
      <w:r w:rsidRPr="6B413D2E">
        <w:rPr>
          <w:rFonts w:ascii="Arial" w:hAnsi="Arial"/>
          <w:i/>
          <w:szCs w:val="24"/>
          <w:lang w:val="en-US"/>
        </w:rPr>
        <w:t>European Journal of Psychology of Education</w:t>
      </w:r>
      <w:r w:rsidRPr="6B413D2E">
        <w:rPr>
          <w:rFonts w:ascii="Arial" w:hAnsi="Arial"/>
          <w:szCs w:val="24"/>
          <w:lang w:val="en-US"/>
        </w:rPr>
        <w:t>, 37(3), pp. 707–728.</w:t>
      </w:r>
    </w:p>
    <w:p w:rsidRPr="00F602E8" w:rsidR="00F602E8" w:rsidP="5C413465" w:rsidRDefault="00F602E8" w14:paraId="4D478F80" w14:textId="52B67D08">
      <w:pPr>
        <w:jc w:val="left"/>
        <w:rPr>
          <w:rFonts w:ascii="Arial" w:hAnsi="Arial"/>
          <w:lang w:val="en-US"/>
        </w:rPr>
      </w:pPr>
      <w:r w:rsidRPr="5C413465">
        <w:rPr>
          <w:rFonts w:ascii="Arial" w:hAnsi="Arial"/>
          <w:lang w:val="en-US"/>
        </w:rPr>
        <w:t xml:space="preserve">Sansone, A. (2021) </w:t>
      </w:r>
      <w:r w:rsidRPr="5C413465">
        <w:rPr>
          <w:rFonts w:ascii="Arial" w:hAnsi="Arial"/>
          <w:i/>
          <w:iCs/>
          <w:lang w:val="en-US"/>
        </w:rPr>
        <w:t>Cultivating mindfulness to raise children who thrive: Why human connection from before birth matters</w:t>
      </w:r>
      <w:r w:rsidRPr="5C413465">
        <w:rPr>
          <w:rFonts w:ascii="Arial" w:hAnsi="Arial"/>
          <w:lang w:val="en-US"/>
        </w:rPr>
        <w:t xml:space="preserve">. London: Routledge.Vamos, J. (2015) ‘Free to move, free to be’, </w:t>
      </w:r>
      <w:r w:rsidRPr="5C413465">
        <w:rPr>
          <w:rFonts w:ascii="Arial" w:hAnsi="Arial"/>
          <w:i/>
          <w:iCs/>
          <w:lang w:val="en-US"/>
        </w:rPr>
        <w:t>The American Journal of Psychoanalysis</w:t>
      </w:r>
      <w:r w:rsidRPr="5C413465">
        <w:rPr>
          <w:rFonts w:ascii="Arial" w:hAnsi="Arial"/>
          <w:lang w:val="en-US"/>
        </w:rPr>
        <w:t>, 75(1), pp. 65–75.</w:t>
      </w:r>
    </w:p>
    <w:sectPr w:rsidRPr="00F602E8" w:rsidR="00F602E8" w:rsidSect="00F602E8">
      <w:footerReference w:type="default" r:id="rId22"/>
      <w:pgSz w:w="12240" w:h="15840" w:orient="portrait"/>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901F6" w:rsidP="00F602E8" w:rsidRDefault="007901F6" w14:paraId="286CEC29" w14:textId="77777777">
      <w:pPr>
        <w:spacing w:before="0" w:after="0" w:line="240" w:lineRule="auto"/>
      </w:pPr>
      <w:r>
        <w:separator/>
      </w:r>
    </w:p>
  </w:endnote>
  <w:endnote w:type="continuationSeparator" w:id="0">
    <w:p w:rsidR="007901F6" w:rsidP="00F602E8" w:rsidRDefault="007901F6" w14:paraId="7D903AF5" w14:textId="7777777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tos Display">
    <w:panose1 w:val="00000000000000000000"/>
    <w:charset w:val="00"/>
    <w:family w:val="roman"/>
    <w:notTrueType/>
    <w:pitch w:val="default"/>
  </w:font>
  <w:font w:name="Yu Mincho">
    <w:altName w:val="游明朝"/>
    <w:panose1 w:val="000000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296539C3" w:rsidP="296539C3" w:rsidRDefault="296539C3" w14:paraId="5D4A6F34" w14:textId="6C4814DC">
    <w:pPr>
      <w:pStyle w:val="Footer"/>
      <w:jc w:val="center"/>
    </w:pPr>
  </w:p>
  <w:p w:rsidR="00F602E8" w:rsidP="00F602E8" w:rsidRDefault="00F602E8" w14:paraId="7D7BC2FD" w14:textId="78747F3D">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296539C3" w:rsidP="296539C3" w:rsidRDefault="296539C3" w14:paraId="5D6BC648" w14:textId="23D6B44E">
    <w:pPr>
      <w:pStyle w:val="Footer"/>
      <w:jc w:val="center"/>
    </w:pPr>
  </w:p>
  <w:sdt>
    <w:sdtPr>
      <w:id w:val="21752016"/>
      <w:docPartObj>
        <w:docPartGallery w:val="Page Numbers (Bottom of Page)"/>
        <w:docPartUnique/>
      </w:docPartObj>
      <w:showingPlcHdr/>
    </w:sdtPr>
    <w:sdtEndPr>
      <w:rPr>
        <w:noProof/>
      </w:rPr>
    </w:sdtEndPr>
    <w:sdtContent>
      <w:p w:rsidR="00F602E8" w:rsidP="296539C3" w:rsidRDefault="00F602E8" w14:paraId="77BFB66F" w14:textId="558ECD0F">
        <w:pPr>
          <w:pStyle w:val="Footer"/>
          <w:jc w:val="center"/>
          <w:rPr>
            <w:noProof/>
          </w:rPr>
        </w:pPr>
        <w:r w:rsidR="296539C3">
          <w:rPr/>
          <w:t xml:space="preserve">     </w:t>
        </w:r>
      </w:p>
    </w:sdtContent>
  </w:sdt>
  <w:p w:rsidR="00F602E8" w:rsidRDefault="00F602E8" w14:paraId="10C6BB6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901F6" w:rsidP="00F602E8" w:rsidRDefault="007901F6" w14:paraId="5DE30FF8" w14:textId="77777777">
      <w:pPr>
        <w:spacing w:before="0" w:after="0" w:line="240" w:lineRule="auto"/>
      </w:pPr>
      <w:r>
        <w:separator/>
      </w:r>
    </w:p>
  </w:footnote>
  <w:footnote w:type="continuationSeparator" w:id="0">
    <w:p w:rsidR="007901F6" w:rsidP="00F602E8" w:rsidRDefault="007901F6" w14:paraId="765512E6" w14:textId="77777777">
      <w:pPr>
        <w:spacing w:before="0" w:after="0" w:line="240" w:lineRule="auto"/>
      </w:pPr>
      <w:r>
        <w:continuationSeparator/>
      </w:r>
    </w:p>
  </w:footnote>
</w:footnote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534F"/>
    <w:rsid w:val="00000F3F"/>
    <w:rsid w:val="00004541"/>
    <w:rsid w:val="00005A8A"/>
    <w:rsid w:val="00014B62"/>
    <w:rsid w:val="00017282"/>
    <w:rsid w:val="00036586"/>
    <w:rsid w:val="000373BA"/>
    <w:rsid w:val="000453BC"/>
    <w:rsid w:val="000463BA"/>
    <w:rsid w:val="00052C29"/>
    <w:rsid w:val="00055D7D"/>
    <w:rsid w:val="000765F4"/>
    <w:rsid w:val="00086A21"/>
    <w:rsid w:val="00094EE1"/>
    <w:rsid w:val="00095355"/>
    <w:rsid w:val="000A6389"/>
    <w:rsid w:val="000B15B6"/>
    <w:rsid w:val="000B3568"/>
    <w:rsid w:val="000C3386"/>
    <w:rsid w:val="000C72AA"/>
    <w:rsid w:val="000E0FB8"/>
    <w:rsid w:val="000F5EA0"/>
    <w:rsid w:val="001013C8"/>
    <w:rsid w:val="00106BB8"/>
    <w:rsid w:val="0011462E"/>
    <w:rsid w:val="00115CE7"/>
    <w:rsid w:val="00121484"/>
    <w:rsid w:val="00121A64"/>
    <w:rsid w:val="00123DFD"/>
    <w:rsid w:val="00125465"/>
    <w:rsid w:val="00126921"/>
    <w:rsid w:val="0013188C"/>
    <w:rsid w:val="001363A3"/>
    <w:rsid w:val="00141705"/>
    <w:rsid w:val="00144070"/>
    <w:rsid w:val="00150809"/>
    <w:rsid w:val="00150AE2"/>
    <w:rsid w:val="0016278C"/>
    <w:rsid w:val="00180F68"/>
    <w:rsid w:val="001A0A38"/>
    <w:rsid w:val="001A0C7C"/>
    <w:rsid w:val="001A2767"/>
    <w:rsid w:val="001B57F2"/>
    <w:rsid w:val="001B6655"/>
    <w:rsid w:val="001B7E94"/>
    <w:rsid w:val="001C410E"/>
    <w:rsid w:val="001C7ECD"/>
    <w:rsid w:val="001D1F27"/>
    <w:rsid w:val="001D5D7A"/>
    <w:rsid w:val="001D6DC5"/>
    <w:rsid w:val="001E0083"/>
    <w:rsid w:val="001E476A"/>
    <w:rsid w:val="001F335C"/>
    <w:rsid w:val="001F43D1"/>
    <w:rsid w:val="001F4FF6"/>
    <w:rsid w:val="00217440"/>
    <w:rsid w:val="00221DBE"/>
    <w:rsid w:val="00222569"/>
    <w:rsid w:val="002258EB"/>
    <w:rsid w:val="002322AA"/>
    <w:rsid w:val="002324B1"/>
    <w:rsid w:val="00234A54"/>
    <w:rsid w:val="00266CAD"/>
    <w:rsid w:val="00271E24"/>
    <w:rsid w:val="00290268"/>
    <w:rsid w:val="002943F7"/>
    <w:rsid w:val="002A637E"/>
    <w:rsid w:val="002B42A3"/>
    <w:rsid w:val="002B5F76"/>
    <w:rsid w:val="002C66DF"/>
    <w:rsid w:val="002D1DBC"/>
    <w:rsid w:val="002D4981"/>
    <w:rsid w:val="002D5ECE"/>
    <w:rsid w:val="0030210B"/>
    <w:rsid w:val="003032D4"/>
    <w:rsid w:val="00305641"/>
    <w:rsid w:val="0031016D"/>
    <w:rsid w:val="00317EE5"/>
    <w:rsid w:val="00332278"/>
    <w:rsid w:val="00332C26"/>
    <w:rsid w:val="00333D87"/>
    <w:rsid w:val="003559F0"/>
    <w:rsid w:val="00355F65"/>
    <w:rsid w:val="0035753B"/>
    <w:rsid w:val="0036534F"/>
    <w:rsid w:val="00372300"/>
    <w:rsid w:val="0037587B"/>
    <w:rsid w:val="00375D80"/>
    <w:rsid w:val="00380AF5"/>
    <w:rsid w:val="003815E5"/>
    <w:rsid w:val="003A01BA"/>
    <w:rsid w:val="003B2626"/>
    <w:rsid w:val="003C435C"/>
    <w:rsid w:val="003C5A1C"/>
    <w:rsid w:val="003D1320"/>
    <w:rsid w:val="003D4B10"/>
    <w:rsid w:val="003F507C"/>
    <w:rsid w:val="003F71D1"/>
    <w:rsid w:val="00405310"/>
    <w:rsid w:val="004072EF"/>
    <w:rsid w:val="004108F3"/>
    <w:rsid w:val="00420F0D"/>
    <w:rsid w:val="00430E5B"/>
    <w:rsid w:val="00431449"/>
    <w:rsid w:val="004423D2"/>
    <w:rsid w:val="00446444"/>
    <w:rsid w:val="0045578F"/>
    <w:rsid w:val="00475E87"/>
    <w:rsid w:val="00480223"/>
    <w:rsid w:val="004828C8"/>
    <w:rsid w:val="004852F2"/>
    <w:rsid w:val="00495147"/>
    <w:rsid w:val="004B0FE0"/>
    <w:rsid w:val="004B2ECB"/>
    <w:rsid w:val="004B743D"/>
    <w:rsid w:val="004C3ACF"/>
    <w:rsid w:val="004C4DF8"/>
    <w:rsid w:val="004F6A0A"/>
    <w:rsid w:val="00512B6D"/>
    <w:rsid w:val="00536483"/>
    <w:rsid w:val="00545598"/>
    <w:rsid w:val="00546687"/>
    <w:rsid w:val="005521C9"/>
    <w:rsid w:val="00572E6B"/>
    <w:rsid w:val="00574F9D"/>
    <w:rsid w:val="00587402"/>
    <w:rsid w:val="005877F8"/>
    <w:rsid w:val="005A079F"/>
    <w:rsid w:val="005A15DB"/>
    <w:rsid w:val="005A45AD"/>
    <w:rsid w:val="005C0FEE"/>
    <w:rsid w:val="005D0263"/>
    <w:rsid w:val="005D0FDD"/>
    <w:rsid w:val="005E1808"/>
    <w:rsid w:val="005E2BB1"/>
    <w:rsid w:val="005E3919"/>
    <w:rsid w:val="005E3EDD"/>
    <w:rsid w:val="005F37D8"/>
    <w:rsid w:val="00612CDB"/>
    <w:rsid w:val="00621706"/>
    <w:rsid w:val="00624BF6"/>
    <w:rsid w:val="00636464"/>
    <w:rsid w:val="0063764C"/>
    <w:rsid w:val="00645E43"/>
    <w:rsid w:val="00656F8D"/>
    <w:rsid w:val="00663FB8"/>
    <w:rsid w:val="006648D2"/>
    <w:rsid w:val="006773EC"/>
    <w:rsid w:val="00692DDD"/>
    <w:rsid w:val="006C7E85"/>
    <w:rsid w:val="006F73A7"/>
    <w:rsid w:val="00700894"/>
    <w:rsid w:val="00706C8C"/>
    <w:rsid w:val="00707E53"/>
    <w:rsid w:val="00707FBC"/>
    <w:rsid w:val="00721EBF"/>
    <w:rsid w:val="0072432F"/>
    <w:rsid w:val="007438D3"/>
    <w:rsid w:val="00750C92"/>
    <w:rsid w:val="007533D3"/>
    <w:rsid w:val="00756653"/>
    <w:rsid w:val="00756C76"/>
    <w:rsid w:val="00775CC1"/>
    <w:rsid w:val="0078034F"/>
    <w:rsid w:val="00784423"/>
    <w:rsid w:val="007901F6"/>
    <w:rsid w:val="007911D2"/>
    <w:rsid w:val="007A06F2"/>
    <w:rsid w:val="007A4E71"/>
    <w:rsid w:val="007A6FA0"/>
    <w:rsid w:val="007B3895"/>
    <w:rsid w:val="007B548E"/>
    <w:rsid w:val="007B6776"/>
    <w:rsid w:val="007C43E0"/>
    <w:rsid w:val="007C797D"/>
    <w:rsid w:val="007D695C"/>
    <w:rsid w:val="007F40FA"/>
    <w:rsid w:val="007F5B7C"/>
    <w:rsid w:val="007F681A"/>
    <w:rsid w:val="007F6CEC"/>
    <w:rsid w:val="00802067"/>
    <w:rsid w:val="008022E0"/>
    <w:rsid w:val="0080263C"/>
    <w:rsid w:val="008123A2"/>
    <w:rsid w:val="0081306B"/>
    <w:rsid w:val="00815430"/>
    <w:rsid w:val="00816A9E"/>
    <w:rsid w:val="00821434"/>
    <w:rsid w:val="00822C0B"/>
    <w:rsid w:val="00827B0A"/>
    <w:rsid w:val="00827C90"/>
    <w:rsid w:val="008360FD"/>
    <w:rsid w:val="00837BD3"/>
    <w:rsid w:val="00846AF3"/>
    <w:rsid w:val="008524F0"/>
    <w:rsid w:val="0085524C"/>
    <w:rsid w:val="00862582"/>
    <w:rsid w:val="008666B5"/>
    <w:rsid w:val="00867CE6"/>
    <w:rsid w:val="00873D39"/>
    <w:rsid w:val="008823BB"/>
    <w:rsid w:val="00894149"/>
    <w:rsid w:val="008B0EB2"/>
    <w:rsid w:val="008B1ECB"/>
    <w:rsid w:val="008B2D1D"/>
    <w:rsid w:val="008B5299"/>
    <w:rsid w:val="008D0D9C"/>
    <w:rsid w:val="008D5404"/>
    <w:rsid w:val="008E1073"/>
    <w:rsid w:val="008E7EC5"/>
    <w:rsid w:val="00902DB9"/>
    <w:rsid w:val="00923CAA"/>
    <w:rsid w:val="00930940"/>
    <w:rsid w:val="009519E6"/>
    <w:rsid w:val="00951E94"/>
    <w:rsid w:val="00960170"/>
    <w:rsid w:val="00990A9F"/>
    <w:rsid w:val="009B1509"/>
    <w:rsid w:val="009B3DA1"/>
    <w:rsid w:val="009B5A21"/>
    <w:rsid w:val="009B7417"/>
    <w:rsid w:val="009C12BE"/>
    <w:rsid w:val="009D064D"/>
    <w:rsid w:val="009E446B"/>
    <w:rsid w:val="009E46DE"/>
    <w:rsid w:val="009E7DFF"/>
    <w:rsid w:val="009F08B8"/>
    <w:rsid w:val="009F514A"/>
    <w:rsid w:val="009F7E68"/>
    <w:rsid w:val="00A04EAC"/>
    <w:rsid w:val="00A075D6"/>
    <w:rsid w:val="00A13F8B"/>
    <w:rsid w:val="00A17C60"/>
    <w:rsid w:val="00A2142C"/>
    <w:rsid w:val="00A23B6E"/>
    <w:rsid w:val="00A36E3F"/>
    <w:rsid w:val="00A4571F"/>
    <w:rsid w:val="00A5535A"/>
    <w:rsid w:val="00A557F5"/>
    <w:rsid w:val="00A617BD"/>
    <w:rsid w:val="00A6451C"/>
    <w:rsid w:val="00AA575B"/>
    <w:rsid w:val="00AC485B"/>
    <w:rsid w:val="00AE6AC1"/>
    <w:rsid w:val="00AF0BE9"/>
    <w:rsid w:val="00AF1EBA"/>
    <w:rsid w:val="00AF69F8"/>
    <w:rsid w:val="00AF6F36"/>
    <w:rsid w:val="00B137BA"/>
    <w:rsid w:val="00B15299"/>
    <w:rsid w:val="00B20BFC"/>
    <w:rsid w:val="00B2431B"/>
    <w:rsid w:val="00B3356C"/>
    <w:rsid w:val="00B33BEA"/>
    <w:rsid w:val="00B35F9F"/>
    <w:rsid w:val="00B36D38"/>
    <w:rsid w:val="00B371BA"/>
    <w:rsid w:val="00B50B8A"/>
    <w:rsid w:val="00B5586E"/>
    <w:rsid w:val="00B56B79"/>
    <w:rsid w:val="00B57C77"/>
    <w:rsid w:val="00B61350"/>
    <w:rsid w:val="00B622C6"/>
    <w:rsid w:val="00B62E08"/>
    <w:rsid w:val="00B65678"/>
    <w:rsid w:val="00B65889"/>
    <w:rsid w:val="00B67858"/>
    <w:rsid w:val="00B71001"/>
    <w:rsid w:val="00B743A5"/>
    <w:rsid w:val="00B7596E"/>
    <w:rsid w:val="00B83D34"/>
    <w:rsid w:val="00B86050"/>
    <w:rsid w:val="00B958EF"/>
    <w:rsid w:val="00B96C6B"/>
    <w:rsid w:val="00B97121"/>
    <w:rsid w:val="00BA42AF"/>
    <w:rsid w:val="00BB236E"/>
    <w:rsid w:val="00BC1732"/>
    <w:rsid w:val="00BC2AAC"/>
    <w:rsid w:val="00C171B4"/>
    <w:rsid w:val="00C213BB"/>
    <w:rsid w:val="00C252BF"/>
    <w:rsid w:val="00C2543F"/>
    <w:rsid w:val="00C33D5C"/>
    <w:rsid w:val="00C37075"/>
    <w:rsid w:val="00C37352"/>
    <w:rsid w:val="00C43DE8"/>
    <w:rsid w:val="00C47537"/>
    <w:rsid w:val="00C548A0"/>
    <w:rsid w:val="00C63F67"/>
    <w:rsid w:val="00C67704"/>
    <w:rsid w:val="00C8036B"/>
    <w:rsid w:val="00C923B5"/>
    <w:rsid w:val="00CA0B8F"/>
    <w:rsid w:val="00CB5993"/>
    <w:rsid w:val="00CB691E"/>
    <w:rsid w:val="00CC0F1D"/>
    <w:rsid w:val="00CC79E4"/>
    <w:rsid w:val="00CD1DCA"/>
    <w:rsid w:val="00CD4F22"/>
    <w:rsid w:val="00CE54F6"/>
    <w:rsid w:val="00CF38D3"/>
    <w:rsid w:val="00CF4F80"/>
    <w:rsid w:val="00D130F7"/>
    <w:rsid w:val="00D137DD"/>
    <w:rsid w:val="00D2180B"/>
    <w:rsid w:val="00D251CA"/>
    <w:rsid w:val="00D4275B"/>
    <w:rsid w:val="00D44660"/>
    <w:rsid w:val="00D53ABC"/>
    <w:rsid w:val="00D63AC1"/>
    <w:rsid w:val="00D84BD7"/>
    <w:rsid w:val="00DC5E3A"/>
    <w:rsid w:val="00DD11AF"/>
    <w:rsid w:val="00DD21AE"/>
    <w:rsid w:val="00DD56BA"/>
    <w:rsid w:val="00DE06C3"/>
    <w:rsid w:val="00DE38F2"/>
    <w:rsid w:val="00DE6565"/>
    <w:rsid w:val="00DF5501"/>
    <w:rsid w:val="00E06D47"/>
    <w:rsid w:val="00E13FE4"/>
    <w:rsid w:val="00E155B4"/>
    <w:rsid w:val="00E17509"/>
    <w:rsid w:val="00E2157F"/>
    <w:rsid w:val="00E32B2A"/>
    <w:rsid w:val="00E348A3"/>
    <w:rsid w:val="00E37BFB"/>
    <w:rsid w:val="00E400A1"/>
    <w:rsid w:val="00E407A1"/>
    <w:rsid w:val="00E52F6B"/>
    <w:rsid w:val="00E6394E"/>
    <w:rsid w:val="00E64718"/>
    <w:rsid w:val="00E84DEC"/>
    <w:rsid w:val="00E954E1"/>
    <w:rsid w:val="00EB4F4A"/>
    <w:rsid w:val="00ED149D"/>
    <w:rsid w:val="00ED2760"/>
    <w:rsid w:val="00ED41AE"/>
    <w:rsid w:val="00EE675C"/>
    <w:rsid w:val="00EE7450"/>
    <w:rsid w:val="00EE7F42"/>
    <w:rsid w:val="00EF31BE"/>
    <w:rsid w:val="00EF3A67"/>
    <w:rsid w:val="00EF4FC8"/>
    <w:rsid w:val="00EF6379"/>
    <w:rsid w:val="00EF64D4"/>
    <w:rsid w:val="00F018AB"/>
    <w:rsid w:val="00F118D5"/>
    <w:rsid w:val="00F14D1E"/>
    <w:rsid w:val="00F276FA"/>
    <w:rsid w:val="00F54C1C"/>
    <w:rsid w:val="00F602E8"/>
    <w:rsid w:val="00F617E2"/>
    <w:rsid w:val="00F61A92"/>
    <w:rsid w:val="00F6259D"/>
    <w:rsid w:val="00F62E75"/>
    <w:rsid w:val="00F64BCC"/>
    <w:rsid w:val="00F72DC7"/>
    <w:rsid w:val="00F744D6"/>
    <w:rsid w:val="00F84E79"/>
    <w:rsid w:val="00F93AE8"/>
    <w:rsid w:val="00FA269A"/>
    <w:rsid w:val="00FB7A61"/>
    <w:rsid w:val="00FC02F9"/>
    <w:rsid w:val="00FC306E"/>
    <w:rsid w:val="00FC54C1"/>
    <w:rsid w:val="00FC636C"/>
    <w:rsid w:val="00FC7316"/>
    <w:rsid w:val="00FD009A"/>
    <w:rsid w:val="00FE260C"/>
    <w:rsid w:val="00FF38E3"/>
    <w:rsid w:val="00FF5036"/>
    <w:rsid w:val="0133A1E7"/>
    <w:rsid w:val="01D5CCB8"/>
    <w:rsid w:val="022B3F44"/>
    <w:rsid w:val="02BD1F15"/>
    <w:rsid w:val="02CB67B9"/>
    <w:rsid w:val="03379983"/>
    <w:rsid w:val="03EADFB4"/>
    <w:rsid w:val="05A3B6FD"/>
    <w:rsid w:val="0604FCD7"/>
    <w:rsid w:val="080C9746"/>
    <w:rsid w:val="085F4A0C"/>
    <w:rsid w:val="08A28466"/>
    <w:rsid w:val="08C598B4"/>
    <w:rsid w:val="090F4BDC"/>
    <w:rsid w:val="09B6416B"/>
    <w:rsid w:val="0A145630"/>
    <w:rsid w:val="0A5D6388"/>
    <w:rsid w:val="0AA7198E"/>
    <w:rsid w:val="0CB352F8"/>
    <w:rsid w:val="0F796FD2"/>
    <w:rsid w:val="0FE7B4D7"/>
    <w:rsid w:val="115AA629"/>
    <w:rsid w:val="11FD86CB"/>
    <w:rsid w:val="129602C8"/>
    <w:rsid w:val="12B5A7FD"/>
    <w:rsid w:val="12E51D7B"/>
    <w:rsid w:val="13F4A000"/>
    <w:rsid w:val="15CF6EA7"/>
    <w:rsid w:val="198907BD"/>
    <w:rsid w:val="1A0E1B22"/>
    <w:rsid w:val="1A16791B"/>
    <w:rsid w:val="1B18B69C"/>
    <w:rsid w:val="1C144474"/>
    <w:rsid w:val="1C3E2467"/>
    <w:rsid w:val="1CA95378"/>
    <w:rsid w:val="1CECCB2C"/>
    <w:rsid w:val="1D4B461C"/>
    <w:rsid w:val="1E1733A9"/>
    <w:rsid w:val="1E50B375"/>
    <w:rsid w:val="1FD592A4"/>
    <w:rsid w:val="1FEF3DA3"/>
    <w:rsid w:val="206E94ED"/>
    <w:rsid w:val="210A1B52"/>
    <w:rsid w:val="2182649E"/>
    <w:rsid w:val="2548E0C1"/>
    <w:rsid w:val="25B24A77"/>
    <w:rsid w:val="26284C84"/>
    <w:rsid w:val="26BBD782"/>
    <w:rsid w:val="27D8793F"/>
    <w:rsid w:val="280BEAAC"/>
    <w:rsid w:val="28EB7476"/>
    <w:rsid w:val="296539C3"/>
    <w:rsid w:val="2984D92C"/>
    <w:rsid w:val="29CE56BB"/>
    <w:rsid w:val="29D3F478"/>
    <w:rsid w:val="2B350EB4"/>
    <w:rsid w:val="2C002547"/>
    <w:rsid w:val="2C3940CD"/>
    <w:rsid w:val="2CFCE73C"/>
    <w:rsid w:val="2D274D81"/>
    <w:rsid w:val="2D44BC35"/>
    <w:rsid w:val="2DB858D0"/>
    <w:rsid w:val="2E2B7E6C"/>
    <w:rsid w:val="2F5F3240"/>
    <w:rsid w:val="304D3BD6"/>
    <w:rsid w:val="30894DCA"/>
    <w:rsid w:val="31363D99"/>
    <w:rsid w:val="32D4119C"/>
    <w:rsid w:val="33ED2362"/>
    <w:rsid w:val="362D8B0A"/>
    <w:rsid w:val="3756132F"/>
    <w:rsid w:val="3787D318"/>
    <w:rsid w:val="37BF2886"/>
    <w:rsid w:val="381ECCD3"/>
    <w:rsid w:val="396A2E36"/>
    <w:rsid w:val="399CE143"/>
    <w:rsid w:val="3A174875"/>
    <w:rsid w:val="3AB61F0A"/>
    <w:rsid w:val="3AE831B2"/>
    <w:rsid w:val="3C474FC2"/>
    <w:rsid w:val="3C91D64A"/>
    <w:rsid w:val="3DAD1962"/>
    <w:rsid w:val="3E3D3E35"/>
    <w:rsid w:val="3E6E70FC"/>
    <w:rsid w:val="3E75B67E"/>
    <w:rsid w:val="3EB9552F"/>
    <w:rsid w:val="3FA2D6EF"/>
    <w:rsid w:val="406B1742"/>
    <w:rsid w:val="42713C45"/>
    <w:rsid w:val="427F89F6"/>
    <w:rsid w:val="42A8FE72"/>
    <w:rsid w:val="42B248A4"/>
    <w:rsid w:val="430389D3"/>
    <w:rsid w:val="436DBA68"/>
    <w:rsid w:val="44E1D0FF"/>
    <w:rsid w:val="45F31053"/>
    <w:rsid w:val="4617F93E"/>
    <w:rsid w:val="46481870"/>
    <w:rsid w:val="46A3C465"/>
    <w:rsid w:val="46B42A3A"/>
    <w:rsid w:val="46DFBB91"/>
    <w:rsid w:val="46ECA24D"/>
    <w:rsid w:val="494C7A82"/>
    <w:rsid w:val="4BEB5304"/>
    <w:rsid w:val="4C11F8F8"/>
    <w:rsid w:val="4C5A5975"/>
    <w:rsid w:val="4CCBA241"/>
    <w:rsid w:val="4D234E1B"/>
    <w:rsid w:val="4D35355C"/>
    <w:rsid w:val="5074D93B"/>
    <w:rsid w:val="525C18B1"/>
    <w:rsid w:val="52C87AEE"/>
    <w:rsid w:val="534F0179"/>
    <w:rsid w:val="53F4D5A1"/>
    <w:rsid w:val="5624265D"/>
    <w:rsid w:val="57258FC4"/>
    <w:rsid w:val="5761DC1E"/>
    <w:rsid w:val="586D4195"/>
    <w:rsid w:val="5A4E107D"/>
    <w:rsid w:val="5AE23639"/>
    <w:rsid w:val="5B3AFE4B"/>
    <w:rsid w:val="5B680693"/>
    <w:rsid w:val="5B906903"/>
    <w:rsid w:val="5C413465"/>
    <w:rsid w:val="5C4C4C50"/>
    <w:rsid w:val="5CDD2E63"/>
    <w:rsid w:val="5E81B2B3"/>
    <w:rsid w:val="5F714FBE"/>
    <w:rsid w:val="624992DE"/>
    <w:rsid w:val="62B98D6E"/>
    <w:rsid w:val="63826A91"/>
    <w:rsid w:val="64377CC2"/>
    <w:rsid w:val="6502E955"/>
    <w:rsid w:val="6573CFC2"/>
    <w:rsid w:val="6668037C"/>
    <w:rsid w:val="66C2AFD9"/>
    <w:rsid w:val="690DCC2D"/>
    <w:rsid w:val="69B3ABA9"/>
    <w:rsid w:val="69F38BCE"/>
    <w:rsid w:val="6AA760FE"/>
    <w:rsid w:val="6B413D2E"/>
    <w:rsid w:val="6BCAA561"/>
    <w:rsid w:val="6BEB2A9C"/>
    <w:rsid w:val="6D23EC1E"/>
    <w:rsid w:val="6DAB3C3F"/>
    <w:rsid w:val="6DB26628"/>
    <w:rsid w:val="6E3B57DB"/>
    <w:rsid w:val="6E695AF9"/>
    <w:rsid w:val="6E851F7F"/>
    <w:rsid w:val="6ED89364"/>
    <w:rsid w:val="6EDF1B0E"/>
    <w:rsid w:val="6F361D72"/>
    <w:rsid w:val="6FF5691D"/>
    <w:rsid w:val="70AE5305"/>
    <w:rsid w:val="71A9755D"/>
    <w:rsid w:val="7406B434"/>
    <w:rsid w:val="74941E12"/>
    <w:rsid w:val="77813FD3"/>
    <w:rsid w:val="7794C3DE"/>
    <w:rsid w:val="782C5E58"/>
    <w:rsid w:val="78A64D5F"/>
    <w:rsid w:val="79221381"/>
    <w:rsid w:val="7965C318"/>
    <w:rsid w:val="7A6EF58A"/>
    <w:rsid w:val="7A6EF58A"/>
    <w:rsid w:val="7B1B341F"/>
    <w:rsid w:val="7B20D583"/>
    <w:rsid w:val="7C1612D8"/>
    <w:rsid w:val="7D04780B"/>
    <w:rsid w:val="7E4EEE9E"/>
    <w:rsid w:val="7F98D28E"/>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F124EA5"/>
  <w15:chartTrackingRefBased/>
  <w15:docId w15:val="{CBA3DE8B-30AC-48A9-8ABF-D1E3F93FB35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eastAsia="Arial" w:ascii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663FB8"/>
    <w:pPr>
      <w:spacing w:before="120" w:after="120" w:line="360" w:lineRule="auto"/>
      <w:jc w:val="both"/>
    </w:pPr>
    <w:rPr>
      <w:rFonts w:ascii="Times New Roman" w:hAnsi="Times New Roman" w:cs="Arial"/>
      <w:kern w:val="0"/>
      <w:szCs w:val="22"/>
      <w:lang w:val="en"/>
      <w14:ligatures w14:val="none"/>
    </w:rPr>
  </w:style>
  <w:style w:type="paragraph" w:styleId="Heading1">
    <w:name w:val="heading 1"/>
    <w:basedOn w:val="Normal"/>
    <w:next w:val="Normal"/>
    <w:link w:val="Heading1Char"/>
    <w:uiPriority w:val="9"/>
    <w:qFormat/>
    <w:rsid w:val="00A5535A"/>
    <w:pPr>
      <w:keepNext/>
      <w:keepLines/>
      <w:spacing w:before="400"/>
      <w:outlineLvl w:val="0"/>
    </w:pPr>
    <w:rPr>
      <w:b/>
      <w:color w:val="156082" w:themeColor="accent1"/>
      <w:sz w:val="28"/>
      <w:szCs w:val="28"/>
    </w:rPr>
  </w:style>
  <w:style w:type="paragraph" w:styleId="Heading2">
    <w:name w:val="heading 2"/>
    <w:basedOn w:val="Normal"/>
    <w:next w:val="Normal"/>
    <w:link w:val="Heading2Char"/>
    <w:uiPriority w:val="9"/>
    <w:unhideWhenUsed/>
    <w:qFormat/>
    <w:rsid w:val="00663FB8"/>
    <w:pPr>
      <w:keepNext/>
      <w:keepLines/>
      <w:outlineLvl w:val="1"/>
    </w:pPr>
    <w:rPr>
      <w:b/>
      <w:szCs w:val="32"/>
    </w:rPr>
  </w:style>
  <w:style w:type="paragraph" w:styleId="Heading3">
    <w:name w:val="heading 3"/>
    <w:basedOn w:val="Normal"/>
    <w:next w:val="Normal"/>
    <w:link w:val="Heading3Char"/>
    <w:uiPriority w:val="9"/>
    <w:unhideWhenUsed/>
    <w:qFormat/>
    <w:rsid w:val="00A6451C"/>
    <w:pPr>
      <w:keepNext/>
      <w:keepLines/>
      <w:spacing w:before="160" w:after="80"/>
      <w:outlineLvl w:val="2"/>
    </w:pPr>
    <w:rPr>
      <w:rFonts w:eastAsiaTheme="majorEastAsia" w:cstheme="majorBidi"/>
      <w:b/>
      <w:color w:val="215E99" w:themeColor="text2" w:themeTint="BF"/>
      <w:szCs w:val="28"/>
    </w:rPr>
  </w:style>
  <w:style w:type="paragraph" w:styleId="Heading4">
    <w:name w:val="heading 4"/>
    <w:basedOn w:val="Normal"/>
    <w:next w:val="Normal"/>
    <w:link w:val="Heading4Char"/>
    <w:uiPriority w:val="9"/>
    <w:semiHidden/>
    <w:unhideWhenUsed/>
    <w:qFormat/>
    <w:rsid w:val="0036534F"/>
    <w:pPr>
      <w:keepNext/>
      <w:keepLines/>
      <w:spacing w:before="80" w:after="40"/>
      <w:outlineLvl w:val="3"/>
    </w:pPr>
    <w:rPr>
      <w:rFonts w:asciiTheme="minorHAnsi" w:hAnsiTheme="minorHAnsi"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534F"/>
    <w:pPr>
      <w:keepNext/>
      <w:keepLines/>
      <w:spacing w:before="80" w:after="40"/>
      <w:outlineLvl w:val="4"/>
    </w:pPr>
    <w:rPr>
      <w:rFonts w:asciiTheme="minorHAnsi" w:hAnsiTheme="minorHAnsi"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534F"/>
    <w:pPr>
      <w:keepNext/>
      <w:keepLines/>
      <w:spacing w:before="40" w:after="0"/>
      <w:outlineLvl w:val="5"/>
    </w:pPr>
    <w:rPr>
      <w:rFonts w:asciiTheme="minorHAnsi" w:hAnsiTheme="minorHAnsi"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534F"/>
    <w:pPr>
      <w:keepNext/>
      <w:keepLines/>
      <w:spacing w:before="40" w:after="0"/>
      <w:outlineLvl w:val="6"/>
    </w:pPr>
    <w:rPr>
      <w:rFonts w:asciiTheme="minorHAnsi" w:hAnsiTheme="minorHAnsi"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534F"/>
    <w:pPr>
      <w:keepNext/>
      <w:keepLines/>
      <w:spacing w:before="0" w:after="0"/>
      <w:outlineLvl w:val="7"/>
    </w:pPr>
    <w:rPr>
      <w:rFonts w:asciiTheme="minorHAnsi" w:hAnsiTheme="minorHAnsi"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534F"/>
    <w:pPr>
      <w:keepNext/>
      <w:keepLines/>
      <w:spacing w:before="0" w:after="0"/>
      <w:outlineLvl w:val="8"/>
    </w:pPr>
    <w:rPr>
      <w:rFonts w:asciiTheme="minorHAnsi" w:hAnsiTheme="minorHAnsi"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5535A"/>
    <w:rPr>
      <w:rFonts w:ascii="Times New Roman" w:hAnsi="Times New Roman" w:cs="Arial"/>
      <w:b/>
      <w:color w:val="156082" w:themeColor="accent1"/>
      <w:kern w:val="0"/>
      <w:sz w:val="28"/>
      <w:szCs w:val="28"/>
      <w:lang w:val="en"/>
      <w14:ligatures w14:val="none"/>
    </w:rPr>
  </w:style>
  <w:style w:type="paragraph" w:styleId="Title">
    <w:name w:val="Title"/>
    <w:basedOn w:val="Normal"/>
    <w:next w:val="Normal"/>
    <w:link w:val="TitleChar"/>
    <w:uiPriority w:val="10"/>
    <w:qFormat/>
    <w:rsid w:val="00BC1732"/>
    <w:pPr>
      <w:spacing w:after="80"/>
      <w:contextualSpacing/>
    </w:pPr>
    <w:rPr>
      <w:rFonts w:eastAsiaTheme="majorEastAsia" w:cstheme="majorBidi"/>
      <w:b/>
      <w:spacing w:val="-10"/>
      <w:kern w:val="28"/>
      <w:sz w:val="32"/>
      <w:szCs w:val="56"/>
    </w:rPr>
  </w:style>
  <w:style w:type="character" w:styleId="TitleChar" w:customStyle="1">
    <w:name w:val="Title Char"/>
    <w:basedOn w:val="DefaultParagraphFont"/>
    <w:link w:val="Title"/>
    <w:uiPriority w:val="10"/>
    <w:rsid w:val="00BC1732"/>
    <w:rPr>
      <w:rFonts w:ascii="Times New Roman" w:hAnsi="Times New Roman" w:eastAsiaTheme="majorEastAsia" w:cstheme="majorBidi"/>
      <w:b/>
      <w:spacing w:val="-10"/>
      <w:kern w:val="28"/>
      <w:sz w:val="32"/>
      <w:szCs w:val="56"/>
    </w:rPr>
  </w:style>
  <w:style w:type="character" w:styleId="Heading2Char" w:customStyle="1">
    <w:name w:val="Heading 2 Char"/>
    <w:basedOn w:val="DefaultParagraphFont"/>
    <w:link w:val="Heading2"/>
    <w:uiPriority w:val="9"/>
    <w:rsid w:val="00663FB8"/>
    <w:rPr>
      <w:rFonts w:ascii="Times New Roman" w:hAnsi="Times New Roman" w:eastAsia="Arial" w:cs="Arial"/>
      <w:b/>
      <w:kern w:val="0"/>
      <w:szCs w:val="32"/>
      <w:lang w:val="en"/>
      <w14:ligatures w14:val="none"/>
    </w:rPr>
  </w:style>
  <w:style w:type="character" w:styleId="Heading3Char" w:customStyle="1">
    <w:name w:val="Heading 3 Char"/>
    <w:basedOn w:val="DefaultParagraphFont"/>
    <w:link w:val="Heading3"/>
    <w:uiPriority w:val="9"/>
    <w:rsid w:val="00A6451C"/>
    <w:rPr>
      <w:rFonts w:ascii="Times New Roman" w:hAnsi="Times New Roman" w:eastAsiaTheme="majorEastAsia" w:cstheme="majorBidi"/>
      <w:b/>
      <w:color w:val="215E99" w:themeColor="text2" w:themeTint="BF"/>
      <w:kern w:val="0"/>
      <w:szCs w:val="28"/>
      <w:lang w:val="en"/>
      <w14:ligatures w14:val="none"/>
    </w:rPr>
  </w:style>
  <w:style w:type="character" w:styleId="Heading4Char" w:customStyle="1">
    <w:name w:val="Heading 4 Char"/>
    <w:basedOn w:val="DefaultParagraphFont"/>
    <w:link w:val="Heading4"/>
    <w:uiPriority w:val="9"/>
    <w:semiHidden/>
    <w:rsid w:val="0036534F"/>
    <w:rPr>
      <w:rFonts w:eastAsiaTheme="majorEastAsia" w:cstheme="majorBidi"/>
      <w:i/>
      <w:iCs/>
      <w:color w:val="0F4761" w:themeColor="accent1" w:themeShade="BF"/>
      <w:kern w:val="0"/>
      <w:szCs w:val="22"/>
      <w:lang w:val="en"/>
      <w14:ligatures w14:val="none"/>
    </w:rPr>
  </w:style>
  <w:style w:type="character" w:styleId="Heading5Char" w:customStyle="1">
    <w:name w:val="Heading 5 Char"/>
    <w:basedOn w:val="DefaultParagraphFont"/>
    <w:link w:val="Heading5"/>
    <w:uiPriority w:val="9"/>
    <w:semiHidden/>
    <w:rsid w:val="0036534F"/>
    <w:rPr>
      <w:rFonts w:eastAsiaTheme="majorEastAsia" w:cstheme="majorBidi"/>
      <w:color w:val="0F4761" w:themeColor="accent1" w:themeShade="BF"/>
      <w:kern w:val="0"/>
      <w:szCs w:val="22"/>
      <w:lang w:val="en"/>
      <w14:ligatures w14:val="none"/>
    </w:rPr>
  </w:style>
  <w:style w:type="character" w:styleId="Heading6Char" w:customStyle="1">
    <w:name w:val="Heading 6 Char"/>
    <w:basedOn w:val="DefaultParagraphFont"/>
    <w:link w:val="Heading6"/>
    <w:uiPriority w:val="9"/>
    <w:semiHidden/>
    <w:rsid w:val="0036534F"/>
    <w:rPr>
      <w:rFonts w:eastAsiaTheme="majorEastAsia" w:cstheme="majorBidi"/>
      <w:i/>
      <w:iCs/>
      <w:color w:val="595959" w:themeColor="text1" w:themeTint="A6"/>
      <w:kern w:val="0"/>
      <w:szCs w:val="22"/>
      <w:lang w:val="en"/>
      <w14:ligatures w14:val="none"/>
    </w:rPr>
  </w:style>
  <w:style w:type="character" w:styleId="Heading7Char" w:customStyle="1">
    <w:name w:val="Heading 7 Char"/>
    <w:basedOn w:val="DefaultParagraphFont"/>
    <w:link w:val="Heading7"/>
    <w:uiPriority w:val="9"/>
    <w:semiHidden/>
    <w:rsid w:val="0036534F"/>
    <w:rPr>
      <w:rFonts w:eastAsiaTheme="majorEastAsia" w:cstheme="majorBidi"/>
      <w:color w:val="595959" w:themeColor="text1" w:themeTint="A6"/>
      <w:kern w:val="0"/>
      <w:szCs w:val="22"/>
      <w:lang w:val="en"/>
      <w14:ligatures w14:val="none"/>
    </w:rPr>
  </w:style>
  <w:style w:type="character" w:styleId="Heading8Char" w:customStyle="1">
    <w:name w:val="Heading 8 Char"/>
    <w:basedOn w:val="DefaultParagraphFont"/>
    <w:link w:val="Heading8"/>
    <w:uiPriority w:val="9"/>
    <w:semiHidden/>
    <w:rsid w:val="0036534F"/>
    <w:rPr>
      <w:rFonts w:eastAsiaTheme="majorEastAsia" w:cstheme="majorBidi"/>
      <w:i/>
      <w:iCs/>
      <w:color w:val="272727" w:themeColor="text1" w:themeTint="D8"/>
      <w:kern w:val="0"/>
      <w:szCs w:val="22"/>
      <w:lang w:val="en"/>
      <w14:ligatures w14:val="none"/>
    </w:rPr>
  </w:style>
  <w:style w:type="character" w:styleId="Heading9Char" w:customStyle="1">
    <w:name w:val="Heading 9 Char"/>
    <w:basedOn w:val="DefaultParagraphFont"/>
    <w:link w:val="Heading9"/>
    <w:uiPriority w:val="9"/>
    <w:semiHidden/>
    <w:rsid w:val="0036534F"/>
    <w:rPr>
      <w:rFonts w:eastAsiaTheme="majorEastAsia" w:cstheme="majorBidi"/>
      <w:color w:val="272727" w:themeColor="text1" w:themeTint="D8"/>
      <w:kern w:val="0"/>
      <w:szCs w:val="22"/>
      <w:lang w:val="en"/>
      <w14:ligatures w14:val="none"/>
    </w:rPr>
  </w:style>
  <w:style w:type="paragraph" w:styleId="Subtitle">
    <w:name w:val="Subtitle"/>
    <w:basedOn w:val="Normal"/>
    <w:next w:val="Normal"/>
    <w:link w:val="SubtitleChar"/>
    <w:uiPriority w:val="11"/>
    <w:qFormat/>
    <w:rsid w:val="0036534F"/>
    <w:pPr>
      <w:numPr>
        <w:ilvl w:val="1"/>
      </w:numPr>
      <w:spacing w:after="160"/>
    </w:pPr>
    <w:rPr>
      <w:rFonts w:asciiTheme="minorHAnsi" w:hAnsiTheme="minorHAnsi"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36534F"/>
    <w:rPr>
      <w:rFonts w:eastAsiaTheme="majorEastAsia" w:cstheme="majorBidi"/>
      <w:color w:val="595959" w:themeColor="text1" w:themeTint="A6"/>
      <w:spacing w:val="15"/>
      <w:kern w:val="0"/>
      <w:sz w:val="28"/>
      <w:szCs w:val="28"/>
      <w:lang w:val="en"/>
      <w14:ligatures w14:val="none"/>
    </w:rPr>
  </w:style>
  <w:style w:type="paragraph" w:styleId="Quote">
    <w:name w:val="Quote"/>
    <w:basedOn w:val="Normal"/>
    <w:next w:val="Normal"/>
    <w:link w:val="QuoteChar"/>
    <w:uiPriority w:val="29"/>
    <w:qFormat/>
    <w:rsid w:val="0036534F"/>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36534F"/>
    <w:rPr>
      <w:rFonts w:ascii="Times New Roman" w:hAnsi="Times New Roman" w:cs="Arial"/>
      <w:i/>
      <w:iCs/>
      <w:color w:val="404040" w:themeColor="text1" w:themeTint="BF"/>
      <w:kern w:val="0"/>
      <w:szCs w:val="22"/>
      <w:lang w:val="en"/>
      <w14:ligatures w14:val="none"/>
    </w:rPr>
  </w:style>
  <w:style w:type="paragraph" w:styleId="ListParagraph">
    <w:name w:val="List Paragraph"/>
    <w:basedOn w:val="Normal"/>
    <w:uiPriority w:val="34"/>
    <w:qFormat/>
    <w:rsid w:val="0036534F"/>
    <w:pPr>
      <w:ind w:left="720"/>
      <w:contextualSpacing/>
    </w:pPr>
  </w:style>
  <w:style w:type="character" w:styleId="IntenseEmphasis">
    <w:name w:val="Intense Emphasis"/>
    <w:basedOn w:val="DefaultParagraphFont"/>
    <w:uiPriority w:val="21"/>
    <w:qFormat/>
    <w:rsid w:val="0036534F"/>
    <w:rPr>
      <w:i/>
      <w:iCs/>
      <w:color w:val="0F4761" w:themeColor="accent1" w:themeShade="BF"/>
    </w:rPr>
  </w:style>
  <w:style w:type="paragraph" w:styleId="IntenseQuote">
    <w:name w:val="Intense Quote"/>
    <w:basedOn w:val="Normal"/>
    <w:next w:val="Normal"/>
    <w:link w:val="IntenseQuoteChar"/>
    <w:uiPriority w:val="30"/>
    <w:qFormat/>
    <w:rsid w:val="0036534F"/>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36534F"/>
    <w:rPr>
      <w:rFonts w:ascii="Times New Roman" w:hAnsi="Times New Roman" w:cs="Arial"/>
      <w:i/>
      <w:iCs/>
      <w:color w:val="0F4761" w:themeColor="accent1" w:themeShade="BF"/>
      <w:kern w:val="0"/>
      <w:szCs w:val="22"/>
      <w:lang w:val="en"/>
      <w14:ligatures w14:val="none"/>
    </w:rPr>
  </w:style>
  <w:style w:type="character" w:styleId="IntenseReference">
    <w:name w:val="Intense Reference"/>
    <w:basedOn w:val="DefaultParagraphFont"/>
    <w:uiPriority w:val="32"/>
    <w:qFormat/>
    <w:rsid w:val="0036534F"/>
    <w:rPr>
      <w:b/>
      <w:bCs/>
      <w:smallCaps/>
      <w:color w:val="0F4761" w:themeColor="accent1" w:themeShade="BF"/>
      <w:spacing w:val="5"/>
    </w:rPr>
  </w:style>
  <w:style w:type="table" w:styleId="GridTable1Light-Accent1">
    <w:name w:val="Grid Table 1 Light Accent 1"/>
    <w:basedOn w:val="TableNormal"/>
    <w:uiPriority w:val="46"/>
    <w:rsid w:val="0036534F"/>
    <w:pPr>
      <w:spacing w:after="0" w:line="240" w:lineRule="auto"/>
    </w:pPr>
    <w:tblPr>
      <w:tblStyleRowBandSize w:val="1"/>
      <w:tblStyleColBandSize w:val="1"/>
      <w:tblBorders>
        <w:top w:val="single" w:color="83CAEB" w:themeColor="accent1" w:themeTint="66" w:sz="4" w:space="0"/>
        <w:left w:val="single" w:color="83CAEB" w:themeColor="accent1" w:themeTint="66" w:sz="4" w:space="0"/>
        <w:bottom w:val="single" w:color="83CAEB" w:themeColor="accent1" w:themeTint="66" w:sz="4" w:space="0"/>
        <w:right w:val="single" w:color="83CAEB" w:themeColor="accent1" w:themeTint="66" w:sz="4" w:space="0"/>
        <w:insideH w:val="single" w:color="83CAEB" w:themeColor="accent1" w:themeTint="66" w:sz="4" w:space="0"/>
        <w:insideV w:val="single" w:color="83CAEB" w:themeColor="accent1" w:themeTint="66" w:sz="4" w:space="0"/>
      </w:tblBorders>
    </w:tblPr>
    <w:tblStylePr w:type="firstRow">
      <w:rPr>
        <w:b/>
        <w:bCs/>
      </w:rPr>
      <w:tblPr/>
      <w:tcPr>
        <w:tcBorders>
          <w:bottom w:val="single" w:color="45B0E1" w:themeColor="accent1" w:themeTint="99" w:sz="12" w:space="0"/>
        </w:tcBorders>
      </w:tcPr>
    </w:tblStylePr>
    <w:tblStylePr w:type="lastRow">
      <w:rPr>
        <w:b/>
        <w:bCs/>
      </w:rPr>
      <w:tblPr/>
      <w:tcPr>
        <w:tcBorders>
          <w:top w:val="double" w:color="45B0E1" w:themeColor="accent1" w:themeTint="99" w:sz="2" w:space="0"/>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36534F"/>
    <w:pPr>
      <w:spacing w:after="0" w:line="240" w:lineRule="auto"/>
    </w:pPr>
    <w:tblPr>
      <w:tblStyleRowBandSize w:val="1"/>
      <w:tblStyleColBandSize w:val="1"/>
      <w:tblBorders>
        <w:top w:val="single" w:color="F6C5AC" w:themeColor="accent2" w:themeTint="66" w:sz="4" w:space="0"/>
        <w:left w:val="single" w:color="F6C5AC" w:themeColor="accent2" w:themeTint="66" w:sz="4" w:space="0"/>
        <w:bottom w:val="single" w:color="F6C5AC" w:themeColor="accent2" w:themeTint="66" w:sz="4" w:space="0"/>
        <w:right w:val="single" w:color="F6C5AC" w:themeColor="accent2" w:themeTint="66" w:sz="4" w:space="0"/>
        <w:insideH w:val="single" w:color="F6C5AC" w:themeColor="accent2" w:themeTint="66" w:sz="4" w:space="0"/>
        <w:insideV w:val="single" w:color="F6C5AC" w:themeColor="accent2" w:themeTint="66" w:sz="4" w:space="0"/>
      </w:tblBorders>
    </w:tblPr>
    <w:tblStylePr w:type="firstRow">
      <w:rPr>
        <w:b/>
        <w:bCs/>
      </w:rPr>
      <w:tblPr/>
      <w:tcPr>
        <w:tcBorders>
          <w:bottom w:val="single" w:color="F1A983" w:themeColor="accent2" w:themeTint="99" w:sz="12" w:space="0"/>
        </w:tcBorders>
      </w:tcPr>
    </w:tblStylePr>
    <w:tblStylePr w:type="lastRow">
      <w:rPr>
        <w:b/>
        <w:bCs/>
      </w:rPr>
      <w:tblPr/>
      <w:tcPr>
        <w:tcBorders>
          <w:top w:val="double" w:color="F1A983" w:themeColor="accent2" w:themeTint="99" w:sz="2" w:space="0"/>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36534F"/>
    <w:pPr>
      <w:spacing w:after="0" w:line="240" w:lineRule="auto"/>
    </w:pPr>
    <w:tblPr>
      <w:tblStyleRowBandSize w:val="1"/>
      <w:tblStyleColBandSize w:val="1"/>
      <w:tblBorders>
        <w:top w:val="single" w:color="E59EDC" w:themeColor="accent5" w:themeTint="66" w:sz="4" w:space="0"/>
        <w:left w:val="single" w:color="E59EDC" w:themeColor="accent5" w:themeTint="66" w:sz="4" w:space="0"/>
        <w:bottom w:val="single" w:color="E59EDC" w:themeColor="accent5" w:themeTint="66" w:sz="4" w:space="0"/>
        <w:right w:val="single" w:color="E59EDC" w:themeColor="accent5" w:themeTint="66" w:sz="4" w:space="0"/>
        <w:insideH w:val="single" w:color="E59EDC" w:themeColor="accent5" w:themeTint="66" w:sz="4" w:space="0"/>
        <w:insideV w:val="single" w:color="E59EDC" w:themeColor="accent5" w:themeTint="66" w:sz="4" w:space="0"/>
      </w:tblBorders>
    </w:tblPr>
    <w:tblStylePr w:type="firstRow">
      <w:rPr>
        <w:b/>
        <w:bCs/>
      </w:rPr>
      <w:tblPr/>
      <w:tcPr>
        <w:tcBorders>
          <w:bottom w:val="single" w:color="D86DCB" w:themeColor="accent5" w:themeTint="99" w:sz="12" w:space="0"/>
        </w:tcBorders>
      </w:tcPr>
    </w:tblStylePr>
    <w:tblStylePr w:type="lastRow">
      <w:rPr>
        <w:b/>
        <w:bCs/>
      </w:rPr>
      <w:tblPr/>
      <w:tcPr>
        <w:tcBorders>
          <w:top w:val="double" w:color="D86DCB" w:themeColor="accent5" w:themeTint="99" w:sz="2" w:space="0"/>
        </w:tcBorders>
      </w:tcPr>
    </w:tblStylePr>
    <w:tblStylePr w:type="firstCol">
      <w:rPr>
        <w:b/>
        <w:bCs/>
      </w:rPr>
    </w:tblStylePr>
    <w:tblStylePr w:type="lastCol">
      <w:rPr>
        <w:b/>
        <w:bCs/>
      </w:rPr>
    </w:tblStylePr>
  </w:style>
  <w:style w:type="table" w:styleId="GridTable4">
    <w:name w:val="Grid Table 4"/>
    <w:basedOn w:val="TableNormal"/>
    <w:uiPriority w:val="49"/>
    <w:rsid w:val="00141705"/>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insideV w:val="nil"/>
        </w:tcBorders>
        <w:shd w:val="clear" w:color="auto" w:fill="000000" w:themeFill="text1"/>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Header">
    <w:name w:val="header"/>
    <w:basedOn w:val="Normal"/>
    <w:link w:val="HeaderChar"/>
    <w:uiPriority w:val="99"/>
    <w:unhideWhenUsed/>
    <w:rsid w:val="00F602E8"/>
    <w:pPr>
      <w:tabs>
        <w:tab w:val="center" w:pos="4680"/>
        <w:tab w:val="right" w:pos="9360"/>
      </w:tabs>
      <w:spacing w:before="0" w:after="0" w:line="240" w:lineRule="auto"/>
    </w:pPr>
  </w:style>
  <w:style w:type="character" w:styleId="HeaderChar" w:customStyle="1">
    <w:name w:val="Header Char"/>
    <w:basedOn w:val="DefaultParagraphFont"/>
    <w:link w:val="Header"/>
    <w:uiPriority w:val="99"/>
    <w:rsid w:val="00F602E8"/>
    <w:rPr>
      <w:rFonts w:ascii="Times New Roman" w:hAnsi="Times New Roman" w:cs="Arial"/>
      <w:kern w:val="0"/>
      <w:szCs w:val="22"/>
      <w:lang w:val="en"/>
      <w14:ligatures w14:val="none"/>
    </w:rPr>
  </w:style>
  <w:style w:type="paragraph" w:styleId="Footer">
    <w:name w:val="footer"/>
    <w:basedOn w:val="Normal"/>
    <w:link w:val="FooterChar"/>
    <w:uiPriority w:val="99"/>
    <w:unhideWhenUsed/>
    <w:rsid w:val="00F602E8"/>
    <w:pPr>
      <w:tabs>
        <w:tab w:val="center" w:pos="4680"/>
        <w:tab w:val="right" w:pos="9360"/>
      </w:tabs>
      <w:spacing w:before="0" w:after="0" w:line="240" w:lineRule="auto"/>
    </w:pPr>
  </w:style>
  <w:style w:type="character" w:styleId="FooterChar" w:customStyle="1">
    <w:name w:val="Footer Char"/>
    <w:basedOn w:val="DefaultParagraphFont"/>
    <w:link w:val="Footer"/>
    <w:uiPriority w:val="99"/>
    <w:rsid w:val="00F602E8"/>
    <w:rPr>
      <w:rFonts w:ascii="Times New Roman" w:hAnsi="Times New Roman" w:cs="Arial"/>
      <w:kern w:val="0"/>
      <w:szCs w:val="22"/>
      <w:lang w:val="en"/>
      <w14:ligatures w14:val="none"/>
    </w:rPr>
  </w:style>
  <w:style w:type="paragraph" w:styleId="TOCHeading">
    <w:name w:val="TOC Heading"/>
    <w:basedOn w:val="Heading1"/>
    <w:next w:val="Normal"/>
    <w:uiPriority w:val="39"/>
    <w:unhideWhenUsed/>
    <w:qFormat/>
    <w:rsid w:val="00F602E8"/>
    <w:pPr>
      <w:spacing w:before="240" w:after="0" w:line="259" w:lineRule="auto"/>
      <w:jc w:val="left"/>
      <w:outlineLvl w:val="9"/>
    </w:pPr>
    <w:rPr>
      <w:rFonts w:asciiTheme="majorHAnsi" w:hAnsiTheme="majorHAnsi" w:eastAsiaTheme="majorEastAsia" w:cstheme="majorBidi"/>
      <w:b w:val="0"/>
      <w:color w:val="0F4761" w:themeColor="accent1" w:themeShade="BF"/>
      <w:sz w:val="32"/>
      <w:szCs w:val="32"/>
      <w:lang w:val="en-US"/>
    </w:rPr>
  </w:style>
  <w:style w:type="paragraph" w:styleId="TOC1">
    <w:name w:val="toc 1"/>
    <w:basedOn w:val="Normal"/>
    <w:next w:val="Normal"/>
    <w:autoRedefine/>
    <w:uiPriority w:val="39"/>
    <w:unhideWhenUsed/>
    <w:rsid w:val="00F602E8"/>
    <w:pPr>
      <w:spacing w:after="100"/>
    </w:pPr>
  </w:style>
  <w:style w:type="paragraph" w:styleId="TOC2">
    <w:name w:val="toc 2"/>
    <w:basedOn w:val="Normal"/>
    <w:next w:val="Normal"/>
    <w:autoRedefine/>
    <w:uiPriority w:val="39"/>
    <w:unhideWhenUsed/>
    <w:rsid w:val="00F602E8"/>
    <w:pPr>
      <w:spacing w:after="100"/>
      <w:ind w:left="240"/>
    </w:pPr>
  </w:style>
  <w:style w:type="character" w:styleId="Hyperlink">
    <w:name w:val="Hyperlink"/>
    <w:basedOn w:val="DefaultParagraphFont"/>
    <w:uiPriority w:val="99"/>
    <w:unhideWhenUsed/>
    <w:rsid w:val="00F602E8"/>
    <w:rPr>
      <w:color w:val="467886" w:themeColor="hyperlink"/>
      <w:u w:val="single"/>
    </w:rPr>
  </w:style>
  <w:style w:type="paragraph" w:styleId="Revision">
    <w:name w:val="Revision"/>
    <w:hidden/>
    <w:uiPriority w:val="99"/>
    <w:semiHidden/>
    <w:rsid w:val="00C548A0"/>
    <w:pPr>
      <w:spacing w:after="0" w:line="240" w:lineRule="auto"/>
    </w:pPr>
    <w:rPr>
      <w:rFonts w:ascii="Times New Roman" w:hAnsi="Times New Roman" w:cs="Arial"/>
      <w:kern w:val="0"/>
      <w:szCs w:val="22"/>
      <w:lang w:val="en"/>
      <w14:ligatures w14:val="none"/>
    </w:rPr>
  </w:style>
  <w:style w:type="character" w:styleId="UnresolvedMention">
    <w:name w:val="Unresolved Mention"/>
    <w:basedOn w:val="DefaultParagraphFont"/>
    <w:uiPriority w:val="99"/>
    <w:semiHidden/>
    <w:unhideWhenUsed/>
    <w:rsid w:val="0081543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image" Target="media/image4.png" Id="rId13" /><Relationship Type="http://schemas.openxmlformats.org/officeDocument/2006/relationships/image" Target="media/image9.jpeg" Id="rId18" /><Relationship Type="http://schemas.openxmlformats.org/officeDocument/2006/relationships/customXml" Target="../customXml/item3.xml" Id="rId3" /><Relationship Type="http://schemas.openxmlformats.org/officeDocument/2006/relationships/image" Target="media/image12.jpeg" Id="rId21" /><Relationship Type="http://schemas.openxmlformats.org/officeDocument/2006/relationships/footnotes" Target="footnotes.xml" Id="rId7" /><Relationship Type="http://schemas.openxmlformats.org/officeDocument/2006/relationships/image" Target="media/image3.png" Id="rId12" /><Relationship Type="http://schemas.openxmlformats.org/officeDocument/2006/relationships/image" Target="media/image8.png" Id="rId17" /><Relationship Type="http://schemas.openxmlformats.org/officeDocument/2006/relationships/customXml" Target="../customXml/item2.xml" Id="rId2" /><Relationship Type="http://schemas.openxmlformats.org/officeDocument/2006/relationships/image" Target="media/image7.jpeg" Id="rId16" /><Relationship Type="http://schemas.openxmlformats.org/officeDocument/2006/relationships/image" Target="media/image11.png" Id="rId20"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image" Target="media/image2.jpeg" Id="rId11" /><Relationship Type="http://schemas.openxmlformats.org/officeDocument/2006/relationships/theme" Target="theme/theme1.xml" Id="rId24" /><Relationship Type="http://schemas.openxmlformats.org/officeDocument/2006/relationships/settings" Target="settings.xml" Id="rId5" /><Relationship Type="http://schemas.openxmlformats.org/officeDocument/2006/relationships/image" Target="media/image6.png" Id="rId15" /><Relationship Type="http://schemas.openxmlformats.org/officeDocument/2006/relationships/fontTable" Target="fontTable.xml" Id="rId23" /><Relationship Type="http://schemas.openxmlformats.org/officeDocument/2006/relationships/footer" Target="footer1.xml" Id="rId10" /><Relationship Type="http://schemas.openxmlformats.org/officeDocument/2006/relationships/image" Target="media/image10.png" Id="rId19" /><Relationship Type="http://schemas.openxmlformats.org/officeDocument/2006/relationships/styles" Target="styles.xml" Id="rId4" /><Relationship Type="http://schemas.openxmlformats.org/officeDocument/2006/relationships/image" Target="media/image1.png" Id="rId9" /><Relationship Type="http://schemas.openxmlformats.org/officeDocument/2006/relationships/image" Target="media/image5.png" Id="rId14" /><Relationship Type="http://schemas.openxmlformats.org/officeDocument/2006/relationships/footer" Target="footer2.xml" Id="rId22"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170d7878-6d73-463a-a069-a6c57769e00c"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10" ma:contentTypeDescription="Create a new document." ma:contentTypeScope="" ma:versionID="056e961c811738048c289b191eee3bc8">
  <xsd:schema xmlns:xsd="http://www.w3.org/2001/XMLSchema" xmlns:xs="http://www.w3.org/2001/XMLSchema" xmlns:p="http://schemas.microsoft.com/office/2006/metadata/properties" xmlns:ns3="170d7878-6d73-463a-a069-a6c57769e00c" targetNamespace="http://schemas.microsoft.com/office/2006/metadata/properties" ma:root="true" ma:fieldsID="f11c08c06a6c47b075e434abd4d4af51" ns3:_="">
    <xsd:import namespace="170d7878-6d73-463a-a069-a6c57769e00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495458B-1CB7-4894-A7B2-617B3C53F170}">
  <ds:schemaRefs>
    <ds:schemaRef ds:uri="http://schemas.microsoft.com/sharepoint/v3/contenttype/forms"/>
  </ds:schemaRefs>
</ds:datastoreItem>
</file>

<file path=customXml/itemProps2.xml><?xml version="1.0" encoding="utf-8"?>
<ds:datastoreItem xmlns:ds="http://schemas.openxmlformats.org/officeDocument/2006/customXml" ds:itemID="{E2F51C98-4506-4B95-A455-DF6D1C661C6F}">
  <ds:schemaRefs>
    <ds:schemaRef ds:uri="http://schemas.microsoft.com/office/2006/metadata/properties"/>
    <ds:schemaRef ds:uri="http://schemas.microsoft.com/office/infopath/2007/PartnerControls"/>
    <ds:schemaRef ds:uri="170d7878-6d73-463a-a069-a6c57769e00c"/>
  </ds:schemaRefs>
</ds:datastoreItem>
</file>

<file path=customXml/itemProps3.xml><?xml version="1.0" encoding="utf-8"?>
<ds:datastoreItem xmlns:ds="http://schemas.openxmlformats.org/officeDocument/2006/customXml" ds:itemID="{601CE3E0-72B2-48B6-80F3-E5D633D4A5E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Ebru Karaoz (2412152)</dc:creator>
  <keywords/>
  <dc:description/>
  <lastModifiedBy>Ebru Karaoz (2412152)</lastModifiedBy>
  <revision>98</revision>
  <dcterms:created xsi:type="dcterms:W3CDTF">2026-01-22T09:38:00.0000000Z</dcterms:created>
  <dcterms:modified xsi:type="dcterms:W3CDTF">2026-01-22T17:01:26.8245627Z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9d33feab-5e3a-4e60-a59f-c8d32c1354b6</vt:lpwstr>
  </property>
  <property fmtid="{D5CDD505-2E9C-101B-9397-08002B2CF9AE}" pid="3" name="ContentTypeId">
    <vt:lpwstr>0x01010097C3DBBDDD03D9419471381A29C7D881</vt:lpwstr>
  </property>
</Properties>
</file>