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689C8" w14:textId="1464CA2C" w:rsidR="00A57F6A" w:rsidRPr="00A57F6A" w:rsidRDefault="00A57F6A" w:rsidP="00A57F6A">
      <w:pPr>
        <w:rPr>
          <w:b/>
        </w:rPr>
      </w:pPr>
      <w:r w:rsidRPr="00A57F6A">
        <w:drawing>
          <wp:anchor distT="0" distB="0" distL="114300" distR="114300" simplePos="0" relativeHeight="251659264" behindDoc="0" locked="0" layoutInCell="1" allowOverlap="1" wp14:anchorId="05439CE4" wp14:editId="44E4B0F0">
            <wp:simplePos x="0" y="0"/>
            <wp:positionH relativeFrom="column">
              <wp:align>left</wp:align>
            </wp:positionH>
            <wp:positionV relativeFrom="paragraph">
              <wp:align>top</wp:align>
            </wp:positionV>
            <wp:extent cx="1809750" cy="723900"/>
            <wp:effectExtent l="0" t="0" r="0" b="0"/>
            <wp:wrapSquare wrapText="bothSides"/>
            <wp:docPr id="882140244"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A57F6A">
        <w:t xml:space="preserve"> </w:t>
      </w:r>
      <w:r w:rsidRPr="00A57F6A">
        <w:br/>
      </w:r>
      <w:r w:rsidRPr="00A57F6A">
        <w:rPr>
          <w:b/>
        </w:rPr>
        <w:t>APPENDIX GA36c</w:t>
      </w:r>
    </w:p>
    <w:p w14:paraId="604084E9" w14:textId="77777777" w:rsidR="00A57F6A" w:rsidRDefault="00A57F6A" w:rsidP="00A57F6A"/>
    <w:p w14:paraId="5454F674" w14:textId="77777777" w:rsidR="00426125" w:rsidRDefault="00426125" w:rsidP="00A57F6A"/>
    <w:p w14:paraId="6BC4898B" w14:textId="77777777" w:rsidR="00426125" w:rsidRPr="00A57F6A" w:rsidRDefault="00426125" w:rsidP="00A57F6A"/>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57F6A" w:rsidRPr="00A57F6A" w14:paraId="46EEADB4"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637D4E2" w14:textId="3E7357E0" w:rsidR="00A57F6A" w:rsidRPr="00A57F6A" w:rsidRDefault="00A57F6A" w:rsidP="00800F26">
            <w:pPr>
              <w:jc w:val="center"/>
              <w:rPr>
                <w:b/>
              </w:rPr>
            </w:pPr>
            <w:r w:rsidRPr="00A57F6A">
              <w:rPr>
                <w:b/>
              </w:rPr>
              <w:t>LEVEL 6 ASSESSMENT SPECIFICATION</w:t>
            </w:r>
          </w:p>
        </w:tc>
      </w:tr>
    </w:tbl>
    <w:p w14:paraId="4D8AB6CB" w14:textId="77777777" w:rsidR="00A57F6A" w:rsidRPr="00A57F6A" w:rsidRDefault="00A57F6A" w:rsidP="00A57F6A">
      <w:pPr>
        <w:rPr>
          <w:b/>
          <w:i/>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A57F6A" w:rsidRPr="00A57F6A" w14:paraId="68A8754D" w14:textId="77777777" w:rsidTr="00800F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D9372DE" w14:textId="77777777" w:rsidR="00A57F6A" w:rsidRPr="00A57F6A" w:rsidRDefault="00A57F6A" w:rsidP="00A57F6A">
            <w:pPr>
              <w:rPr>
                <w:b/>
              </w:rPr>
            </w:pPr>
            <w:r w:rsidRPr="00A57F6A">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CAAA8C7" w14:textId="64B47795" w:rsidR="00A57F6A" w:rsidRPr="00A57F6A" w:rsidRDefault="00426125" w:rsidP="00A57F6A">
            <w:pPr>
              <w:rPr>
                <w:b/>
              </w:rPr>
            </w:pPr>
            <w:r>
              <w:rPr>
                <w:b/>
              </w:rPr>
              <w:t>Sarah Louise Hoffmann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A19DD58" w14:textId="77777777" w:rsidR="00A57F6A" w:rsidRPr="00A57F6A" w:rsidRDefault="00A57F6A" w:rsidP="00A57F6A">
            <w:pPr>
              <w:rPr>
                <w:b/>
              </w:rPr>
            </w:pPr>
            <w:r w:rsidRPr="00A57F6A">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0D4D46F9" w14:textId="5810B00B" w:rsidR="00A57F6A" w:rsidRPr="00A57F6A" w:rsidRDefault="00426125" w:rsidP="00A57F6A">
            <w:pPr>
              <w:rPr>
                <w:b/>
              </w:rPr>
            </w:pPr>
            <w:r>
              <w:rPr>
                <w:b/>
              </w:rPr>
              <w:t>2315599</w:t>
            </w:r>
          </w:p>
        </w:tc>
      </w:tr>
      <w:tr w:rsidR="00A57F6A" w:rsidRPr="00A57F6A" w14:paraId="2AE14665" w14:textId="77777777" w:rsidTr="00800F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1A909AE" w14:textId="77777777" w:rsidR="00A57F6A" w:rsidRPr="00A57F6A" w:rsidRDefault="00A57F6A" w:rsidP="00A57F6A">
            <w:pPr>
              <w:rPr>
                <w:b/>
              </w:rPr>
            </w:pPr>
            <w:r w:rsidRPr="00A57F6A">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CE5119B" w14:textId="77777777" w:rsidR="00A57F6A" w:rsidRPr="00A57F6A" w:rsidRDefault="00A57F6A" w:rsidP="00A57F6A">
            <w:pPr>
              <w:rPr>
                <w:b/>
              </w:rPr>
            </w:pPr>
            <w:r w:rsidRPr="00A57F6A">
              <w:rPr>
                <w:b/>
              </w:rPr>
              <w:t>LLB Law and Legal Practice</w:t>
            </w:r>
          </w:p>
        </w:tc>
      </w:tr>
      <w:tr w:rsidR="00A57F6A" w:rsidRPr="00A57F6A" w14:paraId="76EF896C" w14:textId="77777777" w:rsidTr="00800F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F565780" w14:textId="77777777" w:rsidR="00A57F6A" w:rsidRPr="00A57F6A" w:rsidRDefault="00A57F6A" w:rsidP="00A57F6A">
            <w:pPr>
              <w:rPr>
                <w:b/>
              </w:rPr>
            </w:pPr>
            <w:r w:rsidRPr="00A57F6A">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E6795ED" w14:textId="77777777" w:rsidR="00A57F6A" w:rsidRPr="00A57F6A" w:rsidRDefault="00A57F6A" w:rsidP="00A57F6A">
            <w:pPr>
              <w:rPr>
                <w:b/>
              </w:rPr>
            </w:pPr>
            <w:r w:rsidRPr="00A57F6A">
              <w:rPr>
                <w:b/>
              </w:rPr>
              <w:t>Principles of Professional Legal Practice</w:t>
            </w:r>
          </w:p>
        </w:tc>
      </w:tr>
      <w:tr w:rsidR="00426125" w:rsidRPr="00A57F6A" w14:paraId="2FF1F093" w14:textId="77777777" w:rsidTr="00800F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E77FCC1" w14:textId="77777777" w:rsidR="00426125" w:rsidRPr="00A57F6A" w:rsidRDefault="00426125" w:rsidP="00426125">
            <w:pPr>
              <w:rPr>
                <w:b/>
              </w:rPr>
            </w:pPr>
            <w:r w:rsidRPr="00A57F6A">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C285028" w14:textId="77777777" w:rsidR="00426125" w:rsidRPr="00A57F6A" w:rsidRDefault="00426125" w:rsidP="00426125">
            <w:pPr>
              <w:rPr>
                <w:b/>
              </w:rPr>
            </w:pPr>
            <w:r w:rsidRPr="00A57F6A">
              <w:rPr>
                <w:b/>
              </w:rPr>
              <w:t>BMLC6010</w:t>
            </w:r>
          </w:p>
        </w:tc>
        <w:tc>
          <w:tcPr>
            <w:tcW w:w="2266" w:type="dxa"/>
            <w:tcBorders>
              <w:top w:val="single" w:sz="4" w:space="0" w:color="auto"/>
              <w:left w:val="single" w:sz="4" w:space="0" w:color="auto"/>
              <w:bottom w:val="single" w:sz="4" w:space="0" w:color="auto"/>
              <w:right w:val="single" w:sz="4" w:space="0" w:color="auto"/>
            </w:tcBorders>
            <w:shd w:val="clear" w:color="auto" w:fill="D9D9D9"/>
          </w:tcPr>
          <w:p w14:paraId="7197D26A" w14:textId="7C0B52F0" w:rsidR="00426125" w:rsidRPr="00A57F6A" w:rsidRDefault="00426125" w:rsidP="00426125">
            <w:pPr>
              <w:rPr>
                <w:b/>
              </w:rPr>
            </w:pPr>
            <w:r w:rsidRPr="00A57F6A">
              <w:rPr>
                <w:b/>
              </w:rPr>
              <w:t>Assignment Title:</w:t>
            </w:r>
          </w:p>
        </w:tc>
        <w:tc>
          <w:tcPr>
            <w:tcW w:w="2266" w:type="dxa"/>
            <w:tcBorders>
              <w:top w:val="single" w:sz="4" w:space="0" w:color="auto"/>
              <w:left w:val="single" w:sz="4" w:space="0" w:color="auto"/>
              <w:bottom w:val="single" w:sz="4" w:space="0" w:color="auto"/>
              <w:right w:val="single" w:sz="4" w:space="0" w:color="auto"/>
            </w:tcBorders>
          </w:tcPr>
          <w:p w14:paraId="68701C13" w14:textId="5979B5ED" w:rsidR="00426125" w:rsidRPr="00A57F6A" w:rsidRDefault="00426125" w:rsidP="00426125">
            <w:pPr>
              <w:rPr>
                <w:b/>
              </w:rPr>
            </w:pPr>
            <w:r w:rsidRPr="00A57F6A">
              <w:rPr>
                <w:b/>
              </w:rPr>
              <w:t>Client Interview and drafting an Attendance note</w:t>
            </w:r>
          </w:p>
        </w:tc>
      </w:tr>
    </w:tbl>
    <w:p w14:paraId="2E09C0E8" w14:textId="7AB2DD53" w:rsidR="00426125" w:rsidRDefault="00426125"/>
    <w:p w14:paraId="3AE1A041" w14:textId="4DA19164" w:rsidR="00426125" w:rsidRPr="00800F26" w:rsidRDefault="00BE51B7" w:rsidP="00800F26">
      <w:pPr>
        <w:jc w:val="both"/>
        <w:rPr>
          <w:sz w:val="28"/>
          <w:szCs w:val="28"/>
        </w:rPr>
      </w:pPr>
      <w:r w:rsidRPr="00800F26">
        <w:rPr>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1601459" w14:textId="5DF94F9B" w:rsidR="00BE51B7" w:rsidRDefault="00BE51B7">
      <w:r>
        <w:br w:type="page"/>
      </w:r>
    </w:p>
    <w:p w14:paraId="67BA8CA7" w14:textId="7452E962" w:rsidR="00A57F6A" w:rsidRDefault="00426125" w:rsidP="007B0541">
      <w:pPr>
        <w:pStyle w:val="Heading1"/>
      </w:pPr>
      <w:r>
        <w:lastRenderedPageBreak/>
        <w:t xml:space="preserve">ATTENDANCE NOTE </w:t>
      </w:r>
    </w:p>
    <w:p w14:paraId="6EFC7B11" w14:textId="77777777" w:rsidR="00426125" w:rsidRDefault="00426125"/>
    <w:p w14:paraId="4C2D8B2E" w14:textId="77777777" w:rsidR="00426125" w:rsidRDefault="00426125">
      <w:r w:rsidRPr="00426125">
        <w:rPr>
          <w:b/>
          <w:bCs/>
        </w:rPr>
        <w:t>Client:</w:t>
      </w:r>
      <w:r w:rsidRPr="00426125">
        <w:t xml:space="preserve"> Mr Ron Roland </w:t>
      </w:r>
    </w:p>
    <w:p w14:paraId="06054354" w14:textId="2EF5D927" w:rsidR="00426125" w:rsidRDefault="00426125">
      <w:r w:rsidRPr="00426125">
        <w:rPr>
          <w:b/>
          <w:bCs/>
        </w:rPr>
        <w:t>Fee</w:t>
      </w:r>
      <w:r w:rsidRPr="00426125">
        <w:rPr>
          <w:b/>
          <w:bCs/>
        </w:rPr>
        <w:noBreakHyphen/>
        <w:t>earner:</w:t>
      </w:r>
      <w:r w:rsidRPr="00426125">
        <w:t xml:space="preserve"> </w:t>
      </w:r>
      <w:r>
        <w:t>Sarah Loui</w:t>
      </w:r>
      <w:r w:rsidR="007B0541">
        <w:t>s</w:t>
      </w:r>
      <w:r>
        <w:t>e Hoffmann</w:t>
      </w:r>
      <w:r w:rsidRPr="00426125">
        <w:t xml:space="preserve"> </w:t>
      </w:r>
    </w:p>
    <w:p w14:paraId="4B641DE1" w14:textId="204B2E29" w:rsidR="00426125" w:rsidRDefault="00426125">
      <w:r w:rsidRPr="00426125">
        <w:rPr>
          <w:b/>
          <w:bCs/>
        </w:rPr>
        <w:t>Date:</w:t>
      </w:r>
      <w:r w:rsidRPr="00426125">
        <w:t xml:space="preserve"> </w:t>
      </w:r>
      <w:r>
        <w:t>1</w:t>
      </w:r>
      <w:r w:rsidRPr="00426125">
        <w:rPr>
          <w:vertAlign w:val="superscript"/>
        </w:rPr>
        <w:t>st</w:t>
      </w:r>
      <w:r>
        <w:t xml:space="preserve"> May 2026</w:t>
      </w:r>
      <w:r w:rsidRPr="00426125">
        <w:t xml:space="preserve"> </w:t>
      </w:r>
    </w:p>
    <w:p w14:paraId="0A4D9B56" w14:textId="12F490CF" w:rsidR="00426125" w:rsidRDefault="00426125">
      <w:r w:rsidRPr="00426125">
        <w:rPr>
          <w:b/>
          <w:bCs/>
        </w:rPr>
        <w:t>Matter:</w:t>
      </w:r>
      <w:r w:rsidRPr="00426125">
        <w:t xml:space="preserve"> Estate of Dawn Evans (deceased 1 March 2026)</w:t>
      </w:r>
    </w:p>
    <w:p w14:paraId="6B7F1E7E" w14:textId="74BE2C54" w:rsidR="00426125" w:rsidRDefault="007B0541" w:rsidP="007B0541">
      <w:pPr>
        <w:jc w:val="both"/>
      </w:pPr>
      <w:r w:rsidRPr="007B0541">
        <w:t>This attendance note records a detailed meeting with Mr Ron Roland (“Ron”), who attended our office</w:t>
      </w:r>
      <w:r w:rsidR="00772C41">
        <w:t>s</w:t>
      </w:r>
      <w:r w:rsidRPr="007B0541">
        <w:t xml:space="preserve"> </w:t>
      </w:r>
      <w:r w:rsidR="00BE51B7">
        <w:t>on 30</w:t>
      </w:r>
      <w:r w:rsidR="00BE51B7" w:rsidRPr="00BE51B7">
        <w:rPr>
          <w:vertAlign w:val="superscript"/>
        </w:rPr>
        <w:t>th</w:t>
      </w:r>
      <w:r w:rsidR="00BE51B7">
        <w:t xml:space="preserve"> April 2026 </w:t>
      </w:r>
      <w:r w:rsidRPr="007B0541">
        <w:t xml:space="preserve">to seek initial advice regarding the administration of the estate of his late sister, Dawn Evans (“Dawn”). </w:t>
      </w:r>
    </w:p>
    <w:p w14:paraId="1C3ADD4C" w14:textId="6F355FE4" w:rsidR="00987E07" w:rsidRPr="00987E07" w:rsidRDefault="00987E07" w:rsidP="007B0541">
      <w:pPr>
        <w:jc w:val="both"/>
        <w:rPr>
          <w:b/>
          <w:bCs/>
        </w:rPr>
      </w:pPr>
      <w:r w:rsidRPr="00987E07">
        <w:rPr>
          <w:b/>
          <w:bCs/>
        </w:rPr>
        <w:t>Executors</w:t>
      </w:r>
    </w:p>
    <w:p w14:paraId="02422162" w14:textId="02A74687" w:rsidR="007B0541" w:rsidRPr="007B0541" w:rsidRDefault="007B0541" w:rsidP="007B0541">
      <w:pPr>
        <w:jc w:val="both"/>
      </w:pPr>
      <w:r w:rsidRPr="007B0541">
        <w:t xml:space="preserve">The </w:t>
      </w:r>
      <w:r w:rsidR="00591F5F">
        <w:t>W</w:t>
      </w:r>
      <w:r w:rsidRPr="007B0541">
        <w:t xml:space="preserve">ill appoints three executors: Colin, Ron, and Carys. However, Dawn and Colin divorced in 2011. Under section 18A of the Wills Act 1837, divorce revokes any appointment of a former spouse as executor unless the </w:t>
      </w:r>
      <w:r w:rsidR="00772C41">
        <w:t>W</w:t>
      </w:r>
      <w:r w:rsidRPr="007B0541">
        <w:t xml:space="preserve">ill expressly states otherwise (Halsbury’s Laws of England, 2020). Dawn’s </w:t>
      </w:r>
      <w:r w:rsidR="00591F5F">
        <w:t>W</w:t>
      </w:r>
      <w:r w:rsidRPr="007B0541">
        <w:t xml:space="preserve">ill contains no such provision. Therefore, Colin is treated as having predeceased Dawn for the purposes of the </w:t>
      </w:r>
      <w:r w:rsidR="00772C41">
        <w:t>W</w:t>
      </w:r>
      <w:r w:rsidRPr="007B0541">
        <w:t>ill and cannot act.</w:t>
      </w:r>
      <w:r w:rsidR="008771B4">
        <w:t xml:space="preserve"> During the meeting Ron informed me that Colin is wealthy, has a good pension etc. Ron has not yet informed Colin about the Will. </w:t>
      </w:r>
      <w:r w:rsidR="00772C41">
        <w:t xml:space="preserve">However, </w:t>
      </w:r>
      <w:r w:rsidR="008771B4">
        <w:t>Ron believes that Colin’s son, Paul would have informed Colin of the contents of the Will as Ron provided Paul with a copy of the Will. Just being mindful in case Colin attempts to make a claim on the estate or t</w:t>
      </w:r>
      <w:r w:rsidR="00BE51B7">
        <w:t>r</w:t>
      </w:r>
      <w:r w:rsidR="008771B4">
        <w:t xml:space="preserve">ies to instruct as </w:t>
      </w:r>
      <w:r w:rsidR="00BE51B7">
        <w:t xml:space="preserve">an </w:t>
      </w:r>
      <w:r w:rsidR="008771B4">
        <w:t xml:space="preserve">executor. </w:t>
      </w:r>
    </w:p>
    <w:p w14:paraId="77E6E460" w14:textId="0BEFD2A5" w:rsidR="008771B4" w:rsidRDefault="007B0541" w:rsidP="007B0541">
      <w:pPr>
        <w:jc w:val="both"/>
      </w:pPr>
      <w:r w:rsidRPr="007B0541">
        <w:t>This leaves Ron and Carys as the valid executors. Executors may act jointly, or one may renounce or reserve power (Tristram &amp; Coote’s Probate Practice, 2022). Ron indicated that Carys is elderly and may prefer not to act.</w:t>
      </w:r>
      <w:r w:rsidR="00332D71">
        <w:t xml:space="preserve"> She was recently diagnosed with cancer and suffers with tiredness. </w:t>
      </w:r>
      <w:r w:rsidRPr="007B0541">
        <w:t xml:space="preserve"> </w:t>
      </w:r>
      <w:r w:rsidR="008771B4">
        <w:t>In addition, Carys’s son, Jack, tragically and suddenly died of a heart attack last Monday. In view of her current</w:t>
      </w:r>
      <w:r w:rsidR="00772C41">
        <w:t xml:space="preserve"> </w:t>
      </w:r>
      <w:r w:rsidR="008771B4">
        <w:t xml:space="preserve">health following her cancer treatment which has left her weak together with the loss of her </w:t>
      </w:r>
      <w:r w:rsidR="00BE51B7">
        <w:t>son</w:t>
      </w:r>
      <w:r w:rsidR="008771B4">
        <w:t xml:space="preserve">, I believe that acting as executor in this probate matter would be too much for her to deal with. </w:t>
      </w:r>
    </w:p>
    <w:p w14:paraId="48B27B8D" w14:textId="77777777" w:rsidR="00BE51B7" w:rsidRDefault="008771B4" w:rsidP="007B0541">
      <w:pPr>
        <w:jc w:val="both"/>
      </w:pPr>
      <w:r>
        <w:t xml:space="preserve">It seems very likely that Carys will </w:t>
      </w:r>
      <w:r w:rsidR="007B0541" w:rsidRPr="007B0541">
        <w:t xml:space="preserve">decide that she does not wish to participate actively in administering Dawn’s </w:t>
      </w:r>
      <w:proofErr w:type="gramStart"/>
      <w:r w:rsidR="007B0541" w:rsidRPr="007B0541">
        <w:t>estate</w:t>
      </w:r>
      <w:proofErr w:type="gramEnd"/>
      <w:r>
        <w:t xml:space="preserve"> so </w:t>
      </w:r>
      <w:r w:rsidR="007B0541" w:rsidRPr="007B0541">
        <w:t>she has two formal options available to her. First</w:t>
      </w:r>
      <w:r>
        <w:t>ly</w:t>
      </w:r>
      <w:r w:rsidR="007B0541" w:rsidRPr="007B0541">
        <w:t>, she may choose to renounce her executorship, which would remove her entirely from the process and prevent her from acting at any later stage; this is permitted under the Non</w:t>
      </w:r>
      <w:r w:rsidR="007B0541" w:rsidRPr="007B0541">
        <w:noBreakHyphen/>
        <w:t>Contentious Probate Rules 1987, rule 35, which sets out the procedure for an executor to step aside (NCPR, 1987). Alternatively, she may elect to have power reserved, a mechanism that allows another named executor</w:t>
      </w:r>
      <w:r w:rsidR="007B0541">
        <w:t xml:space="preserve"> (</w:t>
      </w:r>
      <w:r w:rsidR="007B0541" w:rsidRPr="007B0541">
        <w:t>in this case, Ron</w:t>
      </w:r>
      <w:r w:rsidR="007B0541">
        <w:t>) t</w:t>
      </w:r>
      <w:r w:rsidR="007B0541" w:rsidRPr="007B0541">
        <w:t xml:space="preserve">o take forward the administration independently, while preserving her right to apply for a grant </w:t>
      </w:r>
      <w:proofErr w:type="gramStart"/>
      <w:r w:rsidR="007B0541" w:rsidRPr="007B0541">
        <w:t>at a later date</w:t>
      </w:r>
      <w:proofErr w:type="gramEnd"/>
      <w:r w:rsidR="007B0541" w:rsidRPr="007B0541">
        <w:t xml:space="preserve"> should circumstances change (Tristram &amp; Coote’s Probate Practice, 2022). </w:t>
      </w:r>
    </w:p>
    <w:p w14:paraId="3E076912" w14:textId="748B5FE7" w:rsidR="007B0541" w:rsidRDefault="007B0541" w:rsidP="007B0541">
      <w:pPr>
        <w:jc w:val="both"/>
      </w:pPr>
      <w:r w:rsidRPr="007B0541">
        <w:lastRenderedPageBreak/>
        <w:t>During the meeting, Ron indicated that he is comfortable taking on the role of sole acting executor if Carys chooses either of these routes.</w:t>
      </w:r>
      <w:r w:rsidR="00D85547">
        <w:t xml:space="preserve"> He </w:t>
      </w:r>
      <w:r w:rsidR="008771B4">
        <w:t>p</w:t>
      </w:r>
      <w:r w:rsidR="00D85547">
        <w:t>resented well in the meeting and ha</w:t>
      </w:r>
      <w:r w:rsidR="008771B4">
        <w:t>s</w:t>
      </w:r>
      <w:r w:rsidR="00D85547">
        <w:t xml:space="preserve"> a good understanding of the family. </w:t>
      </w:r>
      <w:r w:rsidR="008771B4">
        <w:t xml:space="preserve">Ron confirmed that he is retired and has a lot of spare time </w:t>
      </w:r>
      <w:r w:rsidR="009121B8">
        <w:t>and feels in his own words “capable of dealing with the estate”. He has had a bad experience with another firm of solicitors who</w:t>
      </w:r>
      <w:r w:rsidR="00C97282">
        <w:t xml:space="preserve"> previously</w:t>
      </w:r>
      <w:r w:rsidR="009121B8">
        <w:t xml:space="preserve"> dealt with his late father’s estate stating that they were slow and expensive. </w:t>
      </w:r>
      <w:proofErr w:type="gramStart"/>
      <w:r w:rsidR="009121B8">
        <w:t>In order for</w:t>
      </w:r>
      <w:proofErr w:type="gramEnd"/>
      <w:r w:rsidR="009121B8">
        <w:t xml:space="preserve"> us to make an impression, I would suggest providing regular updates to Ron to ensure that the estate is being administered correctly and keep him informed of costs. </w:t>
      </w:r>
    </w:p>
    <w:p w14:paraId="6489D8D8" w14:textId="77777777" w:rsidR="009121B8" w:rsidRDefault="009121B8" w:rsidP="007B0541">
      <w:pPr>
        <w:jc w:val="both"/>
      </w:pPr>
    </w:p>
    <w:p w14:paraId="3013E004" w14:textId="3A3DC971" w:rsidR="00987E07" w:rsidRPr="00987E07" w:rsidRDefault="00987E07" w:rsidP="007B0541">
      <w:pPr>
        <w:jc w:val="both"/>
        <w:rPr>
          <w:b/>
          <w:bCs/>
        </w:rPr>
      </w:pPr>
      <w:r w:rsidRPr="00987E07">
        <w:rPr>
          <w:b/>
          <w:bCs/>
        </w:rPr>
        <w:t xml:space="preserve">Gifts in the Will </w:t>
      </w:r>
    </w:p>
    <w:p w14:paraId="36BE6CA0" w14:textId="77F2A1CE" w:rsidR="00987E07" w:rsidRPr="007B0541" w:rsidRDefault="00BE51B7" w:rsidP="007B0541">
      <w:pPr>
        <w:jc w:val="both"/>
      </w:pPr>
      <w:r>
        <w:t>D</w:t>
      </w:r>
      <w:r w:rsidR="00D85547" w:rsidRPr="00D85547">
        <w:t>awn</w:t>
      </w:r>
      <w:r>
        <w:t>’</w:t>
      </w:r>
      <w:r w:rsidR="00D85547" w:rsidRPr="00D85547">
        <w:t xml:space="preserve">s </w:t>
      </w:r>
      <w:r w:rsidR="00D85547">
        <w:t>W</w:t>
      </w:r>
      <w:r w:rsidR="00D85547" w:rsidRPr="00D85547">
        <w:t xml:space="preserve">ill included a specific bequest of her grandfather’s carriage clock to her son, Paul Evans. This gift was intended to pass only that </w:t>
      </w:r>
      <w:proofErr w:type="gramStart"/>
      <w:r w:rsidR="00D85547" w:rsidRPr="00D85547">
        <w:t>particular item</w:t>
      </w:r>
      <w:proofErr w:type="gramEnd"/>
      <w:r w:rsidR="00D85547" w:rsidRPr="00D85547">
        <w:t xml:space="preserve"> and nothing in its place. At the time of her death, however, the clock was no longer part of her belongings</w:t>
      </w:r>
      <w:r w:rsidR="00D85547">
        <w:t xml:space="preserve"> </w:t>
      </w:r>
      <w:proofErr w:type="gramStart"/>
      <w:r w:rsidR="00D85547">
        <w:t>due to the fact that</w:t>
      </w:r>
      <w:proofErr w:type="gramEnd"/>
      <w:r w:rsidR="00D85547">
        <w:t xml:space="preserve"> Dawn’s house was </w:t>
      </w:r>
      <w:r>
        <w:t xml:space="preserve">previously </w:t>
      </w:r>
      <w:r w:rsidR="00D85547">
        <w:t>burgled and the clock was stolen. Ron confirmed that it was of little monetary value but more sentimental as it was to be handed down through the family</w:t>
      </w:r>
      <w:r>
        <w:t xml:space="preserve"> as it had belonged to their grandfather</w:t>
      </w:r>
      <w:r w:rsidR="00D85547">
        <w:t>. T</w:t>
      </w:r>
      <w:r w:rsidR="00D85547" w:rsidRPr="00D85547">
        <w:t>he</w:t>
      </w:r>
      <w:r w:rsidR="00D85547" w:rsidRPr="00D85547">
        <w:t xml:space="preserve"> </w:t>
      </w:r>
      <w:r w:rsidR="00D85547">
        <w:t>W</w:t>
      </w:r>
      <w:r w:rsidR="00D85547" w:rsidRPr="00D85547">
        <w:t xml:space="preserve">ill did not contain any instruction to provide Paul with </w:t>
      </w:r>
      <w:r>
        <w:t xml:space="preserve">a sum of </w:t>
      </w:r>
      <w:r w:rsidR="00D85547" w:rsidRPr="00D85547">
        <w:t xml:space="preserve">money or another item if the clock could not be found. Under these circumstances, the gift is regarded as having lapsed because the subject of the gift no longer existed within the estate. As a result, Paul does not receive a replacement or compensation under this provision of the </w:t>
      </w:r>
      <w:r w:rsidR="00EC4828">
        <w:t>W</w:t>
      </w:r>
      <w:r w:rsidR="00D85547" w:rsidRPr="00D85547">
        <w:t>ill</w:t>
      </w:r>
      <w:r w:rsidR="00EC4828">
        <w:t>.</w:t>
      </w:r>
    </w:p>
    <w:p w14:paraId="7F15CC9E" w14:textId="731A2022" w:rsidR="007B0541" w:rsidRPr="007B0541" w:rsidRDefault="007B0541" w:rsidP="007B0541">
      <w:pPr>
        <w:jc w:val="both"/>
      </w:pPr>
      <w:r w:rsidRPr="007B0541">
        <w:t>.</w:t>
      </w:r>
    </w:p>
    <w:p w14:paraId="32BB1298" w14:textId="77777777" w:rsidR="00987E07" w:rsidRDefault="00987E07" w:rsidP="00987E07">
      <w:pPr>
        <w:jc w:val="both"/>
      </w:pPr>
      <w:r w:rsidRPr="00987E07">
        <w:t xml:space="preserve">The </w:t>
      </w:r>
      <w:r>
        <w:t>W</w:t>
      </w:r>
      <w:r w:rsidRPr="00987E07">
        <w:t>ill also provides for two pecuniary legacies of £500 each to Dawn’s granddaughters, Gail and Seren. These gifts are classified as general monetary legacies, meaning they are payable from the general estate rather than from any specific asset. Under the standard order of administration, pecuniary legacies must be satisfied before the residuary estate is distributed, provided there are sufficient funds available after payment of debts, funeral expenses, and testamentary costs. As there are no conditions attached to these gifts and no indication of any complicating factors, they are treated as straightforward obligations that the executors must discharge in the ordinary course of administering the estate</w:t>
      </w:r>
      <w:r>
        <w:t>.</w:t>
      </w:r>
    </w:p>
    <w:p w14:paraId="1DB60B48" w14:textId="77777777" w:rsidR="00987E07" w:rsidRDefault="00987E07" w:rsidP="00987E07">
      <w:pPr>
        <w:jc w:val="both"/>
      </w:pPr>
    </w:p>
    <w:p w14:paraId="10F424D1" w14:textId="4754DB52" w:rsidR="00987E07" w:rsidRDefault="00987E07" w:rsidP="00987E07">
      <w:pPr>
        <w:jc w:val="both"/>
      </w:pPr>
      <w:r w:rsidRPr="00D85547">
        <w:t xml:space="preserve">The </w:t>
      </w:r>
      <w:r w:rsidRPr="00D85547">
        <w:t>W</w:t>
      </w:r>
      <w:r w:rsidRPr="00D85547">
        <w:t>ill also includes a specific bequest of 500 shares in ABC plc to Dawn’s nephew, John. However, Ron</w:t>
      </w:r>
      <w:r w:rsidRPr="00D85547">
        <w:t xml:space="preserve"> has</w:t>
      </w:r>
      <w:r w:rsidRPr="00D85547">
        <w:t xml:space="preserve"> explained that Dawn had disposed of these shares several years before her death. In succession law, a specific gift of this kind can only take effect if the testator owns the exact asset at the time of death. Where the property no longer forms part of the estate, the doctrine of ademption applies, meaning the gift fails entirely because there is nothing left for the executors to transfer (Law Commission, 2017). </w:t>
      </w:r>
      <w:r w:rsidRPr="00D85547">
        <w:lastRenderedPageBreak/>
        <w:t xml:space="preserve">Dawn’s </w:t>
      </w:r>
      <w:r w:rsidRPr="00D85547">
        <w:t>W</w:t>
      </w:r>
      <w:r w:rsidRPr="00D85547">
        <w:t>ill contains no wording that would preserve the gift or provide a replacement. As a result, John is not entitled to receive the shares or any compensation from the estate.</w:t>
      </w:r>
      <w:r w:rsidR="00EC4828">
        <w:t xml:space="preserve"> This was explained to Ron during the meeting.</w:t>
      </w:r>
    </w:p>
    <w:p w14:paraId="6E36096A" w14:textId="50694D7F" w:rsidR="00987E07" w:rsidRPr="00987E07" w:rsidRDefault="00987E07" w:rsidP="00987E07">
      <w:pPr>
        <w:jc w:val="both"/>
        <w:rPr>
          <w:b/>
          <w:bCs/>
        </w:rPr>
      </w:pPr>
      <w:r w:rsidRPr="00987E07">
        <w:rPr>
          <w:b/>
          <w:bCs/>
        </w:rPr>
        <w:t>IHT</w:t>
      </w:r>
    </w:p>
    <w:p w14:paraId="6CE7BDDE" w14:textId="26897B91" w:rsidR="00976CF5" w:rsidRDefault="00987E07" w:rsidP="00987E07">
      <w:pPr>
        <w:jc w:val="both"/>
      </w:pPr>
      <w:r w:rsidRPr="00987E07">
        <w:t>Dawn’s estate is entitled to the standard £325,000 nil</w:t>
      </w:r>
      <w:r w:rsidRPr="00987E07">
        <w:noBreakHyphen/>
        <w:t xml:space="preserve">rate band, which applies to all individuals under section 7 of the Inheritance Tax Act 1984. As Dawn was divorced rather than widowed, there is no unused allowance from a deceased spouse that could be transferred to increase this threshold. </w:t>
      </w:r>
      <w:r w:rsidR="00EC4828">
        <w:t xml:space="preserve">This was explained to Ron at the meeting. </w:t>
      </w:r>
      <w:r w:rsidRPr="00987E07">
        <w:t>In addition, the Residence Nil</w:t>
      </w:r>
      <w:r w:rsidRPr="00987E07">
        <w:noBreakHyphen/>
        <w:t>Rate Band (RNRB) is not available in this case. The RNRB applies only where a qualifying residential interest is inherited by a direct descendant, such as a child or grandchild, as set out in the Finance Act 2015. Dawn’s property is instead left on trust for her nieces and nephews, who do not fall within the statutory definition of direct descendants, meaning the additional allowance cannot be claimed. The overall inheritance tax position will therefore depend on the total value of the estate. If the estate exceeds the £325,000 threshold, any amount above this figure will be taxed at the standard rate of 40%, in accordance with section 40 of the Inheritance Tax Act 1984. The value of Dawn’s home is likely to be the most significant factor in determining whether the estate exceeds the nil</w:t>
      </w:r>
      <w:r w:rsidRPr="00987E07">
        <w:noBreakHyphen/>
        <w:t>rate band. Executors are required to settle any inheritance tax due</w:t>
      </w:r>
      <w:r w:rsidR="00591F5F">
        <w:t xml:space="preserve"> (</w:t>
      </w:r>
      <w:r w:rsidRPr="00987E07">
        <w:t>at least the portion relating to real property</w:t>
      </w:r>
      <w:r w:rsidR="00591F5F">
        <w:t xml:space="preserve">) </w:t>
      </w:r>
      <w:r w:rsidRPr="00987E07">
        <w:t>before a grant of probate can be issued, in line with HMRC’s administrative requirements (HMRC, 2023).</w:t>
      </w:r>
    </w:p>
    <w:p w14:paraId="65A6B9A2" w14:textId="48C4C80C" w:rsidR="007B0541" w:rsidRDefault="00976CF5" w:rsidP="00987E07">
      <w:pPr>
        <w:jc w:val="both"/>
        <w:rPr>
          <w:b/>
          <w:bCs/>
        </w:rPr>
      </w:pPr>
      <w:r w:rsidRPr="00976CF5">
        <w:rPr>
          <w:b/>
          <w:bCs/>
        </w:rPr>
        <w:t>The Residuary Estate</w:t>
      </w:r>
    </w:p>
    <w:p w14:paraId="1CB42FCC" w14:textId="4B996ABA" w:rsidR="00EC4828" w:rsidRDefault="00976CF5" w:rsidP="00987E07">
      <w:pPr>
        <w:jc w:val="both"/>
      </w:pPr>
      <w:r w:rsidRPr="00976CF5">
        <w:t xml:space="preserve">Under the terms of Dawn’s </w:t>
      </w:r>
      <w:r w:rsidR="00591F5F">
        <w:t>W</w:t>
      </w:r>
      <w:r w:rsidRPr="00976CF5">
        <w:t xml:space="preserve">ill, the residue of her estate is left to the children of her sister, Carys, provided they both survive Dawn and have reached the age of 21. This wording creates a class gift subject to two conditions precedent, both of which were satisfied by Fiona and Jack, as each had attained the required age and survived Dawn’s death. In succession law, once a beneficiary fulfils all conditions attached to a gift, their interest becomes vested, meaning it forms part of their own estate and will pass according to their </w:t>
      </w:r>
      <w:r w:rsidR="00C97282">
        <w:t>W</w:t>
      </w:r>
      <w:r w:rsidRPr="00976CF5">
        <w:t xml:space="preserve">ill or, if they die intestate, under the statutory intestacy rules (Virgo, 2021). Importantly, a vested interest is not lost merely because the beneficiary dies before the estate is distributed, unless the </w:t>
      </w:r>
      <w:r w:rsidR="00C97282">
        <w:t>W</w:t>
      </w:r>
      <w:r w:rsidRPr="00976CF5">
        <w:t xml:space="preserve">ill expressly imposes an additional requirement, which Dawn’s </w:t>
      </w:r>
      <w:r w:rsidR="00C83333">
        <w:t>W</w:t>
      </w:r>
      <w:r w:rsidRPr="00976CF5">
        <w:t>ill does not. The Administration of Estates Act 1925, particularly section 1, confirms that a deceased person’s property</w:t>
      </w:r>
      <w:r w:rsidR="00591F5F">
        <w:t xml:space="preserve"> (</w:t>
      </w:r>
      <w:r w:rsidRPr="00976CF5">
        <w:t>including vested but undistributed interests</w:t>
      </w:r>
      <w:r w:rsidR="00591F5F">
        <w:t xml:space="preserve">) </w:t>
      </w:r>
      <w:r w:rsidRPr="00976CF5">
        <w:t xml:space="preserve">passes to their personal representatives. Case law reinforces this position: decisions such as </w:t>
      </w:r>
      <w:r w:rsidRPr="00976CF5">
        <w:rPr>
          <w:i/>
          <w:iCs/>
        </w:rPr>
        <w:t>Re Leeming</w:t>
      </w:r>
      <w:r w:rsidRPr="00976CF5">
        <w:t xml:space="preserve"> [1912] 1 Ch 828, </w:t>
      </w:r>
      <w:r w:rsidRPr="00976CF5">
        <w:rPr>
          <w:i/>
          <w:iCs/>
        </w:rPr>
        <w:t>Re Caines (deceased)</w:t>
      </w:r>
      <w:r w:rsidRPr="00976CF5">
        <w:t xml:space="preserve"> [1959] 1 WLR 375, and </w:t>
      </w:r>
      <w:r w:rsidRPr="00976CF5">
        <w:rPr>
          <w:i/>
          <w:iCs/>
        </w:rPr>
        <w:t>Re Rowland</w:t>
      </w:r>
      <w:r w:rsidRPr="00976CF5">
        <w:t xml:space="preserve"> [1963] Ch 1 establish that once a beneficiary’s interest has vested, it does not lapse and must instead be transferred to the beneficiary’s estate. </w:t>
      </w:r>
    </w:p>
    <w:p w14:paraId="26B27083" w14:textId="3A029215" w:rsidR="00E764DB" w:rsidRDefault="00976CF5" w:rsidP="00987E07">
      <w:pPr>
        <w:jc w:val="both"/>
      </w:pPr>
      <w:r w:rsidRPr="00976CF5">
        <w:lastRenderedPageBreak/>
        <w:t xml:space="preserve">Accordingly, Jack’s death shortly after Dawn does not affect his entitlement, and his 50% share of the residue now forms part of his own estate. His widow, Maureen, does not automatically inherit this share because it is governed by Jack’s own succession arrangements. If Jack left a valid </w:t>
      </w:r>
      <w:r w:rsidR="00C97282">
        <w:t>W</w:t>
      </w:r>
      <w:r w:rsidRPr="00976CF5">
        <w:t xml:space="preserve">ill, his vested interest </w:t>
      </w:r>
      <w:proofErr w:type="gramStart"/>
      <w:r w:rsidR="00591F5F">
        <w:t>w</w:t>
      </w:r>
      <w:r w:rsidRPr="00976CF5">
        <w:t>ill</w:t>
      </w:r>
      <w:proofErr w:type="gramEnd"/>
      <w:r w:rsidRPr="00976CF5">
        <w:t xml:space="preserve"> pass according to its terms; if he died intestate, the distribution </w:t>
      </w:r>
      <w:proofErr w:type="gramStart"/>
      <w:r w:rsidRPr="00976CF5">
        <w:t>will</w:t>
      </w:r>
      <w:proofErr w:type="gramEnd"/>
      <w:r w:rsidRPr="00976CF5">
        <w:t xml:space="preserve"> follow the rules set out in sections 46–49 of the Administration of Estates Act 1925, under which a surviving spouse inherits the entire estate only where there are no children. </w:t>
      </w:r>
    </w:p>
    <w:p w14:paraId="2CE00C6D" w14:textId="68813D4B" w:rsidR="00976CF5" w:rsidRDefault="00976CF5" w:rsidP="00987E07">
      <w:pPr>
        <w:jc w:val="both"/>
      </w:pPr>
      <w:r w:rsidRPr="00976CF5">
        <w:t>As Jack survived Dawn, the anti</w:t>
      </w:r>
      <w:r w:rsidRPr="00976CF5">
        <w:noBreakHyphen/>
        <w:t xml:space="preserve">lapse provisions in section 33 of the Wills Act 1837 do not apply. Overall, the executors must treat Jack’s share as part of his estate, and Maureen’s entitlement depends entirely on Jack’s own testamentary position rather than Dawn’s </w:t>
      </w:r>
      <w:r w:rsidR="00D4150B">
        <w:t>W</w:t>
      </w:r>
      <w:r w:rsidRPr="00976CF5">
        <w:t>ill.</w:t>
      </w:r>
      <w:r w:rsidR="00D4150B">
        <w:t xml:space="preserve"> I have requested for Ron to provide us with contact details for Maureen. I did advise during the meeting that I would need to research this in more detail before reporting back to him with more detailed advice. </w:t>
      </w:r>
      <w:r w:rsidR="00C83333">
        <w:t xml:space="preserve">Ron informed me that he believes that Jack died without a Will so therefore the law of intestacy would apply. </w:t>
      </w:r>
      <w:r w:rsidR="00E764DB" w:rsidRPr="00E764DB">
        <w:t xml:space="preserve">In practical terms, the executors of Dawn’s estate must treat Jack’s share as belonging to him and transfer it to the personal representatives of his estate. It is then for those administering Jack’s estate to distribute it according to his own </w:t>
      </w:r>
      <w:r w:rsidR="00C97282">
        <w:t>W</w:t>
      </w:r>
      <w:r w:rsidR="00E764DB" w:rsidRPr="00E764DB">
        <w:t>ill, if one exists, or under the intestacy rules if he died without one</w:t>
      </w:r>
      <w:r w:rsidR="00E764DB">
        <w:t>.</w:t>
      </w:r>
      <w:r w:rsidR="00E764DB" w:rsidRPr="00E764DB">
        <w:t xml:space="preserve"> </w:t>
      </w:r>
      <w:r w:rsidR="00E764DB" w:rsidRPr="00E764DB">
        <w:t>Under the intestacy rules in England and Wales, the distribution of a person’s estate is determined by the statutory order set out in the Administration of Estates Act 1925. These rules apply where someone dies without leaving a valid will. Where a person dies leaving a spouse and children, the spouse is entitled to the statutory legacy, all personal chattels, and a share of the remaining estate, with the balance passing to the children. Where a person dies leaving a spouse but no children, the spouse inherits the whole estate.</w:t>
      </w:r>
      <w:r w:rsidR="00E764DB">
        <w:t xml:space="preserve"> In this case it would be Maureen</w:t>
      </w:r>
      <w:r w:rsidR="00C97282">
        <w:t xml:space="preserve"> as they had no children</w:t>
      </w:r>
      <w:r w:rsidR="00E764DB">
        <w:t xml:space="preserve">. </w:t>
      </w:r>
    </w:p>
    <w:p w14:paraId="5C47E028" w14:textId="02DD05E8" w:rsidR="00D85547" w:rsidRPr="00D85547" w:rsidRDefault="00D85547" w:rsidP="00987E07">
      <w:pPr>
        <w:jc w:val="both"/>
        <w:rPr>
          <w:b/>
          <w:bCs/>
        </w:rPr>
      </w:pPr>
      <w:r w:rsidRPr="00D85547">
        <w:rPr>
          <w:b/>
          <w:bCs/>
        </w:rPr>
        <w:t>Assets</w:t>
      </w:r>
    </w:p>
    <w:p w14:paraId="2D43980D" w14:textId="61E6CB1F" w:rsidR="00D85547" w:rsidRDefault="00D85547" w:rsidP="00987E07">
      <w:pPr>
        <w:jc w:val="both"/>
      </w:pPr>
      <w:r>
        <w:t xml:space="preserve">Ron confirmed a list of assets and has confirmed that he has approached some institutions </w:t>
      </w:r>
      <w:proofErr w:type="gramStart"/>
      <w:r>
        <w:t>already:-</w:t>
      </w:r>
      <w:proofErr w:type="gramEnd"/>
      <w:r>
        <w:t xml:space="preserve"> </w:t>
      </w:r>
    </w:p>
    <w:p w14:paraId="40575D3F" w14:textId="479A53DD" w:rsidR="00D85547" w:rsidRDefault="00D85547" w:rsidP="00987E07">
      <w:pPr>
        <w:jc w:val="both"/>
      </w:pPr>
      <w:r>
        <w:t xml:space="preserve">Life insurance policy </w:t>
      </w:r>
      <w:r w:rsidR="00465713">
        <w:t>with Life Co Limited</w:t>
      </w:r>
      <w:r w:rsidR="00EC4828">
        <w:t xml:space="preserve"> </w:t>
      </w:r>
      <w:r>
        <w:t>– value</w:t>
      </w:r>
      <w:r w:rsidR="00465713">
        <w:t xml:space="preserve"> approx.</w:t>
      </w:r>
      <w:r>
        <w:t xml:space="preserve"> £10,000</w:t>
      </w:r>
      <w:r w:rsidR="00465713">
        <w:t xml:space="preserve">. Ron has already provided them with a dearth certificate. </w:t>
      </w:r>
    </w:p>
    <w:p w14:paraId="30877BF4" w14:textId="33170D80" w:rsidR="00D85547" w:rsidRDefault="00D85547" w:rsidP="00987E07">
      <w:pPr>
        <w:jc w:val="both"/>
      </w:pPr>
      <w:r>
        <w:t xml:space="preserve">State pension </w:t>
      </w:r>
      <w:r w:rsidR="00465713">
        <w:t xml:space="preserve">– Dawn was in receipt of a state and occupational pension. </w:t>
      </w:r>
      <w:r>
        <w:t>£2,500.00</w:t>
      </w:r>
      <w:r w:rsidR="00EC4828">
        <w:t xml:space="preserve"> </w:t>
      </w:r>
      <w:r>
        <w:t xml:space="preserve">per month. Dawn was retired </w:t>
      </w:r>
      <w:r w:rsidR="00B53D9D">
        <w:t>schoolteacher</w:t>
      </w:r>
      <w:r w:rsidR="00465713">
        <w:t xml:space="preserve">. Ron is enquiring </w:t>
      </w:r>
      <w:r w:rsidR="00EC4828">
        <w:t xml:space="preserve">as to </w:t>
      </w:r>
      <w:r w:rsidR="00465713">
        <w:t xml:space="preserve">whether there is a lump sum due to the estate or whether there has been an underpayment or overpayment. I advised him to contact HMRC and DWP to inform them of the death. </w:t>
      </w:r>
    </w:p>
    <w:p w14:paraId="1260578A" w14:textId="5099BBD6" w:rsidR="00D85547" w:rsidRDefault="00D85547" w:rsidP="00987E07">
      <w:pPr>
        <w:jc w:val="both"/>
      </w:pPr>
      <w:r>
        <w:t xml:space="preserve">Current account with </w:t>
      </w:r>
      <w:proofErr w:type="spellStart"/>
      <w:r>
        <w:t>Natwest</w:t>
      </w:r>
      <w:proofErr w:type="spellEnd"/>
      <w:r>
        <w:t xml:space="preserve"> - £3,000 in credit</w:t>
      </w:r>
    </w:p>
    <w:p w14:paraId="60A4508A" w14:textId="4583F990" w:rsidR="00D85547" w:rsidRDefault="00D85547" w:rsidP="00987E07">
      <w:pPr>
        <w:jc w:val="both"/>
      </w:pPr>
      <w:r>
        <w:t>Savings account with HSBC - £10,000</w:t>
      </w:r>
      <w:r w:rsidR="00EC4828">
        <w:t xml:space="preserve"> approx.</w:t>
      </w:r>
    </w:p>
    <w:p w14:paraId="5028FFC8" w14:textId="75C93246" w:rsidR="00D85547" w:rsidRDefault="00D85547" w:rsidP="00987E07">
      <w:pPr>
        <w:jc w:val="both"/>
      </w:pPr>
      <w:r>
        <w:t>Savings with Santander - £5,000</w:t>
      </w:r>
      <w:r w:rsidR="00EC4828">
        <w:t xml:space="preserve"> approx.</w:t>
      </w:r>
    </w:p>
    <w:p w14:paraId="5A845C13" w14:textId="5748E440" w:rsidR="00B53D9D" w:rsidRDefault="00B53D9D" w:rsidP="00987E07">
      <w:pPr>
        <w:jc w:val="both"/>
      </w:pPr>
      <w:r>
        <w:lastRenderedPageBreak/>
        <w:t xml:space="preserve">The most </w:t>
      </w:r>
      <w:proofErr w:type="gramStart"/>
      <w:r>
        <w:t>valuable asset</w:t>
      </w:r>
      <w:proofErr w:type="gramEnd"/>
      <w:r>
        <w:t xml:space="preserve"> is Dawn</w:t>
      </w:r>
      <w:r w:rsidR="00EC4828">
        <w:t>’</w:t>
      </w:r>
      <w:r>
        <w:t xml:space="preserve">s house – a </w:t>
      </w:r>
      <w:r w:rsidR="00C83333">
        <w:t>2-bed</w:t>
      </w:r>
      <w:r>
        <w:t xml:space="preserve"> </w:t>
      </w:r>
      <w:r w:rsidR="009121B8">
        <w:t xml:space="preserve">terraced </w:t>
      </w:r>
      <w:r>
        <w:t>hous</w:t>
      </w:r>
      <w:r w:rsidR="00D4150B">
        <w:t>e. Address is</w:t>
      </w:r>
      <w:r>
        <w:t xml:space="preserve"> 99 Castle Street last with an approximate value of £250,000.  I have advised Ron to seek valuation from 3 separate estate agents </w:t>
      </w:r>
      <w:proofErr w:type="gramStart"/>
      <w:r>
        <w:t>in order to</w:t>
      </w:r>
      <w:proofErr w:type="gramEnd"/>
      <w:r>
        <w:t xml:space="preserve"> receive an up-to-date probate valuation. </w:t>
      </w:r>
      <w:r w:rsidR="009121B8">
        <w:t xml:space="preserve">The property is free from mortgage and no charges against it. Dawn has always lived at the </w:t>
      </w:r>
      <w:r w:rsidR="00D4150B">
        <w:t xml:space="preserve">property and </w:t>
      </w:r>
      <w:r w:rsidR="00C97282">
        <w:t xml:space="preserve">is </w:t>
      </w:r>
      <w:r w:rsidR="00D4150B">
        <w:t>her only property.</w:t>
      </w:r>
      <w:r w:rsidR="00465713">
        <w:t xml:space="preserve"> I have advised Ron to notify the house insurance company that the property is now unoccupied. </w:t>
      </w:r>
      <w:r w:rsidR="00C97282">
        <w:t xml:space="preserve">There may be a higher premium to </w:t>
      </w:r>
      <w:proofErr w:type="gramStart"/>
      <w:r w:rsidR="00C97282">
        <w:t>pay</w:t>
      </w:r>
      <w:proofErr w:type="gramEnd"/>
      <w:r w:rsidR="00C97282">
        <w:t xml:space="preserve"> and I informed Ron of this. </w:t>
      </w:r>
    </w:p>
    <w:p w14:paraId="33B35BC5" w14:textId="77777777" w:rsidR="00465713" w:rsidRDefault="00465713" w:rsidP="00987E07">
      <w:pPr>
        <w:jc w:val="both"/>
      </w:pPr>
    </w:p>
    <w:p w14:paraId="59B44A6C" w14:textId="711A1703" w:rsidR="00D85547" w:rsidRPr="00B53D9D" w:rsidRDefault="00D85547" w:rsidP="00987E07">
      <w:pPr>
        <w:jc w:val="both"/>
        <w:rPr>
          <w:b/>
          <w:bCs/>
        </w:rPr>
      </w:pPr>
      <w:r w:rsidRPr="00B53D9D">
        <w:rPr>
          <w:b/>
          <w:bCs/>
        </w:rPr>
        <w:t>Debts</w:t>
      </w:r>
    </w:p>
    <w:p w14:paraId="1A96D97C" w14:textId="0EF35044" w:rsidR="00D85547" w:rsidRDefault="00D85547" w:rsidP="00987E07">
      <w:pPr>
        <w:jc w:val="both"/>
      </w:pPr>
      <w:r>
        <w:t>Ron confirmed that Dawn did not have a car</w:t>
      </w:r>
      <w:r w:rsidR="00465713">
        <w:t xml:space="preserve">. </w:t>
      </w:r>
    </w:p>
    <w:p w14:paraId="7425E0BE" w14:textId="02075EBF" w:rsidR="00D85547" w:rsidRDefault="00D85547" w:rsidP="00987E07">
      <w:pPr>
        <w:jc w:val="both"/>
      </w:pPr>
      <w:r>
        <w:t xml:space="preserve"> One M</w:t>
      </w:r>
      <w:r w:rsidR="00B53D9D">
        <w:t>a</w:t>
      </w:r>
      <w:r>
        <w:t>rks &amp; Spencer credit card but Dawn paid off each month</w:t>
      </w:r>
      <w:r w:rsidR="00EC4828">
        <w:t xml:space="preserve">. </w:t>
      </w:r>
    </w:p>
    <w:p w14:paraId="63E0DB12" w14:textId="4EF6D2E3" w:rsidR="00EC4828" w:rsidRDefault="00EC4828" w:rsidP="00987E07">
      <w:pPr>
        <w:jc w:val="both"/>
      </w:pPr>
      <w:r>
        <w:t>I also advised Ron to inform the council tax department of Dawn’s death and provide them with a death certificate that should then generate a pro-rata council tax statement. We would need to check if there is an underpayment or overpayment of council tax and dealing with the same accordingly.</w:t>
      </w:r>
    </w:p>
    <w:p w14:paraId="6F161185" w14:textId="2F7598F2" w:rsidR="00B53D9D" w:rsidRDefault="00B53D9D" w:rsidP="00987E07">
      <w:pPr>
        <w:jc w:val="both"/>
      </w:pPr>
      <w:r>
        <w:t>Ron confirmed that he paid for the funeral</w:t>
      </w:r>
      <w:r w:rsidR="00BE51B7">
        <w:t xml:space="preserve"> costs totalling £5,100. He also registered the death as next of kin and obtained </w:t>
      </w:r>
      <w:r>
        <w:t>3 original copies of the death certificat</w:t>
      </w:r>
      <w:r w:rsidR="00BE51B7">
        <w:t>es. Ron could</w:t>
      </w:r>
      <w:r w:rsidR="00EC4828">
        <w:t xml:space="preserve"> </w:t>
      </w:r>
      <w:r w:rsidR="00BE51B7">
        <w:t>not remember the exact amount</w:t>
      </w:r>
      <w:r>
        <w:t xml:space="preserve">.  I informed him to keep all </w:t>
      </w:r>
      <w:r w:rsidR="00465713">
        <w:t>receipts,</w:t>
      </w:r>
      <w:r>
        <w:t xml:space="preserve"> a</w:t>
      </w:r>
      <w:r w:rsidR="00EC4828">
        <w:t>s</w:t>
      </w:r>
      <w:r>
        <w:t xml:space="preserve"> these debts would be refunded as he paid from his own pocket as the Will has a provision to pay off debts, funeral and testamentary expenses. </w:t>
      </w:r>
    </w:p>
    <w:p w14:paraId="3DC4F350" w14:textId="77777777" w:rsidR="00D85547" w:rsidRDefault="00D85547" w:rsidP="00987E07">
      <w:pPr>
        <w:jc w:val="both"/>
      </w:pPr>
    </w:p>
    <w:p w14:paraId="13438008" w14:textId="77777777" w:rsidR="00813CEC" w:rsidRPr="00813CEC" w:rsidRDefault="00813CEC" w:rsidP="00813CEC">
      <w:pPr>
        <w:jc w:val="both"/>
        <w:rPr>
          <w:b/>
          <w:bCs/>
        </w:rPr>
      </w:pPr>
      <w:r w:rsidRPr="00813CEC">
        <w:rPr>
          <w:b/>
          <w:bCs/>
        </w:rPr>
        <w:t>Next Steps for the Firm</w:t>
      </w:r>
    </w:p>
    <w:p w14:paraId="1F936D34" w14:textId="77777777" w:rsidR="00813CEC" w:rsidRDefault="00813CEC" w:rsidP="00813CEC">
      <w:pPr>
        <w:numPr>
          <w:ilvl w:val="0"/>
          <w:numId w:val="3"/>
        </w:numPr>
        <w:jc w:val="both"/>
      </w:pPr>
      <w:r w:rsidRPr="00813CEC">
        <w:t>Draft a letter to Carys explaining her options regarding executorship.</w:t>
      </w:r>
    </w:p>
    <w:p w14:paraId="22ABEC95" w14:textId="49EA85DC" w:rsidR="008771B4" w:rsidRPr="00813CEC" w:rsidRDefault="008771B4" w:rsidP="00813CEC">
      <w:pPr>
        <w:numPr>
          <w:ilvl w:val="0"/>
          <w:numId w:val="3"/>
        </w:numPr>
        <w:jc w:val="both"/>
      </w:pPr>
      <w:r>
        <w:t xml:space="preserve">Ron has requested a letter be sent to either him by post or email setting out the specific details about executors, distribution and IHT. I will draft the client care letter in due course. </w:t>
      </w:r>
    </w:p>
    <w:p w14:paraId="75D12380" w14:textId="77777777" w:rsidR="00813CEC" w:rsidRDefault="00813CEC" w:rsidP="00813CEC">
      <w:pPr>
        <w:numPr>
          <w:ilvl w:val="0"/>
          <w:numId w:val="3"/>
        </w:numPr>
        <w:jc w:val="both"/>
      </w:pPr>
      <w:r w:rsidRPr="00813CEC">
        <w:t>Request property valuation and financial statements from Ron.</w:t>
      </w:r>
    </w:p>
    <w:p w14:paraId="3C0A058B" w14:textId="4DD1132C" w:rsidR="00BE51B7" w:rsidRPr="00813CEC" w:rsidRDefault="00BE51B7" w:rsidP="00813CEC">
      <w:pPr>
        <w:numPr>
          <w:ilvl w:val="0"/>
          <w:numId w:val="3"/>
        </w:numPr>
        <w:jc w:val="both"/>
      </w:pPr>
      <w:r>
        <w:t>Ro</w:t>
      </w:r>
      <w:r w:rsidR="00C83333">
        <w:t>n</w:t>
      </w:r>
      <w:r>
        <w:t xml:space="preserve"> to provide us with the closing balances of all accounts held by the deceased for assets and debts.</w:t>
      </w:r>
    </w:p>
    <w:p w14:paraId="734BEDDE" w14:textId="77777777" w:rsidR="00813CEC" w:rsidRPr="00813CEC" w:rsidRDefault="00813CEC" w:rsidP="00813CEC">
      <w:pPr>
        <w:numPr>
          <w:ilvl w:val="0"/>
          <w:numId w:val="3"/>
        </w:numPr>
        <w:jc w:val="both"/>
      </w:pPr>
      <w:r w:rsidRPr="00813CEC">
        <w:t>Begin preparing the probate and IHT documentation once valuations are received.</w:t>
      </w:r>
    </w:p>
    <w:p w14:paraId="42F14DF7" w14:textId="77777777" w:rsidR="00813CEC" w:rsidRPr="00813CEC" w:rsidRDefault="00813CEC" w:rsidP="00813CEC">
      <w:pPr>
        <w:numPr>
          <w:ilvl w:val="0"/>
          <w:numId w:val="3"/>
        </w:numPr>
        <w:jc w:val="both"/>
      </w:pPr>
      <w:r w:rsidRPr="00813CEC">
        <w:t>Contact Jack’s personal representatives once probate is granted.</w:t>
      </w:r>
    </w:p>
    <w:p w14:paraId="3E48E15C" w14:textId="77777777" w:rsidR="00813CEC" w:rsidRDefault="00813CEC" w:rsidP="00813CEC">
      <w:pPr>
        <w:numPr>
          <w:ilvl w:val="0"/>
          <w:numId w:val="3"/>
        </w:numPr>
        <w:jc w:val="both"/>
      </w:pPr>
      <w:r w:rsidRPr="00813CEC">
        <w:t>Maintain regular communication with Ron regarding progress.</w:t>
      </w:r>
    </w:p>
    <w:p w14:paraId="4C916E2B" w14:textId="1C80BEF0" w:rsidR="00EC4828" w:rsidRPr="00813CEC" w:rsidRDefault="00EC4828" w:rsidP="00EC4828">
      <w:pPr>
        <w:pStyle w:val="ListParagraph"/>
        <w:numPr>
          <w:ilvl w:val="0"/>
          <w:numId w:val="3"/>
        </w:numPr>
        <w:jc w:val="both"/>
      </w:pPr>
      <w:r>
        <w:lastRenderedPageBreak/>
        <w:t xml:space="preserve">We would need to </w:t>
      </w:r>
      <w:r w:rsidRPr="00813CEC">
        <w:t>advise Ron</w:t>
      </w:r>
      <w:r>
        <w:t xml:space="preserve"> of executor liability including </w:t>
      </w:r>
      <w:r w:rsidRPr="00813CEC">
        <w:t>his duties and potential personal liability for mistakes, emphasising the importance of accurate tax reporting.</w:t>
      </w:r>
    </w:p>
    <w:p w14:paraId="1362B39E" w14:textId="77777777" w:rsidR="00EC4828" w:rsidRPr="00813CEC" w:rsidRDefault="00EC4828" w:rsidP="00EC4828">
      <w:pPr>
        <w:ind w:left="720"/>
        <w:jc w:val="both"/>
      </w:pPr>
    </w:p>
    <w:p w14:paraId="285A31BF" w14:textId="77777777" w:rsidR="00EC4828" w:rsidRPr="00813CEC" w:rsidRDefault="00EC4828" w:rsidP="00EC4828">
      <w:pPr>
        <w:jc w:val="both"/>
        <w:rPr>
          <w:b/>
          <w:bCs/>
        </w:rPr>
      </w:pPr>
      <w:r w:rsidRPr="00813CEC">
        <w:rPr>
          <w:b/>
          <w:bCs/>
        </w:rPr>
        <w:t>Professional Conduct Considerations</w:t>
      </w:r>
    </w:p>
    <w:p w14:paraId="27333AB0" w14:textId="77777777" w:rsidR="00EC4828" w:rsidRPr="00813CEC" w:rsidRDefault="00EC4828" w:rsidP="00EC4828">
      <w:pPr>
        <w:jc w:val="both"/>
      </w:pPr>
      <w:r w:rsidRPr="00813CEC">
        <w:t>Ron is both executor and related to a beneficiary. This is not a conflict provided he acts impartially (SRA Code of Conduct, 2019)</w:t>
      </w:r>
      <w:r>
        <w:t xml:space="preserve"> – no conflict of interest. </w:t>
      </w:r>
    </w:p>
    <w:p w14:paraId="735F44A8" w14:textId="77777777" w:rsidR="00EC4828" w:rsidRDefault="00EC4828" w:rsidP="00EC4828">
      <w:pPr>
        <w:jc w:val="both"/>
      </w:pPr>
      <w:r w:rsidRPr="00813CEC">
        <w:t>If Carys renounces or reserves power, she must do so freely and with full understanding.</w:t>
      </w:r>
      <w:r>
        <w:t xml:space="preserve"> We would need to evaluate her capacity and gain her consent. </w:t>
      </w:r>
    </w:p>
    <w:p w14:paraId="28D9CF41" w14:textId="77777777" w:rsidR="00EC4828" w:rsidRPr="00813CEC" w:rsidRDefault="00EC4828" w:rsidP="00EC4828">
      <w:pPr>
        <w:jc w:val="both"/>
      </w:pPr>
      <w:r w:rsidRPr="00813CEC">
        <w:t>No further conduct issues arose.</w:t>
      </w:r>
    </w:p>
    <w:p w14:paraId="65320EDD" w14:textId="77777777" w:rsidR="00EC4828" w:rsidRDefault="00EC4828" w:rsidP="00987E07">
      <w:pPr>
        <w:jc w:val="both"/>
      </w:pPr>
    </w:p>
    <w:p w14:paraId="4BB135B4" w14:textId="4EFE8BA0" w:rsidR="00813CEC" w:rsidRPr="00813CEC" w:rsidRDefault="00813CEC" w:rsidP="00813CEC">
      <w:pPr>
        <w:jc w:val="both"/>
        <w:rPr>
          <w:b/>
          <w:bCs/>
        </w:rPr>
      </w:pPr>
      <w:r w:rsidRPr="00813CEC">
        <w:rPr>
          <w:b/>
          <w:bCs/>
        </w:rPr>
        <w:t>Conclusion</w:t>
      </w:r>
      <w:r>
        <w:rPr>
          <w:b/>
          <w:bCs/>
        </w:rPr>
        <w:t xml:space="preserve"> from meeting </w:t>
      </w:r>
    </w:p>
    <w:p w14:paraId="68660864" w14:textId="77777777" w:rsidR="00813CEC" w:rsidRPr="00813CEC" w:rsidRDefault="00813CEC" w:rsidP="00813CEC">
      <w:pPr>
        <w:jc w:val="both"/>
      </w:pPr>
      <w:r w:rsidRPr="00813CEC">
        <w:t>This meeting provided Ron with a clear understanding of his role as executor, the distribution of Dawn’s estate, and the potential IHT implications. He intends to proceed with the administration and will rely on our assistance for the technical aspects of probate and tax compliance.</w:t>
      </w:r>
    </w:p>
    <w:p w14:paraId="780CD0BB" w14:textId="77777777" w:rsidR="00813CEC" w:rsidRDefault="00813CEC" w:rsidP="00987E07">
      <w:pPr>
        <w:jc w:val="both"/>
      </w:pPr>
    </w:p>
    <w:p w14:paraId="40EB6CE7" w14:textId="77777777" w:rsidR="00976CF5" w:rsidRDefault="00976CF5" w:rsidP="00987E07">
      <w:pPr>
        <w:jc w:val="both"/>
      </w:pPr>
    </w:p>
    <w:p w14:paraId="629A6BAA" w14:textId="77777777" w:rsidR="00976CF5" w:rsidRDefault="00976CF5" w:rsidP="00987E07">
      <w:pPr>
        <w:jc w:val="both"/>
      </w:pPr>
    </w:p>
    <w:p w14:paraId="16E5B954" w14:textId="77777777" w:rsidR="00813CEC" w:rsidRDefault="00813CEC" w:rsidP="00987E07">
      <w:pPr>
        <w:jc w:val="both"/>
      </w:pPr>
    </w:p>
    <w:p w14:paraId="4ED28BF4" w14:textId="77777777" w:rsidR="00813CEC" w:rsidRDefault="00813CEC" w:rsidP="00987E07">
      <w:pPr>
        <w:jc w:val="both"/>
      </w:pPr>
    </w:p>
    <w:p w14:paraId="5C917046" w14:textId="77777777" w:rsidR="00813CEC" w:rsidRDefault="00813CEC" w:rsidP="00987E07">
      <w:pPr>
        <w:jc w:val="both"/>
      </w:pPr>
    </w:p>
    <w:p w14:paraId="0A1FD3ED" w14:textId="77777777" w:rsidR="00813CEC" w:rsidRDefault="00813CEC" w:rsidP="00987E07">
      <w:pPr>
        <w:jc w:val="both"/>
      </w:pPr>
    </w:p>
    <w:p w14:paraId="05D059D5" w14:textId="77777777" w:rsidR="00813CEC" w:rsidRDefault="00813CEC" w:rsidP="00987E07">
      <w:pPr>
        <w:jc w:val="both"/>
      </w:pPr>
    </w:p>
    <w:p w14:paraId="636CBDDC" w14:textId="77777777" w:rsidR="00813CEC" w:rsidRDefault="00813CEC" w:rsidP="00987E07">
      <w:pPr>
        <w:jc w:val="both"/>
      </w:pPr>
    </w:p>
    <w:p w14:paraId="25F8C75F" w14:textId="77777777" w:rsidR="00813CEC" w:rsidRDefault="00813CEC" w:rsidP="00987E07">
      <w:pPr>
        <w:jc w:val="both"/>
      </w:pPr>
    </w:p>
    <w:p w14:paraId="6C060D93" w14:textId="0CD5585B" w:rsidR="00591F5F" w:rsidRDefault="00591F5F">
      <w:r>
        <w:br w:type="page"/>
      </w:r>
    </w:p>
    <w:p w14:paraId="2B6FBD20" w14:textId="41B76223" w:rsidR="007B0541" w:rsidRDefault="007B0541" w:rsidP="007B0541">
      <w:pPr>
        <w:pStyle w:val="Heading1"/>
      </w:pPr>
      <w:r>
        <w:lastRenderedPageBreak/>
        <w:t>REFERENCES</w:t>
      </w:r>
    </w:p>
    <w:p w14:paraId="477CF4D6" w14:textId="72B8EA6F" w:rsidR="00EC4828" w:rsidRDefault="00EC4828" w:rsidP="007B0541">
      <w:r w:rsidRPr="00EC4828">
        <w:t xml:space="preserve">Atkinson, J. (2018) </w:t>
      </w:r>
      <w:r w:rsidRPr="00EC4828">
        <w:rPr>
          <w:i/>
          <w:iCs/>
        </w:rPr>
        <w:t>Succession Law in the United Kingdom</w:t>
      </w:r>
      <w:r w:rsidRPr="00EC4828">
        <w:t>. Oxford: Oxford University Press.</w:t>
      </w:r>
    </w:p>
    <w:p w14:paraId="0F81E9DB" w14:textId="77777777" w:rsidR="00800F26" w:rsidRDefault="00EC4828" w:rsidP="007B0541">
      <w:r w:rsidRPr="00EC4828">
        <w:t xml:space="preserve">Baker, J.H. (2019) </w:t>
      </w:r>
      <w:r w:rsidRPr="00EC4828">
        <w:rPr>
          <w:i/>
          <w:iCs/>
        </w:rPr>
        <w:t>An Introduction to English Legal History</w:t>
      </w:r>
      <w:r w:rsidRPr="00EC4828">
        <w:t xml:space="preserve">. 5th </w:t>
      </w:r>
      <w:proofErr w:type="spellStart"/>
      <w:r w:rsidRPr="00EC4828">
        <w:t>edn</w:t>
      </w:r>
      <w:proofErr w:type="spellEnd"/>
      <w:r w:rsidRPr="00EC4828">
        <w:t xml:space="preserve">. Oxford: Oxford University Press. </w:t>
      </w:r>
    </w:p>
    <w:p w14:paraId="2AEFBAB5" w14:textId="77777777" w:rsidR="00800F26" w:rsidRDefault="00EC4828" w:rsidP="007B0541">
      <w:r w:rsidRPr="00EC4828">
        <w:t>Borkowski, A. and Du Bois-</w:t>
      </w:r>
      <w:proofErr w:type="spellStart"/>
      <w:r w:rsidRPr="00EC4828">
        <w:t>Pedain</w:t>
      </w:r>
      <w:proofErr w:type="spellEnd"/>
      <w:r w:rsidRPr="00EC4828">
        <w:t xml:space="preserve">, A. (2020) </w:t>
      </w:r>
      <w:r w:rsidRPr="00EC4828">
        <w:rPr>
          <w:i/>
          <w:iCs/>
        </w:rPr>
        <w:t>Textbook on Succession</w:t>
      </w:r>
      <w:r w:rsidRPr="00EC4828">
        <w:t xml:space="preserve">. 7th </w:t>
      </w:r>
      <w:proofErr w:type="spellStart"/>
      <w:r w:rsidRPr="00EC4828">
        <w:t>edn</w:t>
      </w:r>
      <w:proofErr w:type="spellEnd"/>
      <w:r w:rsidRPr="00EC4828">
        <w:t xml:space="preserve">. Oxford: Oxford University Press. </w:t>
      </w:r>
    </w:p>
    <w:p w14:paraId="5F41425D" w14:textId="77777777" w:rsidR="00800F26" w:rsidRDefault="00EC4828" w:rsidP="007B0541">
      <w:r w:rsidRPr="00EC4828">
        <w:t xml:space="preserve">Cretney, S. (2003) </w:t>
      </w:r>
      <w:r w:rsidRPr="00EC4828">
        <w:rPr>
          <w:i/>
          <w:iCs/>
        </w:rPr>
        <w:t>Principles of Family Law</w:t>
      </w:r>
      <w:r w:rsidRPr="00EC4828">
        <w:t xml:space="preserve">. 7th </w:t>
      </w:r>
      <w:proofErr w:type="spellStart"/>
      <w:r w:rsidRPr="00EC4828">
        <w:t>edn</w:t>
      </w:r>
      <w:proofErr w:type="spellEnd"/>
      <w:r w:rsidRPr="00EC4828">
        <w:t xml:space="preserve">. London: Sweet &amp; Maxwell. </w:t>
      </w:r>
    </w:p>
    <w:p w14:paraId="27A35526" w14:textId="77777777" w:rsidR="00800F26" w:rsidRDefault="00EC4828" w:rsidP="007B0541">
      <w:r w:rsidRPr="00EC4828">
        <w:t xml:space="preserve">Davies, G. (2017) </w:t>
      </w:r>
      <w:r w:rsidRPr="00EC4828">
        <w:rPr>
          <w:i/>
          <w:iCs/>
        </w:rPr>
        <w:t>The Law of Succession</w:t>
      </w:r>
      <w:r w:rsidRPr="00EC4828">
        <w:t xml:space="preserve">. 2nd </w:t>
      </w:r>
      <w:proofErr w:type="spellStart"/>
      <w:r w:rsidRPr="00EC4828">
        <w:t>edn</w:t>
      </w:r>
      <w:proofErr w:type="spellEnd"/>
      <w:r w:rsidRPr="00EC4828">
        <w:t xml:space="preserve">. London: Palgrave Macmillan. </w:t>
      </w:r>
    </w:p>
    <w:p w14:paraId="4DBC9B62" w14:textId="77777777" w:rsidR="00800F26" w:rsidRDefault="00800F26" w:rsidP="007B0541">
      <w:r w:rsidRPr="00800F26">
        <w:t xml:space="preserve">Garton, J., Probert, R. and Wilkinson, G. (2022) </w:t>
      </w:r>
      <w:r w:rsidRPr="00800F26">
        <w:rPr>
          <w:i/>
          <w:iCs/>
        </w:rPr>
        <w:t>Bromley’s Family Law</w:t>
      </w:r>
      <w:r w:rsidRPr="00800F26">
        <w:t xml:space="preserve">. 12th </w:t>
      </w:r>
      <w:proofErr w:type="spellStart"/>
      <w:r w:rsidRPr="00800F26">
        <w:t>edn</w:t>
      </w:r>
      <w:proofErr w:type="spellEnd"/>
      <w:r w:rsidRPr="00800F26">
        <w:t xml:space="preserve">. Oxford: Oxford University Press. </w:t>
      </w:r>
    </w:p>
    <w:p w14:paraId="76FEF876" w14:textId="77777777" w:rsidR="00800F26" w:rsidRDefault="00800F26" w:rsidP="007B0541">
      <w:r w:rsidRPr="00800F26">
        <w:t xml:space="preserve">Halsbury’s Laws of England (2020) </w:t>
      </w:r>
      <w:r w:rsidRPr="00800F26">
        <w:rPr>
          <w:i/>
          <w:iCs/>
        </w:rPr>
        <w:t>Wills and Succession</w:t>
      </w:r>
      <w:r w:rsidRPr="00800F26">
        <w:t xml:space="preserve">. </w:t>
      </w:r>
    </w:p>
    <w:p w14:paraId="07FF8AEF" w14:textId="57A1D897" w:rsidR="00800F26" w:rsidRDefault="00800F26" w:rsidP="007B0541">
      <w:r w:rsidRPr="00800F26">
        <w:t xml:space="preserve">Henderson, J. (2015) </w:t>
      </w:r>
      <w:r w:rsidRPr="00800F26">
        <w:rPr>
          <w:i/>
          <w:iCs/>
        </w:rPr>
        <w:t>Executors and Administrators: Law and Practice</w:t>
      </w:r>
      <w:r w:rsidRPr="00800F26">
        <w:t>. London: LexisNexis.</w:t>
      </w:r>
    </w:p>
    <w:p w14:paraId="773119F5" w14:textId="77777777" w:rsidR="00800F26" w:rsidRDefault="00800F26" w:rsidP="007B0541">
      <w:r w:rsidRPr="00800F26">
        <w:t xml:space="preserve">HMRC (2023) </w:t>
      </w:r>
      <w:r w:rsidRPr="00800F26">
        <w:rPr>
          <w:i/>
          <w:iCs/>
        </w:rPr>
        <w:t>Inheritance Tax Manual</w:t>
      </w:r>
      <w:r w:rsidRPr="00800F26">
        <w:t xml:space="preserve">. </w:t>
      </w:r>
    </w:p>
    <w:p w14:paraId="1741C495" w14:textId="4D52A92E" w:rsidR="00800F26" w:rsidRDefault="00800F26" w:rsidP="007B0541">
      <w:r w:rsidRPr="00800F26">
        <w:t xml:space="preserve">Hodge, J. (2019) </w:t>
      </w:r>
      <w:r w:rsidRPr="00800F26">
        <w:rPr>
          <w:i/>
          <w:iCs/>
        </w:rPr>
        <w:t>The Law of Wills</w:t>
      </w:r>
      <w:r w:rsidRPr="00800F26">
        <w:t xml:space="preserve">. </w:t>
      </w:r>
    </w:p>
    <w:p w14:paraId="3527A787" w14:textId="77777777" w:rsidR="00800F26" w:rsidRDefault="00800F26" w:rsidP="007B0541">
      <w:r w:rsidRPr="00800F26">
        <w:t xml:space="preserve">Hudson, A. (2021) </w:t>
      </w:r>
      <w:r w:rsidRPr="00800F26">
        <w:rPr>
          <w:i/>
          <w:iCs/>
        </w:rPr>
        <w:t>Equity and Trusts</w:t>
      </w:r>
      <w:r w:rsidRPr="00800F26">
        <w:t xml:space="preserve">. 10th </w:t>
      </w:r>
      <w:proofErr w:type="spellStart"/>
      <w:r w:rsidRPr="00800F26">
        <w:t>edn</w:t>
      </w:r>
      <w:proofErr w:type="spellEnd"/>
      <w:r w:rsidRPr="00800F26">
        <w:t xml:space="preserve">. London: Routledge. </w:t>
      </w:r>
    </w:p>
    <w:p w14:paraId="3101345D" w14:textId="77777777" w:rsidR="00800F26" w:rsidRDefault="00800F26" w:rsidP="007B0541">
      <w:r w:rsidRPr="00800F26">
        <w:t xml:space="preserve">Kerridge, R. (2016) </w:t>
      </w:r>
      <w:r w:rsidRPr="00800F26">
        <w:rPr>
          <w:i/>
          <w:iCs/>
        </w:rPr>
        <w:t>Parry and Kerridge: The Law of Succession</w:t>
      </w:r>
      <w:r w:rsidRPr="00800F26">
        <w:t xml:space="preserve">. 13th </w:t>
      </w:r>
      <w:proofErr w:type="spellStart"/>
      <w:r w:rsidRPr="00800F26">
        <w:t>edn</w:t>
      </w:r>
      <w:proofErr w:type="spellEnd"/>
      <w:r w:rsidRPr="00800F26">
        <w:t xml:space="preserve">. London: Sweet &amp; Maxwell. </w:t>
      </w:r>
    </w:p>
    <w:p w14:paraId="352A5E4A" w14:textId="50FDBB24" w:rsidR="00800F26" w:rsidRDefault="00800F26" w:rsidP="007B0541">
      <w:r w:rsidRPr="00800F26">
        <w:t xml:space="preserve">Law Commission (2017) </w:t>
      </w:r>
      <w:r w:rsidRPr="00800F26">
        <w:rPr>
          <w:i/>
          <w:iCs/>
        </w:rPr>
        <w:t>Making a Will</w:t>
      </w:r>
      <w:r w:rsidRPr="00800F26">
        <w:t>.</w:t>
      </w:r>
    </w:p>
    <w:p w14:paraId="7BA8FA44" w14:textId="77777777" w:rsidR="00800F26" w:rsidRDefault="00800F26" w:rsidP="007B0541">
      <w:r w:rsidRPr="00800F26">
        <w:t xml:space="preserve">Lowe, N. and Douglas, G. (2021) </w:t>
      </w:r>
      <w:r w:rsidRPr="00800F26">
        <w:rPr>
          <w:i/>
          <w:iCs/>
        </w:rPr>
        <w:t>Bromley’s Family Law</w:t>
      </w:r>
      <w:r w:rsidRPr="00800F26">
        <w:t xml:space="preserve">. 12th </w:t>
      </w:r>
      <w:proofErr w:type="spellStart"/>
      <w:r w:rsidRPr="00800F26">
        <w:t>edn</w:t>
      </w:r>
      <w:proofErr w:type="spellEnd"/>
      <w:r w:rsidRPr="00800F26">
        <w:t xml:space="preserve">. Oxford: Oxford University Press. </w:t>
      </w:r>
    </w:p>
    <w:p w14:paraId="13A4ABFC" w14:textId="627D4ABC" w:rsidR="00800F26" w:rsidRDefault="00800F26" w:rsidP="007B0541">
      <w:r w:rsidRPr="00800F26">
        <w:t xml:space="preserve">Moffat, G., Bean, D. and Probert, R. (2015) </w:t>
      </w:r>
      <w:r w:rsidRPr="00800F26">
        <w:rPr>
          <w:i/>
          <w:iCs/>
        </w:rPr>
        <w:t>Trusts Law: Text and Materials</w:t>
      </w:r>
      <w:r w:rsidRPr="00800F26">
        <w:t xml:space="preserve">. 7th </w:t>
      </w:r>
      <w:proofErr w:type="spellStart"/>
      <w:r w:rsidRPr="00800F26">
        <w:t>edn</w:t>
      </w:r>
      <w:proofErr w:type="spellEnd"/>
      <w:r w:rsidRPr="00800F26">
        <w:t>. Cambridge: Cambridge University Press.</w:t>
      </w:r>
    </w:p>
    <w:p w14:paraId="6D2BD137" w14:textId="77777777" w:rsidR="00800F26" w:rsidRDefault="00800F26" w:rsidP="007B0541">
      <w:r w:rsidRPr="00800F26">
        <w:t xml:space="preserve">Pawlowski, M. and Brown, J. (2017) </w:t>
      </w:r>
      <w:r w:rsidRPr="00800F26">
        <w:rPr>
          <w:i/>
          <w:iCs/>
        </w:rPr>
        <w:t>The Law of Succession</w:t>
      </w:r>
      <w:r w:rsidRPr="00800F26">
        <w:t xml:space="preserve">. 3rd </w:t>
      </w:r>
      <w:proofErr w:type="spellStart"/>
      <w:r w:rsidRPr="00800F26">
        <w:t>edn</w:t>
      </w:r>
      <w:proofErr w:type="spellEnd"/>
      <w:r w:rsidRPr="00800F26">
        <w:t xml:space="preserve">. London: Sweet &amp; Maxwell. </w:t>
      </w:r>
    </w:p>
    <w:p w14:paraId="19405569" w14:textId="77777777" w:rsidR="00800F26" w:rsidRDefault="00800F26" w:rsidP="007B0541">
      <w:r w:rsidRPr="00800F26">
        <w:t xml:space="preserve">Probert, R. (2020) </w:t>
      </w:r>
      <w:r w:rsidRPr="00800F26">
        <w:rPr>
          <w:i/>
          <w:iCs/>
        </w:rPr>
        <w:t>Cretney’s Principles of Family Law</w:t>
      </w:r>
      <w:r w:rsidRPr="00800F26">
        <w:t xml:space="preserve">. 9th </w:t>
      </w:r>
      <w:proofErr w:type="spellStart"/>
      <w:r w:rsidRPr="00800F26">
        <w:t>edn</w:t>
      </w:r>
      <w:proofErr w:type="spellEnd"/>
      <w:r w:rsidRPr="00800F26">
        <w:t xml:space="preserve">. London: Sweet &amp; Maxwell. </w:t>
      </w:r>
    </w:p>
    <w:p w14:paraId="4081C0E5" w14:textId="45062EDB" w:rsidR="00800F26" w:rsidRDefault="00800F26" w:rsidP="007B0541">
      <w:r w:rsidRPr="00800F26">
        <w:t xml:space="preserve">Smith, L. (2019) </w:t>
      </w:r>
      <w:r w:rsidRPr="00800F26">
        <w:rPr>
          <w:i/>
          <w:iCs/>
        </w:rPr>
        <w:t>The Law of Trusts</w:t>
      </w:r>
      <w:r w:rsidRPr="00800F26">
        <w:t xml:space="preserve">. 3rd </w:t>
      </w:r>
      <w:proofErr w:type="spellStart"/>
      <w:r w:rsidRPr="00800F26">
        <w:t>edn</w:t>
      </w:r>
      <w:proofErr w:type="spellEnd"/>
      <w:r w:rsidRPr="00800F26">
        <w:t>. Oxford: Oxford University Press.</w:t>
      </w:r>
    </w:p>
    <w:p w14:paraId="4823EAE3" w14:textId="77777777" w:rsidR="00800F26" w:rsidRDefault="00800F26" w:rsidP="007B0541">
      <w:r w:rsidRPr="00800F26">
        <w:t xml:space="preserve">Swadling, W. (2016) </w:t>
      </w:r>
      <w:r w:rsidRPr="00800F26">
        <w:rPr>
          <w:i/>
          <w:iCs/>
        </w:rPr>
        <w:t xml:space="preserve">The </w:t>
      </w:r>
      <w:proofErr w:type="spellStart"/>
      <w:r w:rsidRPr="00800F26">
        <w:rPr>
          <w:i/>
          <w:iCs/>
        </w:rPr>
        <w:t>Quistclose</w:t>
      </w:r>
      <w:proofErr w:type="spellEnd"/>
      <w:r w:rsidRPr="00800F26">
        <w:rPr>
          <w:i/>
          <w:iCs/>
        </w:rPr>
        <w:t xml:space="preserve"> Trust: Critical Essays</w:t>
      </w:r>
      <w:r w:rsidRPr="00800F26">
        <w:t xml:space="preserve">. Oxford: Hart Publishing. </w:t>
      </w:r>
    </w:p>
    <w:p w14:paraId="31213E51" w14:textId="77777777" w:rsidR="00800F26" w:rsidRDefault="00800F26" w:rsidP="007B0541">
      <w:r w:rsidRPr="00800F26">
        <w:lastRenderedPageBreak/>
        <w:t xml:space="preserve">Thomas, G. and Hudson, A. (2020) </w:t>
      </w:r>
      <w:r w:rsidRPr="00800F26">
        <w:rPr>
          <w:i/>
          <w:iCs/>
        </w:rPr>
        <w:t>The Law of Trusts</w:t>
      </w:r>
      <w:r w:rsidRPr="00800F26">
        <w:t xml:space="preserve">. 3rd </w:t>
      </w:r>
      <w:proofErr w:type="spellStart"/>
      <w:r w:rsidRPr="00800F26">
        <w:t>edn</w:t>
      </w:r>
      <w:proofErr w:type="spellEnd"/>
      <w:r w:rsidRPr="00800F26">
        <w:t xml:space="preserve">. Oxford: Oxford University Press. </w:t>
      </w:r>
    </w:p>
    <w:p w14:paraId="04CD0517" w14:textId="77777777" w:rsidR="00800F26" w:rsidRDefault="00800F26" w:rsidP="007B0541">
      <w:r w:rsidRPr="00800F26">
        <w:t xml:space="preserve">Tristram &amp; Coote’s Probate Practice (2022). </w:t>
      </w:r>
    </w:p>
    <w:p w14:paraId="6E612573" w14:textId="636069F0" w:rsidR="00800F26" w:rsidRDefault="00800F26" w:rsidP="007B0541">
      <w:r w:rsidRPr="00800F26">
        <w:t xml:space="preserve">Virgo, G. (2021) </w:t>
      </w:r>
      <w:r w:rsidRPr="00800F26">
        <w:rPr>
          <w:i/>
          <w:iCs/>
        </w:rPr>
        <w:t>The Principles of Equity and Trusts</w:t>
      </w:r>
      <w:r w:rsidRPr="00800F26">
        <w:t>.</w:t>
      </w:r>
    </w:p>
    <w:p w14:paraId="2D0F9462" w14:textId="49BC2E6C" w:rsidR="00800F26" w:rsidRDefault="00800F26">
      <w:r>
        <w:br w:type="page"/>
      </w:r>
    </w:p>
    <w:p w14:paraId="534DAF43" w14:textId="77777777" w:rsidR="00800F26" w:rsidRDefault="00800F26" w:rsidP="007B0541"/>
    <w:p w14:paraId="7A94F23F" w14:textId="77777777" w:rsidR="00800F26" w:rsidRPr="00800F26" w:rsidRDefault="00800F26" w:rsidP="00800F26">
      <w:pPr>
        <w:pStyle w:val="Heading1"/>
      </w:pPr>
      <w:r w:rsidRPr="00800F26">
        <w:t>Cases</w:t>
      </w:r>
    </w:p>
    <w:p w14:paraId="6A4916B6" w14:textId="77777777" w:rsidR="00800F26" w:rsidRDefault="00800F26" w:rsidP="00800F26">
      <w:r w:rsidRPr="00800F26">
        <w:t xml:space="preserve">Re Bowes [1896] 1 Ch 507. </w:t>
      </w:r>
    </w:p>
    <w:p w14:paraId="416C2140" w14:textId="77777777" w:rsidR="00800F26" w:rsidRDefault="00800F26" w:rsidP="00800F26">
      <w:r w:rsidRPr="00800F26">
        <w:t xml:space="preserve">Re Caines (deceased) [1959] 1 WLR 375. </w:t>
      </w:r>
    </w:p>
    <w:p w14:paraId="1A3D0324" w14:textId="77777777" w:rsidR="00800F26" w:rsidRDefault="00800F26" w:rsidP="00800F26">
      <w:r w:rsidRPr="00800F26">
        <w:t xml:space="preserve">Re Dorman [1994] 1 WLR 1467. </w:t>
      </w:r>
    </w:p>
    <w:p w14:paraId="163156F2" w14:textId="77777777" w:rsidR="00800F26" w:rsidRDefault="00800F26" w:rsidP="00800F26">
      <w:r w:rsidRPr="00800F26">
        <w:t xml:space="preserve">Re Erskine [1932] 1 Ch 563. </w:t>
      </w:r>
    </w:p>
    <w:p w14:paraId="0240ADD0" w14:textId="0658C2AF" w:rsidR="00800F26" w:rsidRDefault="00800F26" w:rsidP="00800F26">
      <w:r w:rsidRPr="00800F26">
        <w:t xml:space="preserve">Re Evans [1957] Ch 108. </w:t>
      </w:r>
    </w:p>
    <w:p w14:paraId="45B53CE9" w14:textId="77777777" w:rsidR="00800F26" w:rsidRDefault="00800F26" w:rsidP="00800F26">
      <w:r w:rsidRPr="00800F26">
        <w:t xml:space="preserve">Re King [1963] Ch 459. </w:t>
      </w:r>
    </w:p>
    <w:p w14:paraId="600FAC5F" w14:textId="77777777" w:rsidR="00800F26" w:rsidRDefault="00800F26" w:rsidP="00800F26">
      <w:r w:rsidRPr="00800F26">
        <w:t xml:space="preserve">Re Leeming [1912] 1 Ch 828. </w:t>
      </w:r>
    </w:p>
    <w:p w14:paraId="4DC3FE3E" w14:textId="77777777" w:rsidR="00800F26" w:rsidRDefault="00800F26" w:rsidP="00800F26">
      <w:r w:rsidRPr="00800F26">
        <w:t xml:space="preserve">Re Rowland [1963] Ch 1. </w:t>
      </w:r>
    </w:p>
    <w:p w14:paraId="008FB052" w14:textId="77777777" w:rsidR="00800F26" w:rsidRDefault="00800F26" w:rsidP="00800F26">
      <w:r w:rsidRPr="00800F26">
        <w:t>Re Slater [1907] 1 Ch 665.</w:t>
      </w:r>
    </w:p>
    <w:p w14:paraId="3F1E455C" w14:textId="72FD7573" w:rsidR="00800F26" w:rsidRPr="00800F26" w:rsidRDefault="00800F26" w:rsidP="00800F26">
      <w:r w:rsidRPr="00800F26">
        <w:t xml:space="preserve"> Re Tuck’s Settlement Trusts [1978] Ch 49.</w:t>
      </w:r>
    </w:p>
    <w:p w14:paraId="56A69DBA" w14:textId="77777777" w:rsidR="00800F26" w:rsidRDefault="00800F26" w:rsidP="007B0541"/>
    <w:p w14:paraId="7F04152A" w14:textId="5AACF184" w:rsidR="00800F26" w:rsidRDefault="00800F26">
      <w:r>
        <w:br w:type="page"/>
      </w:r>
    </w:p>
    <w:p w14:paraId="3BE371A8" w14:textId="77777777" w:rsidR="00800F26" w:rsidRPr="00800F26" w:rsidRDefault="00800F26" w:rsidP="00800F26">
      <w:pPr>
        <w:pStyle w:val="Heading1"/>
      </w:pPr>
      <w:r w:rsidRPr="00800F26">
        <w:lastRenderedPageBreak/>
        <w:t>Legislation</w:t>
      </w:r>
    </w:p>
    <w:p w14:paraId="50CCF143" w14:textId="77777777" w:rsidR="00800F26" w:rsidRDefault="00800F26" w:rsidP="00800F26">
      <w:r w:rsidRPr="00800F26">
        <w:t xml:space="preserve">Administration of Estates Act 1925. </w:t>
      </w:r>
    </w:p>
    <w:p w14:paraId="688E06CD" w14:textId="77777777" w:rsidR="00800F26" w:rsidRDefault="00800F26" w:rsidP="00800F26">
      <w:r w:rsidRPr="00800F26">
        <w:t xml:space="preserve">Finance Act 2015. </w:t>
      </w:r>
    </w:p>
    <w:p w14:paraId="5EF69E4F" w14:textId="77777777" w:rsidR="00800F26" w:rsidRDefault="00800F26" w:rsidP="00800F26">
      <w:r w:rsidRPr="00800F26">
        <w:t xml:space="preserve">Inheritance Tax Act 1984. </w:t>
      </w:r>
    </w:p>
    <w:p w14:paraId="237E46EB" w14:textId="77777777" w:rsidR="00800F26" w:rsidRDefault="00800F26" w:rsidP="00800F26">
      <w:r w:rsidRPr="00800F26">
        <w:t xml:space="preserve">SRA Code of Conduct 2019. </w:t>
      </w:r>
    </w:p>
    <w:p w14:paraId="1F8C0B2E" w14:textId="362423CD" w:rsidR="00800F26" w:rsidRPr="00800F26" w:rsidRDefault="00800F26" w:rsidP="00800F26">
      <w:r w:rsidRPr="00800F26">
        <w:t>Wills Act 1837.</w:t>
      </w:r>
    </w:p>
    <w:p w14:paraId="37BA43EC" w14:textId="77777777" w:rsidR="00800F26" w:rsidRDefault="00800F26" w:rsidP="007B0541"/>
    <w:sectPr w:rsidR="00800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512E9"/>
    <w:multiLevelType w:val="multilevel"/>
    <w:tmpl w:val="4B20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BA09CF"/>
    <w:multiLevelType w:val="multilevel"/>
    <w:tmpl w:val="D630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1D2235"/>
    <w:multiLevelType w:val="multilevel"/>
    <w:tmpl w:val="F5CE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40163">
    <w:abstractNumId w:val="1"/>
  </w:num>
  <w:num w:numId="2" w16cid:durableId="616984075">
    <w:abstractNumId w:val="2"/>
  </w:num>
  <w:num w:numId="3" w16cid:durableId="420220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F6A"/>
    <w:rsid w:val="00332D71"/>
    <w:rsid w:val="003A1AB4"/>
    <w:rsid w:val="00426125"/>
    <w:rsid w:val="00465713"/>
    <w:rsid w:val="00591F5F"/>
    <w:rsid w:val="00772C41"/>
    <w:rsid w:val="007B0541"/>
    <w:rsid w:val="00800F26"/>
    <w:rsid w:val="00813CEC"/>
    <w:rsid w:val="008771B4"/>
    <w:rsid w:val="009121B8"/>
    <w:rsid w:val="00976CF5"/>
    <w:rsid w:val="00987E07"/>
    <w:rsid w:val="009D14FD"/>
    <w:rsid w:val="00A57F6A"/>
    <w:rsid w:val="00B53D9D"/>
    <w:rsid w:val="00BE51B7"/>
    <w:rsid w:val="00C83333"/>
    <w:rsid w:val="00C97282"/>
    <w:rsid w:val="00CB74B8"/>
    <w:rsid w:val="00D4150B"/>
    <w:rsid w:val="00D85547"/>
    <w:rsid w:val="00E764DB"/>
    <w:rsid w:val="00EC4828"/>
    <w:rsid w:val="00ED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FA633"/>
  <w15:chartTrackingRefBased/>
  <w15:docId w15:val="{1AEDC440-6298-4E28-B887-8C46F295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F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F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F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F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F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F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F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F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F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F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F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F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F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F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F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F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F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F6A"/>
    <w:rPr>
      <w:rFonts w:eastAsiaTheme="majorEastAsia" w:cstheme="majorBidi"/>
      <w:color w:val="272727" w:themeColor="text1" w:themeTint="D8"/>
    </w:rPr>
  </w:style>
  <w:style w:type="paragraph" w:styleId="Title">
    <w:name w:val="Title"/>
    <w:basedOn w:val="Normal"/>
    <w:next w:val="Normal"/>
    <w:link w:val="TitleChar"/>
    <w:uiPriority w:val="10"/>
    <w:qFormat/>
    <w:rsid w:val="00A57F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F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F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F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F6A"/>
    <w:pPr>
      <w:spacing w:before="160"/>
      <w:jc w:val="center"/>
    </w:pPr>
    <w:rPr>
      <w:i/>
      <w:iCs/>
      <w:color w:val="404040" w:themeColor="text1" w:themeTint="BF"/>
    </w:rPr>
  </w:style>
  <w:style w:type="character" w:customStyle="1" w:styleId="QuoteChar">
    <w:name w:val="Quote Char"/>
    <w:basedOn w:val="DefaultParagraphFont"/>
    <w:link w:val="Quote"/>
    <w:uiPriority w:val="29"/>
    <w:rsid w:val="00A57F6A"/>
    <w:rPr>
      <w:i/>
      <w:iCs/>
      <w:color w:val="404040" w:themeColor="text1" w:themeTint="BF"/>
    </w:rPr>
  </w:style>
  <w:style w:type="paragraph" w:styleId="ListParagraph">
    <w:name w:val="List Paragraph"/>
    <w:basedOn w:val="Normal"/>
    <w:uiPriority w:val="34"/>
    <w:qFormat/>
    <w:rsid w:val="00A57F6A"/>
    <w:pPr>
      <w:ind w:left="720"/>
      <w:contextualSpacing/>
    </w:pPr>
  </w:style>
  <w:style w:type="character" w:styleId="IntenseEmphasis">
    <w:name w:val="Intense Emphasis"/>
    <w:basedOn w:val="DefaultParagraphFont"/>
    <w:uiPriority w:val="21"/>
    <w:qFormat/>
    <w:rsid w:val="00A57F6A"/>
    <w:rPr>
      <w:i/>
      <w:iCs/>
      <w:color w:val="0F4761" w:themeColor="accent1" w:themeShade="BF"/>
    </w:rPr>
  </w:style>
  <w:style w:type="paragraph" w:styleId="IntenseQuote">
    <w:name w:val="Intense Quote"/>
    <w:basedOn w:val="Normal"/>
    <w:next w:val="Normal"/>
    <w:link w:val="IntenseQuoteChar"/>
    <w:uiPriority w:val="30"/>
    <w:qFormat/>
    <w:rsid w:val="00A57F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F6A"/>
    <w:rPr>
      <w:i/>
      <w:iCs/>
      <w:color w:val="0F4761" w:themeColor="accent1" w:themeShade="BF"/>
    </w:rPr>
  </w:style>
  <w:style w:type="character" w:styleId="IntenseReference">
    <w:name w:val="Intense Reference"/>
    <w:basedOn w:val="DefaultParagraphFont"/>
    <w:uiPriority w:val="32"/>
    <w:qFormat/>
    <w:rsid w:val="00A57F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2C239-80B2-45B0-815B-660C3D00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2026-04-30T20:52:00Z</dcterms:created>
  <dcterms:modified xsi:type="dcterms:W3CDTF">2026-04-30T20:52:00Z</dcterms:modified>
</cp:coreProperties>
</file>