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keepNext w:val="0"/>
        <w:keepLines w:val="0"/>
        <w:pageBreakBefore w:val="0"/>
        <w:widowControl/>
        <w:kinsoku/>
        <w:wordWrap w:val="0"/>
        <w:overflowPunct/>
        <w:topLinePunct w:val="0"/>
        <w:autoSpaceDE/>
        <w:autoSpaceDN/>
        <w:bidi w:val="0"/>
        <w:adjustRightInd/>
        <w:snapToGrid/>
        <w:jc w:val="center"/>
        <w:textAlignment w:val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BMMB7012 – Marketing Management</w:t>
      </w:r>
    </w:p>
    <w:p>
      <w:pPr>
        <w:keepNext w:val="0"/>
        <w:keepLines w:val="0"/>
        <w:pageBreakBefore w:val="0"/>
        <w:widowControl/>
        <w:kinsoku/>
        <w:wordWrap w:val="0"/>
        <w:overflowPunct/>
        <w:topLinePunct w:val="0"/>
        <w:autoSpaceDE/>
        <w:autoSpaceDN/>
        <w:bidi w:val="0"/>
        <w:adjustRightInd/>
        <w:snapToGrid/>
        <w:jc w:val="center"/>
        <w:textAlignment w:val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>
      <w:pPr>
        <w:keepNext w:val="0"/>
        <w:keepLines w:val="0"/>
        <w:pageBreakBefore w:val="0"/>
        <w:widowControl/>
        <w:kinsoku/>
        <w:wordWrap w:val="0"/>
        <w:overflowPunct/>
        <w:topLinePunct w:val="0"/>
        <w:autoSpaceDE/>
        <w:autoSpaceDN/>
        <w:bidi w:val="0"/>
        <w:adjustRightInd/>
        <w:snapToGrid/>
        <w:jc w:val="center"/>
        <w:textAlignment w:val="auto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jc w:val="right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right"/>
        </w:trPr>
        <w:tc>
          <w:tcPr>
            <w:tcW w:w="9016" w:type="dxa"/>
          </w:tcPr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both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>https://uowtsd-my.sharepoint.com/:v:/g/personal/2216376_student_uwtsd_ac_uk/EYJYeac355FKkcty8IeKmcsBclKxiyevo2R3OUQ2hlRi1Q</w:t>
            </w:r>
          </w:p>
        </w:tc>
      </w:tr>
    </w:tbl>
    <w:p>
      <w:pPr>
        <w:keepNext w:val="0"/>
        <w:keepLines w:val="0"/>
        <w:pageBreakBefore w:val="0"/>
        <w:widowControl/>
        <w:kinsoku/>
        <w:wordWrap w:val="0"/>
        <w:overflowPunct/>
        <w:topLinePunct w:val="0"/>
        <w:autoSpaceDE/>
        <w:autoSpaceDN/>
        <w:bidi w:val="0"/>
        <w:adjustRightInd/>
        <w:snapToGrid/>
        <w:jc w:val="both"/>
        <w:textAlignment w:val="auto"/>
        <w:rPr>
          <w:rFonts w:hint="eastAsia" w:ascii="Arial" w:hAnsi="Arial" w:eastAsia="宋体" w:cs="Arial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 w:val="0"/>
        <w:overflowPunct/>
        <w:topLinePunct w:val="0"/>
        <w:autoSpaceDE/>
        <w:autoSpaceDN/>
        <w:bidi w:val="0"/>
        <w:adjustRightInd/>
        <w:snapToGrid/>
        <w:jc w:val="center"/>
        <w:textAlignment w:val="auto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9016" w:type="dxa"/>
          </w:tcPr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Bob Blanchette (2020)</w:t>
            </w:r>
            <w:r>
              <w:rPr>
                <w:rFonts w:hint="eastAsia" w:ascii="Arial" w:hAnsi="Arial" w:cs="Arial"/>
                <w:i/>
                <w:iCs/>
              </w:rPr>
              <w:t xml:space="preserve"> Three Ways Technology Innovations are Propelling Tesla Forward.</w:t>
            </w:r>
            <w:r>
              <w:rPr>
                <w:rFonts w:hint="eastAsia" w:ascii="Arial" w:hAnsi="Arial" w:cs="Arial"/>
              </w:rPr>
              <w:t xml:space="preserve"> Available at: https://www.thirdstage-consulting.com/three-ways-technology-tesla/ (Accessed: 1 Nov 2022)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David Undercoffler. (2016). ‘Imitating Tesla will be tough; Direct-sales model faces state barriers’, </w:t>
            </w:r>
            <w:r>
              <w:rPr>
                <w:rFonts w:hint="eastAsia" w:ascii="Arial" w:hAnsi="Arial" w:cs="Arial"/>
                <w:i/>
                <w:iCs/>
              </w:rPr>
              <w:t>Automotive News</w:t>
            </w:r>
            <w:r>
              <w:rPr>
                <w:rFonts w:hint="eastAsia" w:ascii="Arial" w:hAnsi="Arial" w:cs="Arial"/>
              </w:rPr>
              <w:t xml:space="preserve">, 90(6745), pp.1–. 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Gaille, B. (2020)</w:t>
            </w:r>
            <w:r>
              <w:rPr>
                <w:rFonts w:hint="eastAsia" w:ascii="Arial" w:hAnsi="Arial" w:cs="Arial"/>
                <w:i/>
                <w:iCs/>
              </w:rPr>
              <w:t xml:space="preserve"> Tesla SWOT Analysis (2021)</w:t>
            </w:r>
            <w:r>
              <w:rPr>
                <w:rFonts w:hint="eastAsia" w:ascii="Arial" w:hAnsi="Arial" w:cs="Arial"/>
              </w:rPr>
              <w:t>:</w:t>
            </w:r>
            <w:r>
              <w:rPr>
                <w:rFonts w:hint="eastAsia" w:ascii="Arial" w:hAnsi="Arial" w:cs="Arial"/>
                <w:i/>
                <w:iCs/>
              </w:rPr>
              <w:t xml:space="preserve"> 33 Biggest Strengths and Weaknesses</w:t>
            </w:r>
            <w:r>
              <w:rPr>
                <w:rFonts w:hint="eastAsia" w:ascii="Arial" w:hAnsi="Arial" w:cs="Arial"/>
              </w:rPr>
              <w:t>. Available at: https://brandongaille.com/tesla-swot-analysis/(Accessed: 12 Nov 2022)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IEA. (2022).</w:t>
            </w:r>
            <w:r>
              <w:rPr>
                <w:rFonts w:hint="eastAsia" w:ascii="Arial" w:hAnsi="Arial" w:cs="Arial"/>
                <w:i/>
                <w:iCs/>
              </w:rPr>
              <w:t xml:space="preserve"> Global EV Outlook 2022</w:t>
            </w:r>
            <w:r>
              <w:rPr>
                <w:rFonts w:hint="eastAsia" w:ascii="Arial" w:hAnsi="Arial" w:cs="Arial"/>
              </w:rPr>
              <w:t>. San Jose State University. College of Business. Mineta Transportation Institute.Retrieved October Available at: https://www.iea.org/data-and-statistics/data-product/global-ev-outlook-2022 (Accessed: 10 Nov 2022)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James Yang (2019) Geekcar Available at: https://www.geekcar.com/archives/98805 (Accessed: 1 Nov 2022)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Jerry Zang, (2020)</w:t>
            </w:r>
            <w:r>
              <w:rPr>
                <w:rFonts w:hint="eastAsia" w:ascii="Arial" w:hAnsi="Arial" w:cs="Arial"/>
                <w:i/>
                <w:iCs/>
              </w:rPr>
              <w:t xml:space="preserve"> Tesla Is A Revolution</w:t>
            </w:r>
            <w:r>
              <w:rPr>
                <w:rFonts w:hint="eastAsia" w:ascii="Arial" w:hAnsi="Arial" w:cs="Arial"/>
              </w:rPr>
              <w:t>. Available at: https://www.sohu.com/a/373850764_146833 (Assessed: 28, October, 2022)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John Owen(2022)</w:t>
            </w:r>
            <w:r>
              <w:rPr>
                <w:rFonts w:hint="eastAsia" w:ascii="Arial" w:hAnsi="Arial" w:cs="Arial"/>
                <w:i/>
                <w:iCs/>
              </w:rPr>
              <w:t xml:space="preserve"> Inflation Reduction Act launches U.S. EV battery plans’, The Coueier, 9 October.</w:t>
            </w:r>
            <w:r>
              <w:rPr>
                <w:rFonts w:hint="eastAsia" w:ascii="Arial" w:hAnsi="Arial" w:cs="Arial"/>
              </w:rPr>
              <w:t xml:space="preserve"> Available at: https://www.autonews.com/manufacturing/inflation-reduction-act-bears-fruit  (Accesdsed: 15 November 2022).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Jr, V. (2019). ‘Sedan is still top choice among minority buyers; Tesla Model 3 is No. 1 registered by Asians.’</w:t>
            </w:r>
            <w:r>
              <w:rPr>
                <w:rFonts w:hint="eastAsia" w:ascii="Arial" w:hAnsi="Arial" w:cs="Arial"/>
                <w:i/>
                <w:iCs/>
              </w:rPr>
              <w:t xml:space="preserve"> Automotive News</w:t>
            </w:r>
            <w:r>
              <w:rPr>
                <w:rFonts w:hint="eastAsia" w:ascii="Arial" w:hAnsi="Arial" w:cs="Arial"/>
              </w:rPr>
              <w:t xml:space="preserve">, 94(6903), pp. 4–. 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Kissinger, D. (February, 2019) Tesla Inc. </w:t>
            </w:r>
            <w:r>
              <w:rPr>
                <w:rFonts w:hint="eastAsia" w:ascii="Arial" w:hAnsi="Arial" w:cs="Arial"/>
                <w:i/>
                <w:iCs/>
              </w:rPr>
              <w:t>Five Forces Analysis (Porter’s Model) &amp; Recommendations</w:t>
            </w:r>
            <w:r>
              <w:rPr>
                <w:rFonts w:hint="eastAsia" w:ascii="Arial" w:hAnsi="Arial" w:cs="Arial"/>
              </w:rPr>
              <w:t xml:space="preserve">  Available at: https://panmore.com/tesla-motors-inc-five-forces-analysis-recommendations-porters-model(Accessed: 12 Nov 2022)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Kwan-Chen Ma (2019)</w:t>
            </w:r>
            <w:r>
              <w:rPr>
                <w:rFonts w:hint="eastAsia" w:ascii="Arial" w:hAnsi="Arial" w:cs="Arial"/>
                <w:i/>
                <w:iCs/>
              </w:rPr>
              <w:t xml:space="preserve"> Tesla Vs. BYD: A Relative Valuation</w:t>
            </w:r>
            <w:r>
              <w:rPr>
                <w:rFonts w:hint="eastAsia" w:ascii="Arial" w:hAnsi="Arial" w:cs="Arial"/>
              </w:rPr>
              <w:t xml:space="preserve"> Available at: https://seekingalpha.com/article/4297305-tesla-vs-byd-relative-valuation (Accessed: 1 Nov 2022)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Nelson, G. (2015). ‘Battle of the brands: TESLA.’ </w:t>
            </w:r>
            <w:r>
              <w:rPr>
                <w:rFonts w:hint="eastAsia" w:ascii="Arial" w:hAnsi="Arial" w:cs="Arial"/>
                <w:i/>
                <w:iCs/>
              </w:rPr>
              <w:t>Automotive News,</w:t>
            </w:r>
            <w:r>
              <w:rPr>
                <w:rFonts w:hint="eastAsia" w:ascii="Arial" w:hAnsi="Arial" w:cs="Arial"/>
              </w:rPr>
              <w:t xml:space="preserve"> 89(6654), pp. 020–. 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Ruth Ashford; Karen Beamish (2008); Marketing planning 2008-2009; Butterworth-Heinemann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Rigas, E. S., Ramchurn, S. D., &amp; Bassiliades, N. (2014). Managing electric vehicles in the smart grid using artificial intelligence: A survey.</w:t>
            </w:r>
            <w:r>
              <w:rPr>
                <w:rFonts w:hint="eastAsia" w:ascii="Arial" w:hAnsi="Arial" w:cs="Arial"/>
                <w:i/>
                <w:iCs/>
              </w:rPr>
              <w:t xml:space="preserve"> IEEE Transactions on Intelligent Transportation Systems, 16(</w:t>
            </w:r>
            <w:r>
              <w:rPr>
                <w:rFonts w:hint="eastAsia" w:ascii="Arial" w:hAnsi="Arial" w:cs="Arial"/>
              </w:rPr>
              <w:t>4), 1619-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Rives, K. (2022). </w:t>
            </w:r>
            <w:r>
              <w:rPr>
                <w:rFonts w:hint="eastAsia" w:ascii="Arial" w:hAnsi="Arial" w:cs="Arial"/>
                <w:i/>
                <w:iCs/>
              </w:rPr>
              <w:t>Global electric vehicle sales doubled; US made EV comeback in 2021</w:t>
            </w:r>
            <w:r>
              <w:rPr>
                <w:rFonts w:hint="eastAsia" w:ascii="Arial" w:hAnsi="Arial" w:cs="Arial"/>
              </w:rPr>
              <w:t>. San Jose State University.Collegeof Business. Mineta Transportation Institute. Available at: https://www.spglobal.com/marketintelligence/en/news-insights/latest-news-headlines/global-electric-vehicle-sales-doubled-us-made-ev-comeback-in-2021-70489884#:~:text=In%20all%2C%20there%20were%2016.5%20million%20electric%20cars,carbon%20dioxide%20emissions%2C%20accounting%20for%2033%25%20in%202020. (Accessed: 10 Nov 2022)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Unterweger, A.</w:t>
            </w:r>
            <w:r>
              <w:rPr>
                <w:rFonts w:hint="eastAsia" w:ascii="Arial" w:hAnsi="Arial" w:cs="Arial"/>
                <w:i/>
                <w:iCs/>
              </w:rPr>
              <w:t xml:space="preserve"> et al.</w:t>
            </w:r>
            <w:r>
              <w:rPr>
                <w:rFonts w:hint="eastAsia" w:ascii="Arial" w:hAnsi="Arial" w:cs="Arial"/>
              </w:rPr>
              <w:t xml:space="preserve"> (2022). ‘ An analysis of privacy preservation in electric vehicle charging. </w:t>
            </w:r>
            <w:r>
              <w:rPr>
                <w:rFonts w:hint="eastAsia" w:ascii="Arial" w:hAnsi="Arial" w:cs="Arial"/>
                <w:i/>
                <w:iCs/>
              </w:rPr>
              <w:t>Energy Informatics, 5</w:t>
            </w:r>
            <w:r>
              <w:rPr>
                <w:rFonts w:hint="eastAsia" w:ascii="Arial" w:hAnsi="Arial" w:cs="Arial"/>
              </w:rPr>
              <w:t xml:space="preserve">(1), p1-27. </w:t>
            </w:r>
            <w:bookmarkStart w:id="0" w:name="_GoBack"/>
            <w:bookmarkEnd w:id="0"/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Urvaksh Karkaria(2022).‘Hyundai group, Ford chip away at Tesla lead[J]’, </w:t>
            </w:r>
            <w:r>
              <w:rPr>
                <w:rFonts w:hint="eastAsia" w:ascii="Arial" w:hAnsi="Arial" w:cs="Arial"/>
                <w:i/>
                <w:iCs/>
              </w:rPr>
              <w:t>The Coueier, 15 October.</w:t>
            </w:r>
            <w:r>
              <w:rPr>
                <w:rFonts w:hint="eastAsia" w:ascii="Arial" w:hAnsi="Arial" w:cs="Arial"/>
              </w:rPr>
              <w:t xml:space="preserve"> Available at: https://www.autonews.com/sales/tesla-leads-evs-race-hyundai-ford-gain-ground(Accesdsed: 16 November 2022).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Xiang Lele, (2021)</w:t>
            </w:r>
            <w:r>
              <w:rPr>
                <w:rFonts w:hint="eastAsia" w:ascii="Arial" w:hAnsi="Arial" w:cs="Arial"/>
                <w:i/>
                <w:iCs/>
              </w:rPr>
              <w:t xml:space="preserve"> The Battery life of Tesla</w:t>
            </w:r>
            <w:r>
              <w:rPr>
                <w:rFonts w:hint="eastAsia" w:ascii="Arial" w:hAnsi="Arial" w:cs="Arial"/>
              </w:rPr>
              <w:t>. Available at: https://baike.pcauto.com.cn/90367/156391.html (Assessed: 29, October, 2022)</w:t>
            </w:r>
          </w:p>
          <w:p>
            <w:pPr>
              <w:keepNext w:val="0"/>
              <w:keepLines w:val="0"/>
              <w:pageBreakBefore w:val="0"/>
              <w:widowControl/>
              <w:numPr>
                <w:ilvl w:val="0"/>
                <w:numId w:val="1"/>
              </w:numPr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ind w:left="425" w:leftChars="0" w:hanging="425" w:firstLineChars="0"/>
              <w:jc w:val="both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Xiang Lele, (2022)</w:t>
            </w:r>
            <w:r>
              <w:rPr>
                <w:rFonts w:hint="eastAsia" w:ascii="Arial" w:hAnsi="Arial" w:cs="Arial"/>
                <w:i/>
                <w:iCs/>
              </w:rPr>
              <w:t xml:space="preserve"> The Analysis of the Structure of Tesla as A Purely Electricity-Powered Vehicle.</w:t>
            </w:r>
            <w:r>
              <w:rPr>
                <w:rFonts w:hint="eastAsia" w:ascii="Arial" w:hAnsi="Arial" w:cs="Arial"/>
              </w:rPr>
              <w:t xml:space="preserve"> Available at: http://baike.pcauto.com.cn/96518/168688.html (Assessed: 29, October, 2022)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left"/>
              <w:textAlignment w:val="auto"/>
              <w:rPr>
                <w:rFonts w:hint="eastAsia"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left"/>
              <w:textAlignment w:val="auto"/>
              <w:rPr>
                <w:rFonts w:hint="eastAsia"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left"/>
              <w:textAlignment w:val="auto"/>
              <w:rPr>
                <w:rFonts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left"/>
              <w:textAlignment w:val="auto"/>
              <w:rPr>
                <w:rFonts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center"/>
              <w:textAlignment w:val="auto"/>
              <w:rPr>
                <w:rFonts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center"/>
              <w:textAlignment w:val="auto"/>
              <w:rPr>
                <w:rFonts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center"/>
              <w:textAlignment w:val="auto"/>
              <w:rPr>
                <w:rFonts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center"/>
              <w:textAlignment w:val="auto"/>
              <w:rPr>
                <w:rFonts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center"/>
              <w:textAlignment w:val="auto"/>
              <w:rPr>
                <w:rFonts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center"/>
              <w:textAlignment w:val="auto"/>
              <w:rPr>
                <w:rFonts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center"/>
              <w:textAlignment w:val="auto"/>
              <w:rPr>
                <w:rFonts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both"/>
              <w:textAlignment w:val="auto"/>
              <w:rPr>
                <w:rFonts w:ascii="Arial" w:hAnsi="Arial" w:cs="Arial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 w:val="0"/>
              <w:overflowPunct/>
              <w:topLinePunct w:val="0"/>
              <w:autoSpaceDE/>
              <w:autoSpaceDN/>
              <w:bidi w:val="0"/>
              <w:adjustRightInd/>
              <w:snapToGrid/>
              <w:jc w:val="center"/>
              <w:textAlignment w:val="auto"/>
              <w:rPr>
                <w:rFonts w:ascii="Arial" w:hAnsi="Arial" w:cs="Arial"/>
              </w:rPr>
            </w:pPr>
          </w:p>
        </w:tc>
      </w:tr>
    </w:tbl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95FC9992"/>
    <w:multiLevelType w:val="singleLevel"/>
    <w:tmpl w:val="95FC9992"/>
    <w:lvl w:ilvl="0" w:tentative="0">
      <w:start w:val="1"/>
      <w:numFmt w:val="decimal"/>
      <w:lvlText w:val="%1."/>
      <w:lvlJc w:val="left"/>
      <w:pPr>
        <w:ind w:left="425" w:hanging="425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zU1NmFkYjM2ZjVlNjlhYTExODFlMTExZDY5YzQ0NzkifQ=="/>
  </w:docVars>
  <w:rsids>
    <w:rsidRoot w:val="00284040"/>
    <w:rsid w:val="00284040"/>
    <w:rsid w:val="00B561DC"/>
    <w:rsid w:val="19371A3D"/>
    <w:rsid w:val="1F696B52"/>
    <w:rsid w:val="2BED3C9F"/>
    <w:rsid w:val="316118F5"/>
    <w:rsid w:val="333657D4"/>
    <w:rsid w:val="3E671124"/>
    <w:rsid w:val="428B0580"/>
    <w:rsid w:val="457A189C"/>
    <w:rsid w:val="4D090804"/>
    <w:rsid w:val="77D62B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name="Hyperlink"/>
    <w:lsdException w:qFormat="1"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="Calibri" w:hAnsi="Calibri" w:eastAsia="Calibri" w:cs="Times New Roman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5">
    <w:name w:val="FollowedHyperlink"/>
    <w:basedOn w:val="4"/>
    <w:semiHidden/>
    <w:unhideWhenUsed/>
    <w:qFormat/>
    <w:uiPriority w:val="99"/>
    <w:rPr>
      <w:color w:val="800080"/>
      <w:u w:val="single"/>
    </w:rPr>
  </w:style>
  <w:style w:type="character" w:styleId="6">
    <w:name w:val="Hyperlink"/>
    <w:basedOn w:val="4"/>
    <w:semiHidden/>
    <w:unhideWhenUsed/>
    <w:qFormat/>
    <w:uiPriority w:val="99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385</Words>
  <Characters>3304</Characters>
  <Lines>2</Lines>
  <Paragraphs>1</Paragraphs>
  <TotalTime>1</TotalTime>
  <ScaleCrop>false</ScaleCrop>
  <LinksUpToDate>false</LinksUpToDate>
  <CharactersWithSpaces>3672</CharactersWithSpaces>
  <Application>WPS Office_11.1.0.12763_F1E327BC-269C-435d-A152-05C5408002CA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2022-04-26T16:01:00Z</dcterms:created>
  <dc:creator>Davina Evans</dc:creator>
  <cp:lastModifiedBy>〃</cp:lastModifiedBy>
  <dcterms:modified xsi:type="dcterms:W3CDTF">2022-11-17T15:03:23Z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2052-11.1.0.12763</vt:lpwstr>
  </property>
  <property fmtid="{D5CDD505-2E9C-101B-9397-08002B2CF9AE}" pid="3" name="ICV">
    <vt:lpwstr>9348BDEF1E1842B49CB7379F8B37384D</vt:lpwstr>
  </property>
</Properties>
</file>