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32727563"/>
        <w:docPartObj>
          <w:docPartGallery w:val="Cover Pages"/>
          <w:docPartUnique/>
        </w:docPartObj>
      </w:sdtPr>
      <w:sdtEndPr>
        <w:rPr>
          <w:rFonts w:ascii="Arial Black" w:hAnsi="Arial Black" w:cs="Arial"/>
        </w:rPr>
      </w:sdtEndPr>
      <w:sdtContent>
        <w:p w14:paraId="5678C740" w14:textId="619E8140" w:rsidR="00DB28BD" w:rsidRDefault="00DB28BD"/>
        <w:p w14:paraId="2B43D126" w14:textId="5A62CF60" w:rsidR="00DB28BD" w:rsidRDefault="00DB28BD">
          <w:pPr>
            <w:rPr>
              <w:rFonts w:ascii="Arial Black" w:hAnsi="Arial Black" w:cs="Arial"/>
            </w:rPr>
          </w:pPr>
          <w:r>
            <w:rPr>
              <w:noProof/>
            </w:rPr>
            <mc:AlternateContent>
              <mc:Choice Requires="wps">
                <w:drawing>
                  <wp:anchor distT="0" distB="0" distL="182880" distR="182880" simplePos="0" relativeHeight="251660288" behindDoc="0" locked="0" layoutInCell="1" allowOverlap="1" wp14:anchorId="522C53F6" wp14:editId="5B97D5ED">
                    <wp:simplePos x="0" y="0"/>
                    <wp:positionH relativeFrom="margin">
                      <wp:align>right</wp:align>
                    </wp:positionH>
                    <wp:positionV relativeFrom="page">
                      <wp:posOffset>5772150</wp:posOffset>
                    </wp:positionV>
                    <wp:extent cx="5749925" cy="6720840"/>
                    <wp:effectExtent l="0" t="0" r="317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57499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E68DD" w14:textId="4DF533CA" w:rsidR="00DB28BD" w:rsidRPr="00DB28BD" w:rsidRDefault="00DB28BD" w:rsidP="00DB28BD">
                                <w:pPr>
                                  <w:pStyle w:val="NoSpacing"/>
                                  <w:spacing w:before="40" w:after="560" w:line="216" w:lineRule="auto"/>
                                  <w:jc w:val="center"/>
                                  <w:rPr>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B28BD">
                                      <w:rPr>
                                        <w:rFonts w:ascii="Arial Black" w:hAnsi="Arial Black"/>
                                        <w:color w:val="156082" w:themeColor="accent1"/>
                                        <w:sz w:val="72"/>
                                        <w:szCs w:val="72"/>
                                      </w:rPr>
                                      <w:t>Appraisal on Swansea Area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22C53F6" id="_x0000_t202" coordsize="21600,21600" o:spt="202" path="m,l,21600r21600,l21600,xe">
                    <v:stroke joinstyle="miter"/>
                    <v:path gradientshapeok="t" o:connecttype="rect"/>
                  </v:shapetype>
                  <v:shape id="Text Box 131" o:spid="_x0000_s1026" type="#_x0000_t202" style="position:absolute;margin-left:401.55pt;margin-top:454.5pt;width:452.75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" filled="f" stroked="f" strokeweight=".5pt">
                    <v:textbox style="mso-fit-shape-to-text:t" inset="0,0,0,0">
                      <w:txbxContent>
                        <w:p w14:paraId="793E68DD" w14:textId="4DF533CA" w:rsidR="00DB28BD" w:rsidRPr="00DB28BD" w:rsidRDefault="00DB28BD" w:rsidP="00DB28BD">
                          <w:pPr>
                            <w:pStyle w:val="NoSpacing"/>
                            <w:spacing w:before="40" w:after="560" w:line="216" w:lineRule="auto"/>
                            <w:jc w:val="center"/>
                            <w:rPr>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B28BD">
                                <w:rPr>
                                  <w:rFonts w:ascii="Arial Black" w:hAnsi="Arial Black"/>
                                  <w:color w:val="156082" w:themeColor="accent1"/>
                                  <w:sz w:val="72"/>
                                  <w:szCs w:val="72"/>
                                </w:rPr>
                                <w:t>Appraisal on Swansea Area</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C4ABBEC" wp14:editId="2A18177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2-09T00:00:00Z">
                                    <w:dateFormat w:val="yyyy"/>
                                    <w:lid w:val="en-US"/>
                                    <w:storeMappedDataAs w:val="dateTime"/>
                                    <w:calendar w:val="gregorian"/>
                                  </w:date>
                                </w:sdtPr>
                                <w:sdtContent>
                                  <w:p w14:paraId="31D9A730" w14:textId="2D671789" w:rsidR="00DB28BD" w:rsidRPr="00DB28BD" w:rsidRDefault="00DB28BD">
                                    <w:pPr>
                                      <w:pStyle w:val="NoSpacing"/>
                                      <w:jc w:val="right"/>
                                      <w:rPr>
                                        <w:rFonts w:ascii="Arial Black" w:hAnsi="Arial Black"/>
                                        <w:color w:val="FFFFFF" w:themeColor="background1"/>
                                        <w:sz w:val="24"/>
                                        <w:szCs w:val="24"/>
                                      </w:rPr>
                                    </w:pPr>
                                    <w:r w:rsidRPr="00DB28BD">
                                      <w:rPr>
                                        <w:rFonts w:ascii="Arial Black" w:hAnsi="Arial Black"/>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C4ABBE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2-09T00:00:00Z">
                              <w:dateFormat w:val="yyyy"/>
                              <w:lid w:val="en-US"/>
                              <w:storeMappedDataAs w:val="dateTime"/>
                              <w:calendar w:val="gregorian"/>
                            </w:date>
                          </w:sdtPr>
                          <w:sdtContent>
                            <w:p w14:paraId="31D9A730" w14:textId="2D671789" w:rsidR="00DB28BD" w:rsidRPr="00DB28BD" w:rsidRDefault="00DB28BD">
                              <w:pPr>
                                <w:pStyle w:val="NoSpacing"/>
                                <w:jc w:val="right"/>
                                <w:rPr>
                                  <w:rFonts w:ascii="Arial Black" w:hAnsi="Arial Black"/>
                                  <w:color w:val="FFFFFF" w:themeColor="background1"/>
                                  <w:sz w:val="24"/>
                                  <w:szCs w:val="24"/>
                                </w:rPr>
                              </w:pPr>
                              <w:r w:rsidRPr="00DB28BD">
                                <w:rPr>
                                  <w:rFonts w:ascii="Arial Black" w:hAnsi="Arial Black"/>
                                  <w:color w:val="FFFFFF" w:themeColor="background1"/>
                                  <w:sz w:val="24"/>
                                  <w:szCs w:val="24"/>
                                </w:rPr>
                                <w:t>2025</w:t>
                              </w:r>
                            </w:p>
                          </w:sdtContent>
                        </w:sdt>
                      </w:txbxContent>
                    </v:textbox>
                    <w10:wrap anchorx="margin" anchory="page"/>
                  </v:rect>
                </w:pict>
              </mc:Fallback>
            </mc:AlternateContent>
          </w:r>
          <w:r>
            <w:rPr>
              <w:rFonts w:ascii="Arial Black" w:hAnsi="Arial Black" w:cs="Arial"/>
            </w:rPr>
            <w:br w:type="page"/>
          </w:r>
        </w:p>
      </w:sdtContent>
    </w:sdt>
    <w:p w14:paraId="41754672" w14:textId="06DEC54D" w:rsidR="00207C29" w:rsidRPr="007D456F" w:rsidRDefault="00207C29" w:rsidP="00FA5E13">
      <w:pPr>
        <w:spacing w:line="480" w:lineRule="auto"/>
        <w:jc w:val="both"/>
        <w:rPr>
          <w:rFonts w:ascii="Arial Black" w:hAnsi="Arial Black" w:cs="Arial"/>
        </w:rPr>
      </w:pPr>
      <w:r w:rsidRPr="007D456F">
        <w:rPr>
          <w:rFonts w:ascii="Arial Black" w:hAnsi="Arial Black" w:cs="Arial"/>
        </w:rPr>
        <w:lastRenderedPageBreak/>
        <w:t xml:space="preserve">Changing Fortunes </w:t>
      </w:r>
    </w:p>
    <w:p w14:paraId="5235CDA6" w14:textId="77777777" w:rsidR="007D456F" w:rsidRDefault="00FA5E13" w:rsidP="00FA5E13">
      <w:pPr>
        <w:spacing w:line="480" w:lineRule="auto"/>
        <w:jc w:val="both"/>
        <w:rPr>
          <w:rFonts w:ascii="Arial" w:hAnsi="Arial" w:cs="Arial"/>
        </w:rPr>
      </w:pPr>
      <w:r w:rsidRPr="00FA5E13">
        <w:rPr>
          <w:rFonts w:ascii="Arial" w:hAnsi="Arial" w:cs="Arial"/>
        </w:rPr>
        <w:t xml:space="preserve">Global markets, technology changes, and changing society needs all help to define Swansea's path from industrial powerhouse to a city looking for new economic opportunities. Processing copper ore sent from far-off sites such Chile, Cuba, and North </w:t>
      </w:r>
      <w:r w:rsidR="00207C29" w:rsidRPr="00FA5E13">
        <w:rPr>
          <w:rFonts w:ascii="Arial" w:hAnsi="Arial" w:cs="Arial"/>
        </w:rPr>
        <w:t>America;</w:t>
      </w:r>
      <w:r w:rsidRPr="00FA5E13">
        <w:rPr>
          <w:rFonts w:ascii="Arial" w:hAnsi="Arial" w:cs="Arial"/>
        </w:rPr>
        <w:t xml:space="preserve"> Swansea was known as the "Copperopolis" of the world throughout the nineteenth century (Newell, 1990). The region's rich coal deposits, somewhat advanced smelting technology, and favourable coastline location</w:t>
      </w:r>
      <w:r w:rsidR="007D456F">
        <w:rPr>
          <w:rFonts w:ascii="Arial" w:hAnsi="Arial" w:cs="Arial"/>
        </w:rPr>
        <w:t xml:space="preserve"> </w:t>
      </w:r>
      <w:r w:rsidRPr="00FA5E13">
        <w:rPr>
          <w:rFonts w:ascii="Arial" w:hAnsi="Arial" w:cs="Arial"/>
        </w:rPr>
        <w:t>which allowed for transportation efficiencies</w:t>
      </w:r>
      <w:r w:rsidR="007D456F">
        <w:rPr>
          <w:rFonts w:ascii="Arial" w:hAnsi="Arial" w:cs="Arial"/>
        </w:rPr>
        <w:t xml:space="preserve"> </w:t>
      </w:r>
      <w:r w:rsidRPr="00FA5E13">
        <w:rPr>
          <w:rFonts w:ascii="Arial" w:hAnsi="Arial" w:cs="Arial"/>
        </w:rPr>
        <w:t>all help to explain this concentration of metallurgical activity (Evans &amp; Saunders, 2015.). Placed squarely in the forefront of Britain's Industrial Revolution, investment in copper smelting and allied sectors drove urban development, infrastructure improvement, and social transformation (Evans, 2014).</w:t>
      </w:r>
    </w:p>
    <w:p w14:paraId="589281E2" w14:textId="2539DD14" w:rsidR="007D456F" w:rsidRDefault="007D456F" w:rsidP="00FA5E13">
      <w:pPr>
        <w:spacing w:line="480" w:lineRule="auto"/>
        <w:jc w:val="both"/>
        <w:rPr>
          <w:rFonts w:ascii="Arial" w:hAnsi="Arial" w:cs="Arial"/>
        </w:rPr>
      </w:pPr>
      <w:r w:rsidRPr="00FA5E13">
        <w:rPr>
          <w:rFonts w:ascii="Arial" w:hAnsi="Arial" w:cs="Arial"/>
        </w:rPr>
        <w:t>However,</w:t>
      </w:r>
      <w:r w:rsidR="00FA5E13" w:rsidRPr="00FA5E13">
        <w:rPr>
          <w:rFonts w:ascii="Arial" w:hAnsi="Arial" w:cs="Arial"/>
        </w:rPr>
        <w:t xml:space="preserve"> Swansea's fortunes started to turn down when outside circumstances shifted. Expanding industrial hubs overseas and in other areas of the UK began to outcompete local businesses (Hughes, 2008). Improvements in metallurgy and transportation meant copper processing could be located closer to mine sources, therefore lessening the appeal of exporting raw materials to South Wales. The city's predominate position lost over the late nineteenth and early twentieth century. While some businesses expanded into new metals and manufacturing techniques, general closures always resulted in unemployment, changes in population, and reduced investment (Mah, 2012).</w:t>
      </w:r>
    </w:p>
    <w:p w14:paraId="4CE59DF6" w14:textId="414DF823" w:rsidR="007D456F" w:rsidRDefault="00FA5E13" w:rsidP="00FA5E13">
      <w:pPr>
        <w:spacing w:line="480" w:lineRule="auto"/>
        <w:jc w:val="both"/>
        <w:rPr>
          <w:rFonts w:ascii="Arial" w:hAnsi="Arial" w:cs="Arial"/>
        </w:rPr>
      </w:pPr>
      <w:r w:rsidRPr="00FA5E13">
        <w:rPr>
          <w:rFonts w:ascii="Arial" w:hAnsi="Arial" w:cs="Arial"/>
        </w:rPr>
        <w:t xml:space="preserve">Swansea overcame the usual post-industrial problems experienced in many British cities in the decades following World War II. While some industries continued, economic outputs did not reflect the wealth of past eras. Many abandoned and polluted areas dotted the metropolitan scene, evidence of the industrial background of the city. </w:t>
      </w:r>
      <w:r w:rsidRPr="00FA5E13">
        <w:rPr>
          <w:rFonts w:ascii="Arial" w:hAnsi="Arial" w:cs="Arial"/>
        </w:rPr>
        <w:lastRenderedPageBreak/>
        <w:t>While modernising Swansea's infrastructure</w:t>
      </w:r>
      <w:r w:rsidR="007D456F">
        <w:rPr>
          <w:rFonts w:ascii="Arial" w:hAnsi="Arial" w:cs="Arial"/>
        </w:rPr>
        <w:t xml:space="preserve"> </w:t>
      </w:r>
      <w:r w:rsidRPr="00FA5E13">
        <w:rPr>
          <w:rFonts w:ascii="Arial" w:hAnsi="Arial" w:cs="Arial"/>
        </w:rPr>
        <w:t>building new road networks, renovating residential areas</w:t>
      </w:r>
      <w:r w:rsidR="007D456F">
        <w:rPr>
          <w:rFonts w:ascii="Arial" w:hAnsi="Arial" w:cs="Arial"/>
        </w:rPr>
        <w:t xml:space="preserve"> </w:t>
      </w:r>
      <w:r w:rsidRPr="00FA5E13">
        <w:rPr>
          <w:rFonts w:ascii="Arial" w:hAnsi="Arial" w:cs="Arial"/>
        </w:rPr>
        <w:t>urban planning in the 1960s and 1970s only helped to somewhat address the more fundamental structural problems related to deindustrialisation (Stewart, 2022).</w:t>
      </w:r>
    </w:p>
    <w:p w14:paraId="2B7ADF3A" w14:textId="39708F87" w:rsidR="007D456F" w:rsidRDefault="00FA5E13" w:rsidP="00FA5E13">
      <w:pPr>
        <w:spacing w:line="480" w:lineRule="auto"/>
        <w:jc w:val="both"/>
        <w:rPr>
          <w:rFonts w:ascii="Arial" w:hAnsi="Arial" w:cs="Arial"/>
        </w:rPr>
      </w:pPr>
      <w:r w:rsidRPr="00FA5E13">
        <w:rPr>
          <w:rFonts w:ascii="Arial" w:hAnsi="Arial" w:cs="Arial"/>
        </w:rPr>
        <w:t>From the 1980s on, Swansea started adjusting towards a knowledge-based, service-oriented economy. Often emphasising cultural heritage, tourism, education, and retail, this shift fit more general regional policies encouraging urban revitalisation (O'Brien &amp; Matthews, 2015). As Swansea University grew, it attracted employees and students and improved local research capability. Similarly, the Gower Peninsula</w:t>
      </w:r>
      <w:r w:rsidR="007D456F">
        <w:rPr>
          <w:rFonts w:ascii="Arial" w:hAnsi="Arial" w:cs="Arial"/>
        </w:rPr>
        <w:t xml:space="preserve"> </w:t>
      </w:r>
      <w:r w:rsidRPr="00FA5E13">
        <w:rPr>
          <w:rFonts w:ascii="Arial" w:hAnsi="Arial" w:cs="Arial"/>
        </w:rPr>
        <w:t>globally known for its natural beauty</w:t>
      </w:r>
      <w:r w:rsidR="007D456F">
        <w:rPr>
          <w:rFonts w:ascii="Arial" w:hAnsi="Arial" w:cs="Arial"/>
        </w:rPr>
        <w:t xml:space="preserve"> </w:t>
      </w:r>
      <w:r w:rsidRPr="00FA5E13">
        <w:rPr>
          <w:rFonts w:ascii="Arial" w:hAnsi="Arial" w:cs="Arial"/>
        </w:rPr>
        <w:t>acted as a draw for visitors; the city's coastline and marine legacy offered tourism possibilities (Viken, 2016).</w:t>
      </w:r>
    </w:p>
    <w:p w14:paraId="7708C8E9" w14:textId="77777777" w:rsidR="007D456F" w:rsidRDefault="00FA5E13" w:rsidP="00FA5E13">
      <w:pPr>
        <w:spacing w:line="480" w:lineRule="auto"/>
        <w:jc w:val="both"/>
        <w:rPr>
          <w:rFonts w:ascii="Arial" w:hAnsi="Arial" w:cs="Arial"/>
        </w:rPr>
      </w:pPr>
      <w:r w:rsidRPr="00FA5E13">
        <w:rPr>
          <w:rFonts w:ascii="Arial" w:hAnsi="Arial" w:cs="Arial"/>
        </w:rPr>
        <w:t>Still, this transformation has happened not equally. A few areas of Swansea underwent economic diversification, redevelopment, and investment. Others kept suffering the effects of industrial downturn. While the economic reorganisation created new kinds of employment and entrepreneurship, it also ran the danger of excluding communities connected to the past industrial practices. The city has maintained momentum despite such differences by channelling nostalgia for its copper-rich history into cultural manifestations, community activities, and regeneration projects targeted at creating a more resilient urban identity (Powe, Pringle, &amp; Hart, 2015).</w:t>
      </w:r>
    </w:p>
    <w:p w14:paraId="546DEE88" w14:textId="692478BD" w:rsidR="007D456F" w:rsidRDefault="00FA5E13" w:rsidP="00FA5E13">
      <w:pPr>
        <w:spacing w:line="480" w:lineRule="auto"/>
        <w:jc w:val="both"/>
        <w:rPr>
          <w:rFonts w:ascii="Arial" w:hAnsi="Arial" w:cs="Arial"/>
        </w:rPr>
      </w:pPr>
      <w:r w:rsidRPr="00FA5E13">
        <w:rPr>
          <w:rFonts w:ascii="Arial" w:hAnsi="Arial" w:cs="Arial"/>
        </w:rPr>
        <w:t xml:space="preserve">Swansea's changing fortunes so are neither a straight-forward collapse narrative nor an unambiguous recovery. Rather, they show how local dreams interact with globalisation, changing resource dynamics, and policy interventions. The city faces both the benefits of a strong industrial and maritime past as well as the difficulties guaranteeing economic inclusiveness and environmental sustainability as it looks </w:t>
      </w:r>
      <w:r w:rsidRPr="00FA5E13">
        <w:rPr>
          <w:rFonts w:ascii="Arial" w:hAnsi="Arial" w:cs="Arial"/>
        </w:rPr>
        <w:lastRenderedPageBreak/>
        <w:t xml:space="preserve">forward (Mah, 2012). These twin goals help to define the environment in which Swansea's present assets, stakeholders, and plans of action </w:t>
      </w:r>
      <w:r w:rsidR="007D456F" w:rsidRPr="00FA5E13">
        <w:rPr>
          <w:rFonts w:ascii="Arial" w:hAnsi="Arial" w:cs="Arial"/>
        </w:rPr>
        <w:t>must</w:t>
      </w:r>
      <w:r w:rsidRPr="00FA5E13">
        <w:rPr>
          <w:rFonts w:ascii="Arial" w:hAnsi="Arial" w:cs="Arial"/>
        </w:rPr>
        <w:t xml:space="preserve"> function.</w:t>
      </w:r>
    </w:p>
    <w:p w14:paraId="669DA0EE" w14:textId="303A7E17" w:rsidR="007D456F" w:rsidRPr="007D456F" w:rsidRDefault="007D456F" w:rsidP="00FA5E13">
      <w:pPr>
        <w:spacing w:line="480" w:lineRule="auto"/>
        <w:jc w:val="both"/>
        <w:rPr>
          <w:rFonts w:ascii="Arial Black" w:hAnsi="Arial Black" w:cs="Arial"/>
        </w:rPr>
      </w:pPr>
      <w:r w:rsidRPr="007D456F">
        <w:rPr>
          <w:rFonts w:ascii="Arial Black" w:hAnsi="Arial Black" w:cs="Arial"/>
        </w:rPr>
        <w:t>Existing assets, structures and economic character</w:t>
      </w:r>
    </w:p>
    <w:p w14:paraId="0380DC7E" w14:textId="77777777" w:rsidR="0016382C" w:rsidRDefault="0016382C" w:rsidP="0016382C">
      <w:pPr>
        <w:spacing w:line="480" w:lineRule="auto"/>
        <w:jc w:val="both"/>
        <w:rPr>
          <w:rFonts w:ascii="Arial" w:hAnsi="Arial" w:cs="Arial"/>
        </w:rPr>
      </w:pPr>
      <w:r w:rsidRPr="0016382C">
        <w:rPr>
          <w:rFonts w:ascii="Arial" w:hAnsi="Arial" w:cs="Arial"/>
        </w:rPr>
        <w:t xml:space="preserve">Industrial artefacts, physical terrain, cultural facilities, and increasing corporate sectors shape Swansea's economy. Factory, chimney, and dockside warehouses from the copper smelting heyday dot the city, reminding visitors of the city's foundation companies (Evans, 2014). These sites are abandoned or in need of repair, while others have been converted into mixed-use developments, museums, or art galleries. Swansea's urban character today reflects history and adaptive reuse, echoing post-industrial legacy (Hughes, 2008). </w:t>
      </w:r>
    </w:p>
    <w:p w14:paraId="3EA16FBD" w14:textId="77777777" w:rsidR="0016382C" w:rsidRDefault="0016382C" w:rsidP="0016382C">
      <w:pPr>
        <w:spacing w:line="480" w:lineRule="auto"/>
        <w:jc w:val="both"/>
        <w:rPr>
          <w:rFonts w:ascii="Arial" w:hAnsi="Arial" w:cs="Arial"/>
        </w:rPr>
      </w:pPr>
      <w:r w:rsidRPr="0016382C">
        <w:rPr>
          <w:rFonts w:ascii="Arial" w:hAnsi="Arial" w:cs="Arial"/>
        </w:rPr>
        <w:t xml:space="preserve">Swansea's modern economy relies on natural resources and topography. Tourism and leisure have focused on South </w:t>
      </w:r>
      <w:r w:rsidRPr="0016382C">
        <w:rPr>
          <w:rFonts w:ascii="Arial" w:hAnsi="Arial" w:cs="Arial"/>
        </w:rPr>
        <w:t>Wales’s</w:t>
      </w:r>
      <w:r w:rsidRPr="0016382C">
        <w:rPr>
          <w:rFonts w:ascii="Arial" w:hAnsi="Arial" w:cs="Arial"/>
        </w:rPr>
        <w:t xml:space="preserve"> waterfront, including Swansea Bay. The nearby Gower Peninsula, with its beaches, cliffs, and animals, boosts tourism (Viken, 2016). Tourism services including hospitality, recreation, and eco-tourism generate most local jobs. The port still supports some commercial ships, although fewer than during bulk ore imports (Stewart, 2022).</w:t>
      </w:r>
    </w:p>
    <w:p w14:paraId="1FEE20C5" w14:textId="77777777" w:rsidR="0016382C" w:rsidRDefault="0016382C" w:rsidP="0016382C">
      <w:pPr>
        <w:spacing w:line="480" w:lineRule="auto"/>
        <w:jc w:val="both"/>
        <w:rPr>
          <w:rFonts w:ascii="Arial" w:hAnsi="Arial" w:cs="Arial"/>
        </w:rPr>
      </w:pPr>
      <w:r w:rsidRPr="0016382C">
        <w:rPr>
          <w:rFonts w:ascii="Arial" w:hAnsi="Arial" w:cs="Arial"/>
        </w:rPr>
        <w:t xml:space="preserve">Education is another economic pillar of Swansea. Swansea University offers engineering, materials science, marine studies, and more after growing significantly. This academic specialism has spawned technology, biotechnology, environmental, and entrepreneurial startups. The city's rising knowledge economy offers diversification opportunities outside conventional industries (Powe et al., 2015). Government agencies and corporate investors are increasingly sponsoring university spin-offs to advance growth. </w:t>
      </w:r>
    </w:p>
    <w:p w14:paraId="28456936" w14:textId="77777777" w:rsidR="0016382C" w:rsidRDefault="0016382C" w:rsidP="0016382C">
      <w:pPr>
        <w:spacing w:line="480" w:lineRule="auto"/>
        <w:jc w:val="both"/>
        <w:rPr>
          <w:rFonts w:ascii="Arial" w:hAnsi="Arial" w:cs="Arial"/>
        </w:rPr>
      </w:pPr>
      <w:r w:rsidRPr="0016382C">
        <w:rPr>
          <w:rFonts w:ascii="Arial" w:hAnsi="Arial" w:cs="Arial"/>
        </w:rPr>
        <w:lastRenderedPageBreak/>
        <w:t xml:space="preserve">New galleries, performance spaces, and creative labs have expanded the cultural industry. Heritage events, music festivals, and community-based art projects are focused on local stories, notably heavy industry and maritime history (O'Brien &amp; Matthews, 2015). These projects connect the past to present communal memory, fostering local identity and attracting tourists (Mah, 2012). </w:t>
      </w:r>
    </w:p>
    <w:p w14:paraId="3469F947" w14:textId="77777777" w:rsidR="0016382C" w:rsidRDefault="0016382C" w:rsidP="0016382C">
      <w:pPr>
        <w:spacing w:line="480" w:lineRule="auto"/>
        <w:jc w:val="both"/>
        <w:rPr>
          <w:rFonts w:ascii="Arial" w:hAnsi="Arial" w:cs="Arial"/>
        </w:rPr>
      </w:pPr>
      <w:r w:rsidRPr="0016382C">
        <w:rPr>
          <w:rFonts w:ascii="Arial" w:hAnsi="Arial" w:cs="Arial"/>
        </w:rPr>
        <w:t xml:space="preserve">Complete Swansea's economy with retail, hotels, and public services. City centre stores serve locals and regional customers. Big commercial stores dominate some regions, but Swansea Market and smaller individual enterprises give a unique atmosphere and support local goods. Cultural events boost student enrolment and foot traffic for these companies. However, Swansea, like other UK cities, has high street challenges such online shop competition and changing consumer behaviour (Grey, 2000). </w:t>
      </w:r>
    </w:p>
    <w:p w14:paraId="20CC35A9" w14:textId="608CDBC7" w:rsidR="0016382C" w:rsidRDefault="0016382C" w:rsidP="00FA5E13">
      <w:pPr>
        <w:spacing w:line="480" w:lineRule="auto"/>
        <w:jc w:val="both"/>
        <w:rPr>
          <w:rFonts w:ascii="Arial" w:hAnsi="Arial" w:cs="Arial"/>
        </w:rPr>
      </w:pPr>
      <w:r w:rsidRPr="0016382C">
        <w:rPr>
          <w:rFonts w:ascii="Arial" w:hAnsi="Arial" w:cs="Arial"/>
        </w:rPr>
        <w:t xml:space="preserve">Swansea's economy includes a mix of history, natural beauty, academics, arts, and retail. Even though the city is moving away from mass production, its culture and architecture are still industrial. Despite success in tourism, education, and creative industries, they are nonetheless hampered by a badly planned metropolitan landscape. A more cohesive economic plan will depend on how well the city addresses long-standing socioeconomic gaps and aligns its assets. </w:t>
      </w:r>
    </w:p>
    <w:p w14:paraId="3127C0AE" w14:textId="7F0C9565" w:rsidR="007D456F" w:rsidRPr="007D456F" w:rsidRDefault="007D456F" w:rsidP="00FA5E13">
      <w:pPr>
        <w:spacing w:line="480" w:lineRule="auto"/>
        <w:jc w:val="both"/>
        <w:rPr>
          <w:rFonts w:ascii="Arial Black" w:hAnsi="Arial Black" w:cs="Arial"/>
        </w:rPr>
      </w:pPr>
      <w:r w:rsidRPr="007D456F">
        <w:rPr>
          <w:rFonts w:ascii="Arial Black" w:hAnsi="Arial Black" w:cs="Arial"/>
        </w:rPr>
        <w:t>Key stakeholders and interest groups</w:t>
      </w:r>
    </w:p>
    <w:p w14:paraId="566F6DDA" w14:textId="77777777" w:rsidR="007D456F" w:rsidRDefault="00FA5E13" w:rsidP="00FA5E13">
      <w:pPr>
        <w:spacing w:line="480" w:lineRule="auto"/>
        <w:jc w:val="both"/>
        <w:rPr>
          <w:rFonts w:ascii="Arial" w:hAnsi="Arial" w:cs="Arial"/>
        </w:rPr>
      </w:pPr>
      <w:r w:rsidRPr="00FA5E13">
        <w:rPr>
          <w:rFonts w:ascii="Arial" w:hAnsi="Arial" w:cs="Arial"/>
        </w:rPr>
        <w:t xml:space="preserve">Driving forward Swansea's renewal calls for cooperation among many parties with different interests, powers, and points of view. Local government departments, most notably Swansea Council, hold a central place. They manage public services, control planning rules, and direct major development projects. This public power plans the use of land, balancing environmental obligations with investor proposals by means of </w:t>
      </w:r>
      <w:r w:rsidRPr="00FA5E13">
        <w:rPr>
          <w:rFonts w:ascii="Arial" w:hAnsi="Arial" w:cs="Arial"/>
        </w:rPr>
        <w:lastRenderedPageBreak/>
        <w:t>community ambitions against them (Freeman, 1984). Close cooperation with the Welsh Government also affects policy support and funding distribution, therefore defining the extent of regeneration.</w:t>
      </w:r>
    </w:p>
    <w:p w14:paraId="0455314E" w14:textId="77777777" w:rsidR="007D456F" w:rsidRDefault="00FA5E13" w:rsidP="00FA5E13">
      <w:pPr>
        <w:spacing w:line="480" w:lineRule="auto"/>
        <w:jc w:val="both"/>
        <w:rPr>
          <w:rFonts w:ascii="Arial" w:hAnsi="Arial" w:cs="Arial"/>
        </w:rPr>
      </w:pPr>
      <w:r w:rsidRPr="00FA5E13">
        <w:rPr>
          <w:rFonts w:ascii="Arial" w:hAnsi="Arial" w:cs="Arial"/>
        </w:rPr>
        <w:t>Apart from state agencies, higher education institutions</w:t>
      </w:r>
      <w:r w:rsidR="007D456F">
        <w:rPr>
          <w:rFonts w:ascii="Arial" w:hAnsi="Arial" w:cs="Arial"/>
        </w:rPr>
        <w:t xml:space="preserve"> </w:t>
      </w:r>
      <w:r w:rsidRPr="00FA5E13">
        <w:rPr>
          <w:rFonts w:ascii="Arial" w:hAnsi="Arial" w:cs="Arial"/>
        </w:rPr>
        <w:t>especially Swansea University</w:t>
      </w:r>
      <w:r w:rsidR="007D456F">
        <w:rPr>
          <w:rFonts w:ascii="Arial" w:hAnsi="Arial" w:cs="Arial"/>
        </w:rPr>
        <w:t xml:space="preserve"> </w:t>
      </w:r>
      <w:r w:rsidRPr="00FA5E13">
        <w:rPr>
          <w:rFonts w:ascii="Arial" w:hAnsi="Arial" w:cs="Arial"/>
        </w:rPr>
        <w:t>are quite important. By encouraging research-intensive activities, supporting entrepreneurship, and building a trained workforce, universities typically operate as catalysts in post-industrial areas (Stewart, 2022). By means of technology transfer offices and joint projects, the university supports creative firms and social entrepreneurs. If academics, developers, and community groups match their goals and resources, such alliances can help revive abandoned industrial sites (</w:t>
      </w:r>
      <w:proofErr w:type="spellStart"/>
      <w:r w:rsidRPr="00FA5E13">
        <w:rPr>
          <w:rFonts w:ascii="Arial" w:hAnsi="Arial" w:cs="Arial"/>
        </w:rPr>
        <w:t>Defourny</w:t>
      </w:r>
      <w:proofErr w:type="spellEnd"/>
      <w:r w:rsidRPr="00FA5E13">
        <w:rPr>
          <w:rFonts w:ascii="Arial" w:hAnsi="Arial" w:cs="Arial"/>
        </w:rPr>
        <w:t xml:space="preserve"> &amp; Nyssens, 2010).</w:t>
      </w:r>
    </w:p>
    <w:p w14:paraId="534FA784" w14:textId="77777777" w:rsidR="007D456F" w:rsidRDefault="00FA5E13" w:rsidP="00FA5E13">
      <w:pPr>
        <w:spacing w:line="480" w:lineRule="auto"/>
        <w:jc w:val="both"/>
        <w:rPr>
          <w:rFonts w:ascii="Arial" w:hAnsi="Arial" w:cs="Arial"/>
        </w:rPr>
      </w:pPr>
      <w:r w:rsidRPr="00FA5E13">
        <w:rPr>
          <w:rFonts w:ascii="Arial" w:hAnsi="Arial" w:cs="Arial"/>
        </w:rPr>
        <w:t>A major stakeholder group is formed by local communities. This covers people living near historic copperworks, displaced workers from industry closures, and newer generations seeing Swansea's new social and economic opportunities. Often anchored in historical identification and community solidarity, grassroots organisations, volunteer groups, and social clubs express local interests (Mah, 2012). Communities can help to guarantee that projects solve socioeconomic inequities, preserve cultural legacy, and improve well-being by helping to shape redevelopment objectives (O’Brien &amp; Matthews, 2015). On the other hand, ignoring community voices from the planning process can lead to mistrust and widen already existing socioeconomic divisions.</w:t>
      </w:r>
    </w:p>
    <w:p w14:paraId="7B0AEC97" w14:textId="77777777" w:rsidR="007D456F" w:rsidRDefault="00FA5E13" w:rsidP="00FA5E13">
      <w:pPr>
        <w:spacing w:line="480" w:lineRule="auto"/>
        <w:jc w:val="both"/>
        <w:rPr>
          <w:rFonts w:ascii="Arial" w:hAnsi="Arial" w:cs="Arial"/>
        </w:rPr>
      </w:pPr>
      <w:r w:rsidRPr="00FA5E13">
        <w:rPr>
          <w:rFonts w:ascii="Arial" w:hAnsi="Arial" w:cs="Arial"/>
        </w:rPr>
        <w:t xml:space="preserve">From real estate developers to major companies engaged in sectors including renewable energy, digital technology, and tourism infrastructure, private-sector stakeholders span Swansea's post-industrial settings are sometimes seen by property </w:t>
      </w:r>
      <w:r w:rsidRPr="00FA5E13">
        <w:rPr>
          <w:rFonts w:ascii="Arial" w:hAnsi="Arial" w:cs="Arial"/>
        </w:rPr>
        <w:lastRenderedPageBreak/>
        <w:t>developers as chances for mixed-use complexes or seaside residences. Though there is a risk they provide top priority to long-term community requirements, these initiatives can create economic advantages and job prospects with good negotiation (Grey, 2000). Small and medium-sized businesses</w:t>
      </w:r>
      <w:r w:rsidR="007D456F">
        <w:rPr>
          <w:rFonts w:ascii="Arial" w:hAnsi="Arial" w:cs="Arial"/>
        </w:rPr>
        <w:t xml:space="preserve"> </w:t>
      </w:r>
      <w:r w:rsidRPr="00FA5E13">
        <w:rPr>
          <w:rFonts w:ascii="Arial" w:hAnsi="Arial" w:cs="Arial"/>
        </w:rPr>
        <w:t>local stores, creative labs, tour operators</w:t>
      </w:r>
      <w:r w:rsidR="007D456F">
        <w:rPr>
          <w:rFonts w:ascii="Arial" w:hAnsi="Arial" w:cs="Arial"/>
        </w:rPr>
        <w:t xml:space="preserve"> </w:t>
      </w:r>
      <w:r w:rsidRPr="00FA5E13">
        <w:rPr>
          <w:rFonts w:ascii="Arial" w:hAnsi="Arial" w:cs="Arial"/>
        </w:rPr>
        <w:t>whose success depends on preserving an environment fit for entrepreneurship and cultural vibrancy are another part of the private sector.</w:t>
      </w:r>
    </w:p>
    <w:p w14:paraId="4A42F7FB" w14:textId="77777777" w:rsidR="007D456F" w:rsidRDefault="00FA5E13" w:rsidP="00FA5E13">
      <w:pPr>
        <w:spacing w:line="480" w:lineRule="auto"/>
        <w:jc w:val="both"/>
        <w:rPr>
          <w:rFonts w:ascii="Arial" w:hAnsi="Arial" w:cs="Arial"/>
        </w:rPr>
      </w:pPr>
      <w:r w:rsidRPr="00FA5E13">
        <w:rPr>
          <w:rFonts w:ascii="Arial" w:hAnsi="Arial" w:cs="Arial"/>
        </w:rPr>
        <w:t>Particularly for underprivileged areas, nonprofit organisations and social entrepreneurs offer services that public and commercial sectors might not completely handle. Their activities range from arts-based outreach to social care projects to skill development and environmental clean-up (</w:t>
      </w:r>
      <w:proofErr w:type="spellStart"/>
      <w:r w:rsidRPr="00FA5E13">
        <w:rPr>
          <w:rFonts w:ascii="Arial" w:hAnsi="Arial" w:cs="Arial"/>
        </w:rPr>
        <w:t>Defourny</w:t>
      </w:r>
      <w:proofErr w:type="spellEnd"/>
      <w:r w:rsidRPr="00FA5E13">
        <w:rPr>
          <w:rFonts w:ascii="Arial" w:hAnsi="Arial" w:cs="Arial"/>
        </w:rPr>
        <w:t xml:space="preserve"> &amp; Nyssens, 2010). Directly involving local volunteers, charities in Swansea have spearheaded initiatives restoring abandoned industrial sites into community gardens or performance venues. They help to create a </w:t>
      </w:r>
      <w:r w:rsidR="007D456F" w:rsidRPr="00FA5E13">
        <w:rPr>
          <w:rFonts w:ascii="Arial" w:hAnsi="Arial" w:cs="Arial"/>
        </w:rPr>
        <w:t>fairer</w:t>
      </w:r>
      <w:r w:rsidRPr="00FA5E13">
        <w:rPr>
          <w:rFonts w:ascii="Arial" w:hAnsi="Arial" w:cs="Arial"/>
        </w:rPr>
        <w:t xml:space="preserve"> regeneration mindset by tying local aspirations for inclusive growth with more general policy frameworks (Chambers &amp; Conway, 1992).</w:t>
      </w:r>
    </w:p>
    <w:p w14:paraId="473082E1" w14:textId="77777777" w:rsidR="007D456F" w:rsidRDefault="00FA5E13" w:rsidP="00FA5E13">
      <w:pPr>
        <w:spacing w:line="480" w:lineRule="auto"/>
        <w:jc w:val="both"/>
        <w:rPr>
          <w:rFonts w:ascii="Arial" w:hAnsi="Arial" w:cs="Arial"/>
        </w:rPr>
      </w:pPr>
      <w:r w:rsidRPr="00FA5E13">
        <w:rPr>
          <w:rFonts w:ascii="Arial" w:hAnsi="Arial" w:cs="Arial"/>
        </w:rPr>
        <w:t>Swansea's fortunes are macro-level owned by the Welsh Government and, to some degree, UK-wide organisations. Grants, strategic projects, and economic development agencies all channel money. Pemberton (2019) points out that by funding research centres, improving transport linkages, and guaranteeing environmental standards, these higher-level agencies can help rural and post-industrial areas. In Swansea's case, especially with relation to the reuse of important heritage sites, alignment with Welsh Government objectives</w:t>
      </w:r>
      <w:r w:rsidR="007D456F">
        <w:rPr>
          <w:rFonts w:ascii="Arial" w:hAnsi="Arial" w:cs="Arial"/>
        </w:rPr>
        <w:t xml:space="preserve"> </w:t>
      </w:r>
      <w:r w:rsidRPr="00FA5E13">
        <w:rPr>
          <w:rFonts w:ascii="Arial" w:hAnsi="Arial" w:cs="Arial"/>
        </w:rPr>
        <w:t>such as fostering well-being and cultural vitality</w:t>
      </w:r>
      <w:r w:rsidR="007D456F">
        <w:rPr>
          <w:rFonts w:ascii="Arial" w:hAnsi="Arial" w:cs="Arial"/>
        </w:rPr>
        <w:t xml:space="preserve"> </w:t>
      </w:r>
      <w:r w:rsidRPr="00FA5E13">
        <w:rPr>
          <w:rFonts w:ascii="Arial" w:hAnsi="Arial" w:cs="Arial"/>
        </w:rPr>
        <w:t>can direct planning decisions.</w:t>
      </w:r>
    </w:p>
    <w:p w14:paraId="3FEE18B8" w14:textId="77777777" w:rsidR="007D456F" w:rsidRDefault="00FA5E13" w:rsidP="00FA5E13">
      <w:pPr>
        <w:spacing w:line="480" w:lineRule="auto"/>
        <w:jc w:val="both"/>
        <w:rPr>
          <w:rFonts w:ascii="Arial" w:hAnsi="Arial" w:cs="Arial"/>
        </w:rPr>
      </w:pPr>
      <w:r w:rsidRPr="00FA5E13">
        <w:rPr>
          <w:rFonts w:ascii="Arial" w:hAnsi="Arial" w:cs="Arial"/>
        </w:rPr>
        <w:t xml:space="preserve">In the end, the synergy among all these players decides if regeneration is </w:t>
      </w:r>
      <w:r w:rsidR="007D456F" w:rsidRPr="00FA5E13">
        <w:rPr>
          <w:rFonts w:ascii="Arial" w:hAnsi="Arial" w:cs="Arial"/>
        </w:rPr>
        <w:t>inclusive</w:t>
      </w:r>
      <w:r w:rsidRPr="00FA5E13">
        <w:rPr>
          <w:rFonts w:ascii="Arial" w:hAnsi="Arial" w:cs="Arial"/>
        </w:rPr>
        <w:t xml:space="preserve">, sustainable, and advantageous for Swansea's many populations. Using a stakeholder </w:t>
      </w:r>
      <w:r w:rsidRPr="00FA5E13">
        <w:rPr>
          <w:rFonts w:ascii="Arial" w:hAnsi="Arial" w:cs="Arial"/>
        </w:rPr>
        <w:lastRenderedPageBreak/>
        <w:t>approach (Freeman, 1984), open government, conversations that balance competing interests, and group visioning activities are invited. Encouragement of such cooperation can help to transform possible conflicts into vibrant alliances for social innovation, cultural preservation, and economic rebirth (Powe et al., 2015).</w:t>
      </w:r>
    </w:p>
    <w:p w14:paraId="4088DFF8" w14:textId="630FBE6A" w:rsidR="007D456F" w:rsidRPr="007D456F" w:rsidRDefault="007D456F" w:rsidP="00FA5E13">
      <w:pPr>
        <w:spacing w:line="480" w:lineRule="auto"/>
        <w:jc w:val="both"/>
        <w:rPr>
          <w:rFonts w:ascii="Arial Black" w:hAnsi="Arial Black" w:cs="Arial"/>
        </w:rPr>
      </w:pPr>
      <w:r w:rsidRPr="007D456F">
        <w:rPr>
          <w:rFonts w:ascii="Arial Black" w:hAnsi="Arial Black" w:cs="Arial"/>
        </w:rPr>
        <w:t>Local/ regional development strategies</w:t>
      </w:r>
    </w:p>
    <w:p w14:paraId="5039B6A4" w14:textId="77777777" w:rsidR="007D456F" w:rsidRDefault="00FA5E13" w:rsidP="00FA5E13">
      <w:pPr>
        <w:spacing w:line="480" w:lineRule="auto"/>
        <w:jc w:val="both"/>
        <w:rPr>
          <w:rFonts w:ascii="Arial" w:hAnsi="Arial" w:cs="Arial"/>
        </w:rPr>
      </w:pPr>
      <w:r w:rsidRPr="00FA5E13">
        <w:rPr>
          <w:rFonts w:ascii="Arial" w:hAnsi="Arial" w:cs="Arial"/>
        </w:rPr>
        <w:t>Aiming to balance heritage preservation, economic development, and community well-being, development policies in recent years have veered towards sustainable regeneration within Swansea and the larger Welsh setting (Pemberton, 2019). This is consistent with the 1992 suggestion of Chambers and Conway that livelihoods should combine social equality with environmental care. Programs aimed at cleaning contaminated industrial property, for example those at Hafod-Morfa Copperworks, stress not only repair but also the conversion of brownfield sites into cultural or recreational spaces.</w:t>
      </w:r>
    </w:p>
    <w:p w14:paraId="0DDB393F" w14:textId="77777777" w:rsidR="007D456F" w:rsidRDefault="00FA5E13" w:rsidP="00FA5E13">
      <w:pPr>
        <w:spacing w:line="480" w:lineRule="auto"/>
        <w:jc w:val="both"/>
        <w:rPr>
          <w:rFonts w:ascii="Arial" w:hAnsi="Arial" w:cs="Arial"/>
        </w:rPr>
      </w:pPr>
      <w:r w:rsidRPr="00FA5E13">
        <w:rPr>
          <w:rFonts w:ascii="Arial" w:hAnsi="Arial" w:cs="Arial"/>
        </w:rPr>
        <w:t>Supported in many policy papers, such heritage-led redevelopment projects mirror O'Brien and Matthews' (2015) observation that post-industrial towns often look to their history to construct a more vibrant present. In Swansea's case, local authorities and partners have investigated converting historical industrial buildings into multifarious uses including business incubators, museums, and community halls. These initiatives foster local pride by conserving the tangible reminders of copper smelting, therefore drawing historical tourism.</w:t>
      </w:r>
    </w:p>
    <w:p w14:paraId="5E4355C0" w14:textId="77777777" w:rsidR="0016382C" w:rsidRDefault="0016382C" w:rsidP="00FA5E13">
      <w:pPr>
        <w:spacing w:line="480" w:lineRule="auto"/>
        <w:jc w:val="both"/>
        <w:rPr>
          <w:rFonts w:ascii="Arial" w:hAnsi="Arial" w:cs="Arial"/>
        </w:rPr>
      </w:pPr>
      <w:r w:rsidRPr="00FA5E13">
        <w:rPr>
          <w:rFonts w:ascii="Arial" w:hAnsi="Arial" w:cs="Arial"/>
        </w:rPr>
        <w:t>Furthermore,</w:t>
      </w:r>
      <w:r w:rsidR="00FA5E13" w:rsidRPr="00FA5E13">
        <w:rPr>
          <w:rFonts w:ascii="Arial" w:hAnsi="Arial" w:cs="Arial"/>
        </w:rPr>
        <w:t xml:space="preserve"> emphasised by local plans are environmental sustainability and smart use of resources. Reflecting larger Welsh policy objectives, planners and NGOs both want to increase green areas, improve flood protection, and promote low-carbon mobility. Projects aiming at improving public transport and cycling lanes along </w:t>
      </w:r>
      <w:r w:rsidR="00FA5E13" w:rsidRPr="00FA5E13">
        <w:rPr>
          <w:rFonts w:ascii="Arial" w:hAnsi="Arial" w:cs="Arial"/>
        </w:rPr>
        <w:lastRenderedPageBreak/>
        <w:t>Swansea's waterfront, for instance, appeal to Gray's (2000) need for more responsibility in social and environmental performance. With an eye towards local products, fair-trade items, and low environmental impact, tourist advertisements also define Swansea and the Gower Peninsula as locations for environmentally beneficial vacation (Fairtrade Foundation, 2020).</w:t>
      </w:r>
    </w:p>
    <w:p w14:paraId="2210549E" w14:textId="77777777" w:rsidR="0016382C" w:rsidRDefault="00FA5E13" w:rsidP="00FA5E13">
      <w:pPr>
        <w:spacing w:line="480" w:lineRule="auto"/>
        <w:jc w:val="both"/>
        <w:rPr>
          <w:rFonts w:ascii="Arial" w:hAnsi="Arial" w:cs="Arial"/>
        </w:rPr>
      </w:pPr>
      <w:r w:rsidRPr="00FA5E13">
        <w:rPr>
          <w:rFonts w:ascii="Arial" w:hAnsi="Arial" w:cs="Arial"/>
        </w:rPr>
        <w:t>Many times, these policy systems incorporate community involvement right in their core. While community groups may get money to carry out local development projects, consultation events allow people to remark on regeneration ideas (Mah, 2012). Pemberton (2019) emphasises that ensuring post-industrial regeneration does not allow such participatory approaches to become a forced fix. Local voices instead help define the direction of development and meaning. However, the degree of involvement can vary, and some detractors contend that top-down influences still hold great sway (O'Brien &amp; Matthews, 2015). Still, a spirit of inclusion defines many publicly sponsored redevelopment projects in Swansea, reflecting the city's aim to respect the perspectives of people most impacted by industrial downturn.</w:t>
      </w:r>
    </w:p>
    <w:p w14:paraId="6EBD622F" w14:textId="77777777" w:rsidR="0016382C" w:rsidRDefault="00FA5E13" w:rsidP="00FA5E13">
      <w:pPr>
        <w:spacing w:line="480" w:lineRule="auto"/>
        <w:jc w:val="both"/>
        <w:rPr>
          <w:rFonts w:ascii="Arial" w:hAnsi="Arial" w:cs="Arial"/>
        </w:rPr>
      </w:pPr>
      <w:r w:rsidRPr="00FA5E13">
        <w:rPr>
          <w:rFonts w:ascii="Arial" w:hAnsi="Arial" w:cs="Arial"/>
        </w:rPr>
        <w:t>Local and regional development plans aim to combine the finest of Swansea's past with present. While new chances in research, technology, and the green economy attempt to broaden the city's possibilities, industrial legacy is examined in ways that encourage tourism, job development, and cultural pride (Viken, 2016). Though there is progress towards creating a more integrated, socially fair, and ecologically conscious urban fabric, challenges still exist including differences between well-served communities and those still suffering with economic deprivation.</w:t>
      </w:r>
    </w:p>
    <w:p w14:paraId="490E6433" w14:textId="77777777" w:rsidR="0016382C" w:rsidRDefault="0016382C" w:rsidP="00FA5E13">
      <w:pPr>
        <w:spacing w:line="480" w:lineRule="auto"/>
        <w:jc w:val="both"/>
        <w:rPr>
          <w:rFonts w:ascii="Arial Black" w:hAnsi="Arial Black" w:cs="Arial"/>
        </w:rPr>
      </w:pPr>
    </w:p>
    <w:p w14:paraId="15DCA0C1" w14:textId="77777777" w:rsidR="0016382C" w:rsidRDefault="0016382C" w:rsidP="00FA5E13">
      <w:pPr>
        <w:spacing w:line="480" w:lineRule="auto"/>
        <w:jc w:val="both"/>
        <w:rPr>
          <w:rFonts w:ascii="Arial Black" w:hAnsi="Arial Black" w:cs="Arial"/>
        </w:rPr>
      </w:pPr>
    </w:p>
    <w:p w14:paraId="1C1682F9" w14:textId="4826DC42" w:rsidR="0016382C" w:rsidRPr="0016382C" w:rsidRDefault="0016382C" w:rsidP="00FA5E13">
      <w:pPr>
        <w:spacing w:line="480" w:lineRule="auto"/>
        <w:jc w:val="both"/>
        <w:rPr>
          <w:rFonts w:ascii="Arial Black" w:hAnsi="Arial Black" w:cs="Arial"/>
        </w:rPr>
      </w:pPr>
      <w:r w:rsidRPr="0016382C">
        <w:rPr>
          <w:rFonts w:ascii="Arial Black" w:hAnsi="Arial Black" w:cs="Arial"/>
        </w:rPr>
        <w:lastRenderedPageBreak/>
        <w:t xml:space="preserve">Opportunities for Regeneration </w:t>
      </w:r>
    </w:p>
    <w:p w14:paraId="67BCFD9A" w14:textId="77777777" w:rsidR="0016382C" w:rsidRDefault="00FA5E13" w:rsidP="00FA5E13">
      <w:pPr>
        <w:spacing w:line="480" w:lineRule="auto"/>
        <w:jc w:val="both"/>
        <w:rPr>
          <w:rFonts w:ascii="Arial" w:hAnsi="Arial" w:cs="Arial"/>
        </w:rPr>
      </w:pPr>
      <w:r w:rsidRPr="00FA5E13">
        <w:rPr>
          <w:rFonts w:ascii="Arial" w:hAnsi="Arial" w:cs="Arial"/>
        </w:rPr>
        <w:t>Building on these development plans and theoretical viewpoints, Swansea can investigate numerous fresh, or less-</w:t>
      </w:r>
      <w:r w:rsidR="0016382C" w:rsidRPr="00FA5E13">
        <w:rPr>
          <w:rFonts w:ascii="Arial" w:hAnsi="Arial" w:cs="Arial"/>
        </w:rPr>
        <w:t>travelled</w:t>
      </w:r>
      <w:r w:rsidRPr="00FA5E13">
        <w:rPr>
          <w:rFonts w:ascii="Arial" w:hAnsi="Arial" w:cs="Arial"/>
        </w:rPr>
        <w:t>, paths reflecting sustainable, community-based ideas. Inspired by Freeman's (1984) stakeholder theory and Elkington's (1997) triple bottom line, every idea emphasises environmental responsibility, social equality, and financial feasibility.</w:t>
      </w:r>
    </w:p>
    <w:p w14:paraId="099B9A0C" w14:textId="77777777" w:rsidR="0016382C" w:rsidRDefault="00FA5E13" w:rsidP="00FA5E13">
      <w:pPr>
        <w:spacing w:line="480" w:lineRule="auto"/>
        <w:jc w:val="both"/>
        <w:rPr>
          <w:rFonts w:ascii="Arial" w:hAnsi="Arial" w:cs="Arial"/>
        </w:rPr>
      </w:pPr>
      <w:r w:rsidRPr="00FA5E13">
        <w:rPr>
          <w:rFonts w:ascii="Arial" w:hAnsi="Arial" w:cs="Arial"/>
        </w:rPr>
        <w:t>Establishing a marine-based innovation centre using Swansea's coastal location and maritime legacy seems to be one exciting idea. Instead of concentrating just on tourism, this cluster would combine research institutes, commercial fishermen, aquaculture start-ups, and technology companies to investigate sustainable seafood production, ocean energy, and marine conservation. Leveraging Swansea University's marine research capacity, the cluster might create wave and tidal power projects, therefore revitalising abandoned docks as testbeds for sustainable technology (Stewart, 2022). While smaller technical companies get chances to test innovative equipment for ocean monitoring or energy generation, local fisheries cooperatives might work with social entrepreneurs to promote ethically produced seafood. Showcasing Swansea as a leader in blue economy solutions, this all-encompassing approach combines environmental stewardship with economic development (Powe et al., 2015).</w:t>
      </w:r>
    </w:p>
    <w:p w14:paraId="33EA1E73" w14:textId="77777777" w:rsidR="0016382C" w:rsidRDefault="00FA5E13" w:rsidP="00FA5E13">
      <w:pPr>
        <w:spacing w:line="480" w:lineRule="auto"/>
        <w:jc w:val="both"/>
        <w:rPr>
          <w:rFonts w:ascii="Arial" w:hAnsi="Arial" w:cs="Arial"/>
        </w:rPr>
      </w:pPr>
      <w:r w:rsidRPr="00FA5E13">
        <w:rPr>
          <w:rFonts w:ascii="Arial" w:hAnsi="Arial" w:cs="Arial"/>
        </w:rPr>
        <w:t xml:space="preserve">Developing a well-being quarter centred on health, social services, and community involvement offers a second path of regeneration. Inspired by Chambers and Conway's (1992) concept of sustainable livelihoods, this might feature green courtyards and communal gardens as well as multifarious complexes combining inexpensive housing, social enterprise offices, and public health clinics. Former </w:t>
      </w:r>
      <w:r w:rsidRPr="00FA5E13">
        <w:rPr>
          <w:rFonts w:ascii="Arial" w:hAnsi="Arial" w:cs="Arial"/>
        </w:rPr>
        <w:lastRenderedPageBreak/>
        <w:t>industrial buildings close to the city centre could be converted into combined "one-stop hubs," providing mental health support, job training programs, and cultural events housed under one roof. Particularly in areas most affected by industrial downturn, the well-being quarter would eliminate systematic socioeconomic barriers by encouraging cooperation among nonprofits, local companies, healthcare providers, and municipal authorities (Mah, 2012). These areas might be designed using historical aspects of Swansea's industrial architecture</w:t>
      </w:r>
      <w:r w:rsidR="0016382C">
        <w:rPr>
          <w:rFonts w:ascii="Arial" w:hAnsi="Arial" w:cs="Arial"/>
        </w:rPr>
        <w:t xml:space="preserve"> </w:t>
      </w:r>
      <w:r w:rsidRPr="00FA5E13">
        <w:rPr>
          <w:rFonts w:ascii="Arial" w:hAnsi="Arial" w:cs="Arial"/>
        </w:rPr>
        <w:t>exposed brick walls, original beams</w:t>
      </w:r>
      <w:r w:rsidR="0016382C">
        <w:rPr>
          <w:rFonts w:ascii="Arial" w:hAnsi="Arial" w:cs="Arial"/>
        </w:rPr>
        <w:t xml:space="preserve"> </w:t>
      </w:r>
      <w:r w:rsidRPr="00FA5E13">
        <w:rPr>
          <w:rFonts w:ascii="Arial" w:hAnsi="Arial" w:cs="Arial"/>
        </w:rPr>
        <w:t>as a reminder of the city's resiliency, therefore strengthening a link between old and new (Hughes, 2008).</w:t>
      </w:r>
    </w:p>
    <w:p w14:paraId="25BDCA47" w14:textId="77777777" w:rsidR="0016382C" w:rsidRDefault="00FA5E13" w:rsidP="00FA5E13">
      <w:pPr>
        <w:spacing w:line="480" w:lineRule="auto"/>
        <w:jc w:val="both"/>
        <w:rPr>
          <w:rFonts w:ascii="Arial" w:hAnsi="Arial" w:cs="Arial"/>
        </w:rPr>
      </w:pPr>
      <w:r w:rsidRPr="00FA5E13">
        <w:rPr>
          <w:rFonts w:ascii="Arial" w:hAnsi="Arial" w:cs="Arial"/>
        </w:rPr>
        <w:t>Leveraging Swansea's expanding creative industry, a third creative possibility is to establish a digital arts and cultural corridor. Reimagined as communal studios, performance venues, and digital production labs, post-industrial places Targeted local authority incentives like lowered rents or council tax abatements would allow independent artists, filmmakers, web developers, and virtual reality entrepreneurs to concentrate in a specific zone and benefit from Public and private sponsors could work together to organise events, contests, and seminars stressing the interaction of legacy with modern digital art. Such events combined with already-existing cultural venues would draw tourists, foster talent, and strengthen Swansea's cultural identity outside of the conventional stories of smelting and shipping (O'Brien &amp; Matthews, 2015). Local businesses might also provide digital media training, therefore bridging skill shortages and creating avenues into the creative fields.</w:t>
      </w:r>
    </w:p>
    <w:p w14:paraId="67218C5E" w14:textId="77777777" w:rsidR="0016382C" w:rsidRDefault="00FA5E13" w:rsidP="00FA5E13">
      <w:pPr>
        <w:spacing w:line="480" w:lineRule="auto"/>
        <w:jc w:val="both"/>
        <w:rPr>
          <w:rFonts w:ascii="Arial" w:hAnsi="Arial" w:cs="Arial"/>
        </w:rPr>
      </w:pPr>
      <w:r w:rsidRPr="00FA5E13">
        <w:rPr>
          <w:rFonts w:ascii="Arial" w:hAnsi="Arial" w:cs="Arial"/>
        </w:rPr>
        <w:t xml:space="preserve">All these chances depend on strong involvement of stakeholders (Freeman, 1984). Local government would provide partial funding and policy frameworks to make sure every project fits in with sustainability and inclusiveness. While private investors and charitable organisations give funds, Swansea University and other academic </w:t>
      </w:r>
      <w:r w:rsidRPr="00FA5E13">
        <w:rPr>
          <w:rFonts w:ascii="Arial" w:hAnsi="Arial" w:cs="Arial"/>
        </w:rPr>
        <w:lastRenderedPageBreak/>
        <w:t>institutions could offer research skills. Crucially, communities would be informed from the start so that these projects reflect local interests and foster more general ownership (Pemberton, 2019). Open reporting on social results, financial gains, and environmental effects</w:t>
      </w:r>
      <w:r w:rsidR="0016382C">
        <w:rPr>
          <w:rFonts w:ascii="Arial" w:hAnsi="Arial" w:cs="Arial"/>
        </w:rPr>
        <w:t xml:space="preserve"> </w:t>
      </w:r>
      <w:r w:rsidRPr="00FA5E13">
        <w:rPr>
          <w:rFonts w:ascii="Arial" w:hAnsi="Arial" w:cs="Arial"/>
        </w:rPr>
        <w:t>along with economic ones</w:t>
      </w:r>
      <w:r w:rsidR="0016382C">
        <w:rPr>
          <w:rFonts w:ascii="Arial" w:hAnsi="Arial" w:cs="Arial"/>
        </w:rPr>
        <w:t xml:space="preserve"> </w:t>
      </w:r>
      <w:r w:rsidRPr="00FA5E13">
        <w:rPr>
          <w:rFonts w:ascii="Arial" w:hAnsi="Arial" w:cs="Arial"/>
        </w:rPr>
        <w:t>would help to build confidence and enable quick corrections.</w:t>
      </w:r>
    </w:p>
    <w:p w14:paraId="434DE016" w14:textId="749DDC83" w:rsidR="00FA5E13" w:rsidRDefault="00FA5E13" w:rsidP="00FA5E13">
      <w:pPr>
        <w:spacing w:line="480" w:lineRule="auto"/>
        <w:jc w:val="both"/>
        <w:rPr>
          <w:rFonts w:ascii="Arial" w:hAnsi="Arial" w:cs="Arial"/>
        </w:rPr>
      </w:pPr>
      <w:r w:rsidRPr="00FA5E13">
        <w:rPr>
          <w:rFonts w:ascii="Arial" w:hAnsi="Arial" w:cs="Arial"/>
        </w:rPr>
        <w:t>These redevelopment projects essentially show Swansea's ability to translate its industrial legacy, geographic advantages, and growing knowledge base into forward-looking projects. Swansea can keep creating a legacy that speaks to the successes of its "Copperopolis" era while yet anchored in modern ideas of equity and environmental care by weaving sustainable marine industries, holistic well-being approaches, and a vibrant digital arts corridor into the city fabric (Elkington, 1997). These new businesses help Swansea to become known as a creative, inclusive, ecologically conscious city, just as its copper smelting heritage previously connected the city to far-off markets and cultures.</w:t>
      </w:r>
    </w:p>
    <w:p w14:paraId="121C2234" w14:textId="77777777" w:rsidR="0016382C" w:rsidRDefault="0016382C" w:rsidP="00FA5E13">
      <w:pPr>
        <w:spacing w:line="480" w:lineRule="auto"/>
        <w:jc w:val="both"/>
        <w:rPr>
          <w:rFonts w:ascii="Arial" w:hAnsi="Arial" w:cs="Arial"/>
        </w:rPr>
      </w:pPr>
    </w:p>
    <w:p w14:paraId="5A683DAD" w14:textId="77777777" w:rsidR="0016382C" w:rsidRDefault="0016382C" w:rsidP="00FA5E13">
      <w:pPr>
        <w:spacing w:line="480" w:lineRule="auto"/>
        <w:jc w:val="both"/>
        <w:rPr>
          <w:rFonts w:ascii="Arial" w:hAnsi="Arial" w:cs="Arial"/>
        </w:rPr>
      </w:pPr>
    </w:p>
    <w:p w14:paraId="311F9AF8" w14:textId="77777777" w:rsidR="0016382C" w:rsidRDefault="0016382C" w:rsidP="00FA5E13">
      <w:pPr>
        <w:spacing w:line="480" w:lineRule="auto"/>
        <w:jc w:val="both"/>
        <w:rPr>
          <w:rFonts w:ascii="Arial" w:hAnsi="Arial" w:cs="Arial"/>
        </w:rPr>
      </w:pPr>
    </w:p>
    <w:p w14:paraId="31DA4B54" w14:textId="77777777" w:rsidR="0016382C" w:rsidRDefault="0016382C" w:rsidP="00FA5E13">
      <w:pPr>
        <w:spacing w:line="480" w:lineRule="auto"/>
        <w:jc w:val="both"/>
        <w:rPr>
          <w:rFonts w:ascii="Arial" w:hAnsi="Arial" w:cs="Arial"/>
        </w:rPr>
      </w:pPr>
    </w:p>
    <w:p w14:paraId="7D2942D0" w14:textId="77777777" w:rsidR="0016382C" w:rsidRDefault="0016382C" w:rsidP="00FA5E13">
      <w:pPr>
        <w:spacing w:line="480" w:lineRule="auto"/>
        <w:jc w:val="both"/>
        <w:rPr>
          <w:rFonts w:ascii="Arial" w:hAnsi="Arial" w:cs="Arial"/>
        </w:rPr>
      </w:pPr>
    </w:p>
    <w:p w14:paraId="012CA829" w14:textId="77777777" w:rsidR="0016382C" w:rsidRDefault="0016382C" w:rsidP="00FA5E13">
      <w:pPr>
        <w:spacing w:line="480" w:lineRule="auto"/>
        <w:jc w:val="both"/>
        <w:rPr>
          <w:rFonts w:ascii="Arial" w:hAnsi="Arial" w:cs="Arial"/>
        </w:rPr>
      </w:pPr>
    </w:p>
    <w:p w14:paraId="7AFB7896" w14:textId="77777777" w:rsidR="0016382C" w:rsidRDefault="0016382C" w:rsidP="00FA5E13">
      <w:pPr>
        <w:spacing w:line="480" w:lineRule="auto"/>
        <w:jc w:val="both"/>
        <w:rPr>
          <w:rFonts w:ascii="Arial" w:hAnsi="Arial" w:cs="Arial"/>
        </w:rPr>
      </w:pPr>
    </w:p>
    <w:p w14:paraId="64493D2B" w14:textId="77777777" w:rsidR="0016382C" w:rsidRDefault="0016382C" w:rsidP="00FA5E13">
      <w:pPr>
        <w:spacing w:line="480" w:lineRule="auto"/>
        <w:jc w:val="both"/>
        <w:rPr>
          <w:rFonts w:ascii="Arial" w:hAnsi="Arial" w:cs="Arial"/>
        </w:rPr>
      </w:pPr>
    </w:p>
    <w:p w14:paraId="24647B28" w14:textId="60682695" w:rsidR="0016382C" w:rsidRPr="00DB28BD" w:rsidRDefault="0016382C" w:rsidP="00FA5E13">
      <w:pPr>
        <w:spacing w:line="480" w:lineRule="auto"/>
        <w:jc w:val="both"/>
        <w:rPr>
          <w:rFonts w:ascii="Arial Black" w:hAnsi="Arial Black" w:cs="Arial"/>
        </w:rPr>
      </w:pPr>
      <w:r w:rsidRPr="00DB28BD">
        <w:rPr>
          <w:rFonts w:ascii="Arial Black" w:hAnsi="Arial Black" w:cs="Arial"/>
        </w:rPr>
        <w:lastRenderedPageBreak/>
        <w:t xml:space="preserve">References </w:t>
      </w:r>
    </w:p>
    <w:p w14:paraId="57719F55"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Chambers, R., &amp; Conway, G. (1992). </w:t>
      </w:r>
      <w:r w:rsidRPr="00DB28BD">
        <w:rPr>
          <w:rFonts w:ascii="Arial" w:hAnsi="Arial" w:cs="Arial"/>
          <w:i/>
          <w:iCs/>
        </w:rPr>
        <w:t>Sustainable rural livelihoods: Practical concepts for the 21st century</w:t>
      </w:r>
      <w:r w:rsidRPr="00DB28BD">
        <w:rPr>
          <w:rFonts w:ascii="Arial" w:hAnsi="Arial" w:cs="Arial"/>
        </w:rPr>
        <w:t xml:space="preserve"> (IDS Discussion Paper 296). Institute of Development Studies.</w:t>
      </w:r>
    </w:p>
    <w:p w14:paraId="3CFA6EB3" w14:textId="77777777" w:rsidR="00DB28BD" w:rsidRPr="00DB28BD" w:rsidRDefault="00DB28BD" w:rsidP="00DB28BD">
      <w:pPr>
        <w:spacing w:line="480" w:lineRule="auto"/>
        <w:jc w:val="both"/>
        <w:rPr>
          <w:rFonts w:ascii="Arial" w:hAnsi="Arial" w:cs="Arial"/>
        </w:rPr>
      </w:pPr>
      <w:proofErr w:type="spellStart"/>
      <w:r w:rsidRPr="00DB28BD">
        <w:rPr>
          <w:rFonts w:ascii="Arial" w:hAnsi="Arial" w:cs="Arial"/>
        </w:rPr>
        <w:t>Defourny</w:t>
      </w:r>
      <w:proofErr w:type="spellEnd"/>
      <w:r w:rsidRPr="00DB28BD">
        <w:rPr>
          <w:rFonts w:ascii="Arial" w:hAnsi="Arial" w:cs="Arial"/>
        </w:rPr>
        <w:t xml:space="preserve">, J., &amp; Nyssens, M. (2010). Social enterprise in Europe: At the crossroads of market, public policies and third sector. </w:t>
      </w:r>
      <w:r w:rsidRPr="00DB28BD">
        <w:rPr>
          <w:rFonts w:ascii="Arial" w:hAnsi="Arial" w:cs="Arial"/>
          <w:i/>
          <w:iCs/>
        </w:rPr>
        <w:t>Policy and Society, 29</w:t>
      </w:r>
      <w:r w:rsidRPr="00DB28BD">
        <w:rPr>
          <w:rFonts w:ascii="Arial" w:hAnsi="Arial" w:cs="Arial"/>
        </w:rPr>
        <w:t>(3), 231–242.</w:t>
      </w:r>
    </w:p>
    <w:p w14:paraId="6E75954D"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Elkington, J. (1997). </w:t>
      </w:r>
      <w:r w:rsidRPr="00DB28BD">
        <w:rPr>
          <w:rFonts w:ascii="Arial" w:hAnsi="Arial" w:cs="Arial"/>
          <w:i/>
          <w:iCs/>
        </w:rPr>
        <w:t xml:space="preserve">Cannibals with forks: The triple bottom line of 21st century business. </w:t>
      </w:r>
      <w:r w:rsidRPr="00DB28BD">
        <w:rPr>
          <w:rFonts w:ascii="Arial" w:hAnsi="Arial" w:cs="Arial"/>
        </w:rPr>
        <w:t>Capstone Publishing.</w:t>
      </w:r>
    </w:p>
    <w:p w14:paraId="2FEDA7BB"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Evans, C. (2014). A world of copper: introducing Swansea, globalization and the Industrial Revolution. </w:t>
      </w:r>
      <w:r w:rsidRPr="00DB28BD">
        <w:rPr>
          <w:rFonts w:ascii="Arial" w:hAnsi="Arial" w:cs="Arial"/>
          <w:i/>
          <w:iCs/>
        </w:rPr>
        <w:t>Welsh History Review, 27</w:t>
      </w:r>
      <w:r w:rsidRPr="00DB28BD">
        <w:rPr>
          <w:rFonts w:ascii="Arial" w:hAnsi="Arial" w:cs="Arial"/>
        </w:rPr>
        <w:t>(1), 85–91.</w:t>
      </w:r>
    </w:p>
    <w:p w14:paraId="4B48750B"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Evans, C., &amp; Saunders, O. (2015). A world of copper: globalizing the Industrial Revolution, 1830–70. </w:t>
      </w:r>
      <w:r w:rsidRPr="00DB28BD">
        <w:rPr>
          <w:rFonts w:ascii="Arial" w:hAnsi="Arial" w:cs="Arial"/>
          <w:i/>
          <w:iCs/>
        </w:rPr>
        <w:t>Journal of Global History, 10</w:t>
      </w:r>
      <w:r w:rsidRPr="00DB28BD">
        <w:rPr>
          <w:rFonts w:ascii="Arial" w:hAnsi="Arial" w:cs="Arial"/>
        </w:rPr>
        <w:t>(1), 3–26.</w:t>
      </w:r>
    </w:p>
    <w:p w14:paraId="7C33BC0A"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Freeman, R. E. (1984). </w:t>
      </w:r>
      <w:r w:rsidRPr="00DB28BD">
        <w:rPr>
          <w:rFonts w:ascii="Arial" w:hAnsi="Arial" w:cs="Arial"/>
          <w:i/>
          <w:iCs/>
        </w:rPr>
        <w:t>Strategic management: A stakeholder approach</w:t>
      </w:r>
      <w:r w:rsidRPr="00DB28BD">
        <w:rPr>
          <w:rFonts w:ascii="Arial" w:hAnsi="Arial" w:cs="Arial"/>
        </w:rPr>
        <w:t>. Pitman.</w:t>
      </w:r>
    </w:p>
    <w:p w14:paraId="67C1C6AA"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Gray, R. (2000). Current developments and trends in social and environmental auditing, reporting and attestation: A review and comment. </w:t>
      </w:r>
      <w:r w:rsidRPr="00DB28BD">
        <w:rPr>
          <w:rFonts w:ascii="Arial" w:hAnsi="Arial" w:cs="Arial"/>
          <w:i/>
          <w:iCs/>
        </w:rPr>
        <w:t>International Journal of Auditing, 4</w:t>
      </w:r>
      <w:r w:rsidRPr="00DB28BD">
        <w:rPr>
          <w:rFonts w:ascii="Arial" w:hAnsi="Arial" w:cs="Arial"/>
        </w:rPr>
        <w:t>(3), 247–268.</w:t>
      </w:r>
    </w:p>
    <w:p w14:paraId="0FEF4B7E"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Hughes, S. (2008). The characteristics of extractive and smelting landscapes of the Industrial Revolution at Swansea and Blaenavon. </w:t>
      </w:r>
      <w:r w:rsidRPr="00DB28BD">
        <w:rPr>
          <w:rFonts w:ascii="Arial" w:hAnsi="Arial" w:cs="Arial"/>
          <w:i/>
          <w:iCs/>
        </w:rPr>
        <w:t>Landscape History, 30</w:t>
      </w:r>
      <w:r w:rsidRPr="00DB28BD">
        <w:rPr>
          <w:rFonts w:ascii="Arial" w:hAnsi="Arial" w:cs="Arial"/>
        </w:rPr>
        <w:t>(1), 21–47.</w:t>
      </w:r>
    </w:p>
    <w:p w14:paraId="6A2FCB2E"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Mah, A. (2012). </w:t>
      </w:r>
      <w:r w:rsidRPr="00DB28BD">
        <w:rPr>
          <w:rFonts w:ascii="Arial" w:hAnsi="Arial" w:cs="Arial"/>
          <w:i/>
          <w:iCs/>
        </w:rPr>
        <w:t>Industrial Ruination, Community and Place: Landscapes and Legacies of Urban Decline.</w:t>
      </w:r>
      <w:r w:rsidRPr="00DB28BD">
        <w:rPr>
          <w:rFonts w:ascii="Arial" w:hAnsi="Arial" w:cs="Arial"/>
        </w:rPr>
        <w:t xml:space="preserve"> University of Toronto Press.</w:t>
      </w:r>
    </w:p>
    <w:p w14:paraId="46929C92"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Newell, E. (1990). “Copperopolis”: The Rise and Fall of the Copper Industry in the Swansea District, 1826-1921. </w:t>
      </w:r>
      <w:r w:rsidRPr="00DB28BD">
        <w:rPr>
          <w:rFonts w:ascii="Arial" w:hAnsi="Arial" w:cs="Arial"/>
          <w:i/>
          <w:iCs/>
        </w:rPr>
        <w:t>Business History, 32</w:t>
      </w:r>
      <w:r w:rsidRPr="00DB28BD">
        <w:rPr>
          <w:rFonts w:ascii="Arial" w:hAnsi="Arial" w:cs="Arial"/>
        </w:rPr>
        <w:t>(3), 75–97.</w:t>
      </w:r>
    </w:p>
    <w:p w14:paraId="018D665C" w14:textId="77777777" w:rsidR="00DB28BD" w:rsidRPr="00DB28BD" w:rsidRDefault="00DB28BD" w:rsidP="00DB28BD">
      <w:pPr>
        <w:spacing w:line="480" w:lineRule="auto"/>
        <w:jc w:val="both"/>
        <w:rPr>
          <w:rFonts w:ascii="Arial" w:hAnsi="Arial" w:cs="Arial"/>
        </w:rPr>
      </w:pPr>
      <w:r w:rsidRPr="00DB28BD">
        <w:rPr>
          <w:rFonts w:ascii="Arial" w:hAnsi="Arial" w:cs="Arial"/>
        </w:rPr>
        <w:lastRenderedPageBreak/>
        <w:t xml:space="preserve">O’Brien, D., &amp; Matthews, P. (Eds.). (2015). </w:t>
      </w:r>
      <w:r w:rsidRPr="00DB28BD">
        <w:rPr>
          <w:rFonts w:ascii="Arial" w:hAnsi="Arial" w:cs="Arial"/>
          <w:i/>
          <w:iCs/>
        </w:rPr>
        <w:t xml:space="preserve">After Urban Regeneration: Communities, Policy and Place </w:t>
      </w:r>
      <w:r w:rsidRPr="00DB28BD">
        <w:rPr>
          <w:rFonts w:ascii="Arial" w:hAnsi="Arial" w:cs="Arial"/>
        </w:rPr>
        <w:t>(Connected Communities). Policy Press.</w:t>
      </w:r>
    </w:p>
    <w:p w14:paraId="289C7851" w14:textId="77777777" w:rsidR="00DB28BD" w:rsidRPr="00DB28BD" w:rsidRDefault="00DB28BD" w:rsidP="00DB28BD">
      <w:pPr>
        <w:spacing w:line="480" w:lineRule="auto"/>
        <w:jc w:val="both"/>
        <w:rPr>
          <w:rFonts w:ascii="Arial" w:hAnsi="Arial" w:cs="Arial"/>
        </w:rPr>
      </w:pPr>
      <w:r w:rsidRPr="00DB28BD">
        <w:rPr>
          <w:rFonts w:ascii="Arial" w:hAnsi="Arial" w:cs="Arial"/>
        </w:rPr>
        <w:t>Pemberton, S. (2019</w:t>
      </w:r>
      <w:r w:rsidRPr="00DB28BD">
        <w:rPr>
          <w:rFonts w:ascii="Arial" w:hAnsi="Arial" w:cs="Arial"/>
          <w:i/>
          <w:iCs/>
        </w:rPr>
        <w:t>). Rural Regeneration in the UK</w:t>
      </w:r>
      <w:r w:rsidRPr="00DB28BD">
        <w:rPr>
          <w:rFonts w:ascii="Arial" w:hAnsi="Arial" w:cs="Arial"/>
        </w:rPr>
        <w:t>. Routledge.</w:t>
      </w:r>
    </w:p>
    <w:p w14:paraId="15C08B4E" w14:textId="77777777" w:rsidR="00DB28BD" w:rsidRPr="00DB28BD" w:rsidRDefault="00DB28BD" w:rsidP="00DB28BD">
      <w:pPr>
        <w:spacing w:line="480" w:lineRule="auto"/>
        <w:jc w:val="both"/>
        <w:rPr>
          <w:rFonts w:ascii="Arial" w:hAnsi="Arial" w:cs="Arial"/>
        </w:rPr>
      </w:pPr>
      <w:r w:rsidRPr="00DB28BD">
        <w:rPr>
          <w:rFonts w:ascii="Arial" w:hAnsi="Arial" w:cs="Arial"/>
        </w:rPr>
        <w:t xml:space="preserve">Powe, N., Pringle, R., &amp; Hart, T. (2015). Matching the process to the challenge within small town regeneration. </w:t>
      </w:r>
      <w:r w:rsidRPr="00DB28BD">
        <w:rPr>
          <w:rFonts w:ascii="Arial" w:hAnsi="Arial" w:cs="Arial"/>
          <w:i/>
          <w:iCs/>
        </w:rPr>
        <w:t>Town Planning Review, 86</w:t>
      </w:r>
      <w:r w:rsidRPr="00DB28BD">
        <w:rPr>
          <w:rFonts w:ascii="Arial" w:hAnsi="Arial" w:cs="Arial"/>
        </w:rPr>
        <w:t>(2), 177–202.</w:t>
      </w:r>
    </w:p>
    <w:p w14:paraId="16ACE014" w14:textId="77777777" w:rsidR="00DB28BD" w:rsidRPr="00DB28BD" w:rsidRDefault="00DB28BD" w:rsidP="00DB28BD">
      <w:pPr>
        <w:spacing w:line="480" w:lineRule="auto"/>
        <w:jc w:val="both"/>
        <w:rPr>
          <w:rFonts w:ascii="Arial" w:hAnsi="Arial" w:cs="Arial"/>
        </w:rPr>
      </w:pPr>
      <w:r w:rsidRPr="00DB28BD">
        <w:rPr>
          <w:rFonts w:ascii="Arial" w:hAnsi="Arial" w:cs="Arial"/>
        </w:rPr>
        <w:t>Stewart, J. (2022</w:t>
      </w:r>
      <w:r w:rsidRPr="00DB28BD">
        <w:rPr>
          <w:rFonts w:ascii="Arial" w:hAnsi="Arial" w:cs="Arial"/>
          <w:i/>
          <w:iCs/>
        </w:rPr>
        <w:t xml:space="preserve">). From Fabian’s Bay to Fabian Way: the development of Kilvey, St. Thomas, </w:t>
      </w:r>
      <w:proofErr w:type="spellStart"/>
      <w:r w:rsidRPr="00DB28BD">
        <w:rPr>
          <w:rFonts w:ascii="Arial" w:hAnsi="Arial" w:cs="Arial"/>
          <w:i/>
          <w:iCs/>
        </w:rPr>
        <w:t>Danygraig</w:t>
      </w:r>
      <w:proofErr w:type="spellEnd"/>
      <w:r w:rsidRPr="00DB28BD">
        <w:rPr>
          <w:rFonts w:ascii="Arial" w:hAnsi="Arial" w:cs="Arial"/>
          <w:i/>
          <w:iCs/>
        </w:rPr>
        <w:t>, and Port Tennant in Victorian Swansea</w:t>
      </w:r>
      <w:r w:rsidRPr="00DB28BD">
        <w:rPr>
          <w:rFonts w:ascii="Arial" w:hAnsi="Arial" w:cs="Arial"/>
        </w:rPr>
        <w:t>. Cambria Publishing.</w:t>
      </w:r>
    </w:p>
    <w:p w14:paraId="011D2BF5" w14:textId="77777777" w:rsidR="00DB28BD" w:rsidRDefault="00DB28BD" w:rsidP="00DB28BD">
      <w:pPr>
        <w:spacing w:line="480" w:lineRule="auto"/>
        <w:jc w:val="both"/>
        <w:rPr>
          <w:rFonts w:ascii="Arial" w:hAnsi="Arial" w:cs="Arial"/>
        </w:rPr>
      </w:pPr>
      <w:r w:rsidRPr="00DB28BD">
        <w:rPr>
          <w:rFonts w:ascii="Arial" w:hAnsi="Arial" w:cs="Arial"/>
        </w:rPr>
        <w:t xml:space="preserve">Viken, A. (2016). </w:t>
      </w:r>
      <w:r w:rsidRPr="00DB28BD">
        <w:rPr>
          <w:rFonts w:ascii="Arial" w:hAnsi="Arial" w:cs="Arial"/>
          <w:i/>
          <w:iCs/>
        </w:rPr>
        <w:t>Place Reinvention: Northern Perspectives</w:t>
      </w:r>
      <w:r w:rsidRPr="00DB28BD">
        <w:rPr>
          <w:rFonts w:ascii="Arial" w:hAnsi="Arial" w:cs="Arial"/>
        </w:rPr>
        <w:t>. Routledge.</w:t>
      </w:r>
    </w:p>
    <w:p w14:paraId="7B4BAB91" w14:textId="19704C35" w:rsidR="00DB28BD" w:rsidRDefault="00DB28BD" w:rsidP="00DB28BD">
      <w:pPr>
        <w:spacing w:line="480" w:lineRule="auto"/>
        <w:jc w:val="both"/>
        <w:rPr>
          <w:rFonts w:ascii="Arial" w:hAnsi="Arial" w:cs="Arial"/>
        </w:rPr>
      </w:pPr>
      <w:hyperlink r:id="rId7" w:history="1">
        <w:r w:rsidRPr="00931347">
          <w:rPr>
            <w:rStyle w:val="Hyperlink"/>
            <w:rFonts w:ascii="Arial" w:hAnsi="Arial" w:cs="Arial"/>
          </w:rPr>
          <w:t>https://www.gov.wales/sites/default/files/consultations/2018-01/130311vandvfullresponsesen.pdf</w:t>
        </w:r>
      </w:hyperlink>
    </w:p>
    <w:p w14:paraId="669C4D24" w14:textId="16DC6675" w:rsidR="00DB28BD" w:rsidRDefault="00DB28BD" w:rsidP="00DB28BD">
      <w:pPr>
        <w:spacing w:line="480" w:lineRule="auto"/>
        <w:jc w:val="both"/>
        <w:rPr>
          <w:rFonts w:ascii="Arial" w:hAnsi="Arial" w:cs="Arial"/>
        </w:rPr>
      </w:pPr>
      <w:hyperlink r:id="rId8" w:history="1">
        <w:r w:rsidRPr="00931347">
          <w:rPr>
            <w:rStyle w:val="Hyperlink"/>
            <w:rFonts w:ascii="Arial" w:hAnsi="Arial" w:cs="Arial"/>
          </w:rPr>
          <w:t>https://democracy.swansea.gov.uk/documents/s37050/PH%20PP%20-%20Service%20Overview%20for%20Development%20Regeneration%20Scrutiny%20Panel.pdf</w:t>
        </w:r>
      </w:hyperlink>
    </w:p>
    <w:p w14:paraId="252BAA54" w14:textId="097A2F67" w:rsidR="00DB28BD" w:rsidRDefault="00DB28BD" w:rsidP="00DB28BD">
      <w:pPr>
        <w:spacing w:line="480" w:lineRule="auto"/>
        <w:jc w:val="both"/>
        <w:rPr>
          <w:rFonts w:ascii="Arial" w:hAnsi="Arial" w:cs="Arial"/>
        </w:rPr>
      </w:pPr>
      <w:hyperlink r:id="rId9" w:history="1">
        <w:r w:rsidRPr="00931347">
          <w:rPr>
            <w:rStyle w:val="Hyperlink"/>
            <w:rFonts w:ascii="Arial" w:hAnsi="Arial" w:cs="Arial"/>
          </w:rPr>
          <w:t>https://democracy.swansea.gov.uk/documents/s26590/11%20-%20Swansea%20Central%20Area%20Regeneration%20Framework.pdf</w:t>
        </w:r>
      </w:hyperlink>
    </w:p>
    <w:p w14:paraId="02C19A2E" w14:textId="77777777" w:rsidR="00DB28BD" w:rsidRPr="00DB28BD" w:rsidRDefault="00DB28BD" w:rsidP="00DB28BD">
      <w:pPr>
        <w:spacing w:line="480" w:lineRule="auto"/>
        <w:jc w:val="both"/>
        <w:rPr>
          <w:rFonts w:ascii="Arial" w:hAnsi="Arial" w:cs="Arial"/>
        </w:rPr>
      </w:pPr>
    </w:p>
    <w:p w14:paraId="572C192D" w14:textId="77777777" w:rsidR="00DB28BD" w:rsidRPr="00DB28BD" w:rsidRDefault="00DB28BD" w:rsidP="00DB28BD">
      <w:pPr>
        <w:spacing w:line="480" w:lineRule="auto"/>
        <w:jc w:val="both"/>
        <w:rPr>
          <w:rFonts w:ascii="Arial" w:hAnsi="Arial" w:cs="Arial"/>
        </w:rPr>
      </w:pPr>
    </w:p>
    <w:p w14:paraId="51CEBA43" w14:textId="77777777" w:rsidR="00DB28BD" w:rsidRPr="00DB28BD" w:rsidRDefault="00DB28BD" w:rsidP="00DB28BD">
      <w:pPr>
        <w:spacing w:line="480" w:lineRule="auto"/>
        <w:jc w:val="both"/>
        <w:rPr>
          <w:rFonts w:ascii="Arial" w:hAnsi="Arial" w:cs="Arial"/>
        </w:rPr>
      </w:pPr>
    </w:p>
    <w:p w14:paraId="02CC810C" w14:textId="77777777" w:rsidR="00DB28BD" w:rsidRPr="00DB28BD" w:rsidRDefault="00DB28BD" w:rsidP="00DB28BD">
      <w:pPr>
        <w:spacing w:line="480" w:lineRule="auto"/>
        <w:jc w:val="both"/>
        <w:rPr>
          <w:rFonts w:ascii="Arial" w:hAnsi="Arial" w:cs="Arial"/>
        </w:rPr>
      </w:pPr>
    </w:p>
    <w:p w14:paraId="7A7F61A1" w14:textId="77777777" w:rsidR="00DB28BD" w:rsidRPr="00DB28BD" w:rsidRDefault="00DB28BD" w:rsidP="00DB28BD">
      <w:pPr>
        <w:spacing w:line="480" w:lineRule="auto"/>
        <w:jc w:val="both"/>
        <w:rPr>
          <w:rFonts w:ascii="Arial" w:hAnsi="Arial" w:cs="Arial"/>
        </w:rPr>
      </w:pPr>
    </w:p>
    <w:p w14:paraId="41943124" w14:textId="77777777" w:rsidR="00FA5E13" w:rsidRPr="00FA5E13" w:rsidRDefault="00FA5E13" w:rsidP="00FA5E13">
      <w:pPr>
        <w:spacing w:line="480" w:lineRule="auto"/>
        <w:jc w:val="both"/>
        <w:rPr>
          <w:rFonts w:ascii="Arial" w:hAnsi="Arial" w:cs="Arial"/>
        </w:rPr>
      </w:pPr>
    </w:p>
    <w:sectPr w:rsidR="00FA5E13" w:rsidRPr="00FA5E13" w:rsidSect="00DB28B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29CF" w14:textId="77777777" w:rsidR="00EE08D7" w:rsidRDefault="00EE08D7" w:rsidP="00DB28BD">
      <w:pPr>
        <w:spacing w:after="0" w:line="240" w:lineRule="auto"/>
      </w:pPr>
      <w:r>
        <w:separator/>
      </w:r>
    </w:p>
  </w:endnote>
  <w:endnote w:type="continuationSeparator" w:id="0">
    <w:p w14:paraId="512F123D" w14:textId="77777777" w:rsidR="00EE08D7" w:rsidRDefault="00EE08D7" w:rsidP="00DB2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993713"/>
      <w:docPartObj>
        <w:docPartGallery w:val="Page Numbers (Bottom of Page)"/>
        <w:docPartUnique/>
      </w:docPartObj>
    </w:sdtPr>
    <w:sdtEndPr>
      <w:rPr>
        <w:color w:val="7F7F7F" w:themeColor="background1" w:themeShade="7F"/>
        <w:spacing w:val="60"/>
      </w:rPr>
    </w:sdtEndPr>
    <w:sdtContent>
      <w:p w14:paraId="223B31BF" w14:textId="40421918" w:rsidR="00DB28BD" w:rsidRDefault="00DB28B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D540C62" w14:textId="77777777" w:rsidR="00DB28BD" w:rsidRDefault="00DB2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057AD" w14:textId="77777777" w:rsidR="00EE08D7" w:rsidRDefault="00EE08D7" w:rsidP="00DB28BD">
      <w:pPr>
        <w:spacing w:after="0" w:line="240" w:lineRule="auto"/>
      </w:pPr>
      <w:r>
        <w:separator/>
      </w:r>
    </w:p>
  </w:footnote>
  <w:footnote w:type="continuationSeparator" w:id="0">
    <w:p w14:paraId="399057E8" w14:textId="77777777" w:rsidR="00EE08D7" w:rsidRDefault="00EE08D7" w:rsidP="00DB28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13"/>
    <w:rsid w:val="0016382C"/>
    <w:rsid w:val="00207C29"/>
    <w:rsid w:val="0031542D"/>
    <w:rsid w:val="007D456F"/>
    <w:rsid w:val="00DB28BD"/>
    <w:rsid w:val="00EE08D7"/>
    <w:rsid w:val="00FA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A2D9"/>
  <w15:chartTrackingRefBased/>
  <w15:docId w15:val="{BFAA9801-0A47-472F-99FF-85FCEB39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E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E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E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E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E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E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E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E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E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E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E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E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E13"/>
    <w:rPr>
      <w:rFonts w:eastAsiaTheme="majorEastAsia" w:cstheme="majorBidi"/>
      <w:color w:val="272727" w:themeColor="text1" w:themeTint="D8"/>
    </w:rPr>
  </w:style>
  <w:style w:type="paragraph" w:styleId="Title">
    <w:name w:val="Title"/>
    <w:basedOn w:val="Normal"/>
    <w:next w:val="Normal"/>
    <w:link w:val="TitleChar"/>
    <w:uiPriority w:val="10"/>
    <w:qFormat/>
    <w:rsid w:val="00FA5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E13"/>
    <w:pPr>
      <w:spacing w:before="160"/>
      <w:jc w:val="center"/>
    </w:pPr>
    <w:rPr>
      <w:i/>
      <w:iCs/>
      <w:color w:val="404040" w:themeColor="text1" w:themeTint="BF"/>
    </w:rPr>
  </w:style>
  <w:style w:type="character" w:customStyle="1" w:styleId="QuoteChar">
    <w:name w:val="Quote Char"/>
    <w:basedOn w:val="DefaultParagraphFont"/>
    <w:link w:val="Quote"/>
    <w:uiPriority w:val="29"/>
    <w:rsid w:val="00FA5E13"/>
    <w:rPr>
      <w:i/>
      <w:iCs/>
      <w:color w:val="404040" w:themeColor="text1" w:themeTint="BF"/>
    </w:rPr>
  </w:style>
  <w:style w:type="paragraph" w:styleId="ListParagraph">
    <w:name w:val="List Paragraph"/>
    <w:basedOn w:val="Normal"/>
    <w:uiPriority w:val="34"/>
    <w:qFormat/>
    <w:rsid w:val="00FA5E13"/>
    <w:pPr>
      <w:ind w:left="720"/>
      <w:contextualSpacing/>
    </w:pPr>
  </w:style>
  <w:style w:type="character" w:styleId="IntenseEmphasis">
    <w:name w:val="Intense Emphasis"/>
    <w:basedOn w:val="DefaultParagraphFont"/>
    <w:uiPriority w:val="21"/>
    <w:qFormat/>
    <w:rsid w:val="00FA5E13"/>
    <w:rPr>
      <w:i/>
      <w:iCs/>
      <w:color w:val="0F4761" w:themeColor="accent1" w:themeShade="BF"/>
    </w:rPr>
  </w:style>
  <w:style w:type="paragraph" w:styleId="IntenseQuote">
    <w:name w:val="Intense Quote"/>
    <w:basedOn w:val="Normal"/>
    <w:next w:val="Normal"/>
    <w:link w:val="IntenseQuoteChar"/>
    <w:uiPriority w:val="30"/>
    <w:qFormat/>
    <w:rsid w:val="00FA5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E13"/>
    <w:rPr>
      <w:i/>
      <w:iCs/>
      <w:color w:val="0F4761" w:themeColor="accent1" w:themeShade="BF"/>
    </w:rPr>
  </w:style>
  <w:style w:type="character" w:styleId="IntenseReference">
    <w:name w:val="Intense Reference"/>
    <w:basedOn w:val="DefaultParagraphFont"/>
    <w:uiPriority w:val="32"/>
    <w:qFormat/>
    <w:rsid w:val="00FA5E13"/>
    <w:rPr>
      <w:b/>
      <w:bCs/>
      <w:smallCaps/>
      <w:color w:val="0F4761" w:themeColor="accent1" w:themeShade="BF"/>
      <w:spacing w:val="5"/>
    </w:rPr>
  </w:style>
  <w:style w:type="character" w:styleId="Hyperlink">
    <w:name w:val="Hyperlink"/>
    <w:basedOn w:val="DefaultParagraphFont"/>
    <w:uiPriority w:val="99"/>
    <w:unhideWhenUsed/>
    <w:rsid w:val="00DB28BD"/>
    <w:rPr>
      <w:color w:val="467886" w:themeColor="hyperlink"/>
      <w:u w:val="single"/>
    </w:rPr>
  </w:style>
  <w:style w:type="character" w:styleId="UnresolvedMention">
    <w:name w:val="Unresolved Mention"/>
    <w:basedOn w:val="DefaultParagraphFont"/>
    <w:uiPriority w:val="99"/>
    <w:semiHidden/>
    <w:unhideWhenUsed/>
    <w:rsid w:val="00DB28BD"/>
    <w:rPr>
      <w:color w:val="605E5C"/>
      <w:shd w:val="clear" w:color="auto" w:fill="E1DFDD"/>
    </w:rPr>
  </w:style>
  <w:style w:type="paragraph" w:styleId="Header">
    <w:name w:val="header"/>
    <w:basedOn w:val="Normal"/>
    <w:link w:val="HeaderChar"/>
    <w:uiPriority w:val="99"/>
    <w:unhideWhenUsed/>
    <w:rsid w:val="00DB2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8BD"/>
  </w:style>
  <w:style w:type="paragraph" w:styleId="Footer">
    <w:name w:val="footer"/>
    <w:basedOn w:val="Normal"/>
    <w:link w:val="FooterChar"/>
    <w:uiPriority w:val="99"/>
    <w:unhideWhenUsed/>
    <w:rsid w:val="00DB2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8BD"/>
  </w:style>
  <w:style w:type="paragraph" w:styleId="NoSpacing">
    <w:name w:val="No Spacing"/>
    <w:link w:val="NoSpacingChar"/>
    <w:uiPriority w:val="1"/>
    <w:qFormat/>
    <w:rsid w:val="00DB28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B28B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378898">
      <w:bodyDiv w:val="1"/>
      <w:marLeft w:val="0"/>
      <w:marRight w:val="0"/>
      <w:marTop w:val="0"/>
      <w:marBottom w:val="0"/>
      <w:divBdr>
        <w:top w:val="none" w:sz="0" w:space="0" w:color="auto"/>
        <w:left w:val="none" w:sz="0" w:space="0" w:color="auto"/>
        <w:bottom w:val="none" w:sz="0" w:space="0" w:color="auto"/>
        <w:right w:val="none" w:sz="0" w:space="0" w:color="auto"/>
      </w:divBdr>
    </w:div>
    <w:div w:id="1980263986">
      <w:bodyDiv w:val="1"/>
      <w:marLeft w:val="0"/>
      <w:marRight w:val="0"/>
      <w:marTop w:val="0"/>
      <w:marBottom w:val="0"/>
      <w:divBdr>
        <w:top w:val="none" w:sz="0" w:space="0" w:color="auto"/>
        <w:left w:val="none" w:sz="0" w:space="0" w:color="auto"/>
        <w:bottom w:val="none" w:sz="0" w:space="0" w:color="auto"/>
        <w:right w:val="none" w:sz="0" w:space="0" w:color="auto"/>
      </w:divBdr>
    </w:div>
    <w:div w:id="199926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cracy.swansea.gov.uk/documents/s37050/PH%20PP%20-%20Service%20Overview%20for%20Development%20Regeneration%20Scrutiny%20Panel.pdf" TargetMode="External"/><Relationship Id="rId3" Type="http://schemas.openxmlformats.org/officeDocument/2006/relationships/settings" Target="settings.xml"/><Relationship Id="rId7" Type="http://schemas.openxmlformats.org/officeDocument/2006/relationships/hyperlink" Target="https://www.gov.wales/sites/default/files/consultations/2018-01/130311vandvfullresponses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emocracy.swansea.gov.uk/documents/s26590/11%20-%20Swansea%20Central%20Area%20Regeneration%20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2025-02-09T00:00:00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3288</Words>
  <Characters>18746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on Swansea Area</dc:title>
  <dc:subject/>
  <dc:creator>Mirabela Voican (1907947)</dc:creator>
  <cp:keywords/>
  <dc:description/>
  <cp:lastModifiedBy>Mirabela Voican (1907947)</cp:lastModifiedBy>
  <cp:revision>2</cp:revision>
  <dcterms:created xsi:type="dcterms:W3CDTF">2025-02-09T12:40:00Z</dcterms:created>
  <dcterms:modified xsi:type="dcterms:W3CDTF">2025-02-09T12:40:00Z</dcterms:modified>
</cp:coreProperties>
</file>