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Default="002B4585" w:rsidP="002B4585">
      <w:pPr>
        <w:jc w:val="center"/>
        <w:rPr>
          <w:sz w:val="28"/>
        </w:rPr>
      </w:pPr>
      <w:r w:rsidRPr="002B4585">
        <w:rPr>
          <w:sz w:val="28"/>
        </w:rPr>
        <w:t>How does Heart of Darkness interpret the European ‘scramble for Africa,’ and in what ways has the novel been critiqued by postcolonial theorists?</w:t>
      </w:r>
    </w:p>
    <w:p w:rsidR="002223C6" w:rsidRDefault="002223C6" w:rsidP="002223C6">
      <w:pPr>
        <w:rPr>
          <w:sz w:val="28"/>
        </w:rPr>
      </w:pPr>
    </w:p>
    <w:p w:rsidR="00940C43" w:rsidRPr="001D7F4A" w:rsidRDefault="002223C6" w:rsidP="002223C6">
      <w:pPr>
        <w:rPr>
          <w:sz w:val="24"/>
          <w:vertAlign w:val="superscript"/>
        </w:rPr>
      </w:pPr>
      <w:r>
        <w:rPr>
          <w:sz w:val="24"/>
        </w:rPr>
        <w:t xml:space="preserve">Joseph </w:t>
      </w:r>
      <w:r w:rsidR="00AD6A73">
        <w:rPr>
          <w:sz w:val="24"/>
        </w:rPr>
        <w:t>Conrad’s</w:t>
      </w:r>
      <w:r>
        <w:rPr>
          <w:sz w:val="24"/>
        </w:rPr>
        <w:t xml:space="preserve"> Novella, Heart of Darkness</w:t>
      </w:r>
      <w:r w:rsidR="001D7F4A">
        <w:rPr>
          <w:sz w:val="24"/>
        </w:rPr>
        <w:t xml:space="preserve"> (first published in three serial parts in 1899 as part of the 1000</w:t>
      </w:r>
      <w:r w:rsidR="00BD1EC6" w:rsidRPr="00BD1EC6">
        <w:rPr>
          <w:sz w:val="24"/>
          <w:vertAlign w:val="superscript"/>
        </w:rPr>
        <w:t>th</w:t>
      </w:r>
      <w:r w:rsidR="007D3A2E">
        <w:rPr>
          <w:sz w:val="24"/>
          <w:vertAlign w:val="superscript"/>
        </w:rPr>
        <w:t xml:space="preserve"> </w:t>
      </w:r>
      <w:r w:rsidR="001D7F4A">
        <w:rPr>
          <w:sz w:val="24"/>
        </w:rPr>
        <w:t>edition of Blackwood magazine, then published in a book with 2 other short stories consisting of Youth and The End of the Tether, both by Conrad)</w:t>
      </w:r>
      <w:r>
        <w:rPr>
          <w:sz w:val="24"/>
        </w:rPr>
        <w:t xml:space="preserve">, is a commentary on the so called </w:t>
      </w:r>
      <w:r w:rsidR="00F12F69">
        <w:rPr>
          <w:sz w:val="24"/>
        </w:rPr>
        <w:t xml:space="preserve">European </w:t>
      </w:r>
      <w:r>
        <w:rPr>
          <w:sz w:val="24"/>
        </w:rPr>
        <w:t xml:space="preserve">Scramble </w:t>
      </w:r>
      <w:r w:rsidR="00B8176D">
        <w:rPr>
          <w:sz w:val="24"/>
        </w:rPr>
        <w:t>for</w:t>
      </w:r>
      <w:r>
        <w:rPr>
          <w:sz w:val="24"/>
        </w:rPr>
        <w:t xml:space="preserve"> Africa </w:t>
      </w:r>
      <w:r w:rsidR="00B8176D">
        <w:rPr>
          <w:sz w:val="24"/>
        </w:rPr>
        <w:t>ex</w:t>
      </w:r>
      <w:r w:rsidR="006C47FC">
        <w:rPr>
          <w:sz w:val="24"/>
        </w:rPr>
        <w:t xml:space="preserve">ploring the consequences of the division and imperialist influence in Africa during the late Victorian period. </w:t>
      </w:r>
      <w:r w:rsidR="00940C43">
        <w:rPr>
          <w:sz w:val="24"/>
        </w:rPr>
        <w:t>Conrad depicts the Scramble for Africa as mostly the British and the Belgians wanting control over territories in Africa</w:t>
      </w:r>
      <w:r w:rsidR="00F12F69">
        <w:rPr>
          <w:sz w:val="24"/>
        </w:rPr>
        <w:t>,</w:t>
      </w:r>
      <w:r w:rsidR="00940C43">
        <w:rPr>
          <w:sz w:val="24"/>
        </w:rPr>
        <w:t xml:space="preserve"> as the ivory</w:t>
      </w:r>
      <w:r w:rsidR="00F12F69">
        <w:rPr>
          <w:sz w:val="24"/>
        </w:rPr>
        <w:t xml:space="preserve"> (in particular, amongst other trading items)</w:t>
      </w:r>
      <w:r w:rsidR="00940C43">
        <w:rPr>
          <w:sz w:val="24"/>
        </w:rPr>
        <w:t xml:space="preserve"> created a useful and highly profitable trade for the European imperial powers. </w:t>
      </w:r>
      <w:r w:rsidR="001C6F44">
        <w:rPr>
          <w:sz w:val="24"/>
        </w:rPr>
        <w:t xml:space="preserve">Heart of Darkness explores the idea of how the ivory trade can lead to the deterioration of the European explorer/ worker if they are alone in the Congo, and how they can gain a thirst for power over the natives as the locals seem in awe of the Europeans. However, a large proportion of post colonial theorists do not interpret Conrad’s novella Heart of Darkness as the </w:t>
      </w:r>
      <w:r w:rsidR="00280B58">
        <w:rPr>
          <w:sz w:val="24"/>
        </w:rPr>
        <w:t>decline in stability of the European, but rather as a novel used to display racism and dislike or complete domination over and towards the natives of the African Congo.</w:t>
      </w:r>
    </w:p>
    <w:p w:rsidR="002223C6" w:rsidRDefault="0094432F" w:rsidP="002223C6">
      <w:pPr>
        <w:rPr>
          <w:sz w:val="24"/>
        </w:rPr>
      </w:pPr>
      <w:r>
        <w:rPr>
          <w:sz w:val="24"/>
        </w:rPr>
        <w:t>The novella follows the story of the narrator, Conrad then</w:t>
      </w:r>
      <w:r w:rsidR="00580A75">
        <w:rPr>
          <w:sz w:val="24"/>
        </w:rPr>
        <w:t xml:space="preserve"> turning into the fictional character of</w:t>
      </w:r>
      <w:r>
        <w:rPr>
          <w:sz w:val="24"/>
        </w:rPr>
        <w:t xml:space="preserve"> M</w:t>
      </w:r>
      <w:r w:rsidR="00580A75">
        <w:rPr>
          <w:sz w:val="24"/>
        </w:rPr>
        <w:t>arlow, on his mission to rescue</w:t>
      </w:r>
      <w:r>
        <w:rPr>
          <w:sz w:val="24"/>
        </w:rPr>
        <w:t xml:space="preserve"> the </w:t>
      </w:r>
      <w:r w:rsidR="00580A75">
        <w:rPr>
          <w:sz w:val="24"/>
        </w:rPr>
        <w:t xml:space="preserve">Company’s </w:t>
      </w:r>
      <w:r>
        <w:rPr>
          <w:sz w:val="24"/>
        </w:rPr>
        <w:t xml:space="preserve">‘hero’ figure of Kurtz who is </w:t>
      </w:r>
      <w:r w:rsidR="002E26F9">
        <w:rPr>
          <w:sz w:val="24"/>
        </w:rPr>
        <w:t>considered</w:t>
      </w:r>
      <w:r>
        <w:rPr>
          <w:sz w:val="24"/>
        </w:rPr>
        <w:t xml:space="preserve"> to be the best ivory trader all around</w:t>
      </w:r>
      <w:r w:rsidR="002E26F9">
        <w:rPr>
          <w:sz w:val="24"/>
        </w:rPr>
        <w:t>. Conrad depicts Kurtz as the hero near the start of the story; the Belgian trader who set up Marlow to take the voyage (of finding the seemingly lost Kurtz) describes Kurtz as ‘</w:t>
      </w:r>
      <w:r w:rsidR="00CF4D4E">
        <w:rPr>
          <w:sz w:val="24"/>
        </w:rPr>
        <w:t>’</w:t>
      </w:r>
      <w:r w:rsidR="002E26F9">
        <w:rPr>
          <w:sz w:val="24"/>
        </w:rPr>
        <w:t>a first class agent’</w:t>
      </w:r>
      <w:r w:rsidR="00CF4D4E">
        <w:rPr>
          <w:sz w:val="24"/>
        </w:rPr>
        <w:t>’</w:t>
      </w:r>
      <w:r w:rsidR="002E26F9">
        <w:rPr>
          <w:sz w:val="24"/>
        </w:rPr>
        <w:t>, as well as ‘</w:t>
      </w:r>
      <w:r w:rsidR="00CF4D4E">
        <w:rPr>
          <w:sz w:val="24"/>
        </w:rPr>
        <w:t>’</w:t>
      </w:r>
      <w:r w:rsidR="002E26F9">
        <w:rPr>
          <w:sz w:val="24"/>
        </w:rPr>
        <w:t>a very remarkable person’</w:t>
      </w:r>
      <w:r w:rsidR="00CF4D4E">
        <w:rPr>
          <w:sz w:val="24"/>
        </w:rPr>
        <w:t>’</w:t>
      </w:r>
      <w:r w:rsidR="00EF5DD2">
        <w:rPr>
          <w:rStyle w:val="FootnoteReference"/>
          <w:sz w:val="24"/>
        </w:rPr>
        <w:footnoteReference w:id="1"/>
      </w:r>
      <w:r w:rsidR="002E26F9">
        <w:rPr>
          <w:sz w:val="24"/>
        </w:rPr>
        <w:t xml:space="preserve"> and comments on Kurtz’s talent for collecting ivory as ‘</w:t>
      </w:r>
      <w:r w:rsidR="00CF4D4E">
        <w:rPr>
          <w:sz w:val="24"/>
        </w:rPr>
        <w:t>’</w:t>
      </w:r>
      <w:r w:rsidR="002E26F9">
        <w:rPr>
          <w:sz w:val="24"/>
        </w:rPr>
        <w:t>a very important one… sends in as much ivory as all the others put together’</w:t>
      </w:r>
      <w:r w:rsidR="00CF4D4E">
        <w:rPr>
          <w:sz w:val="24"/>
        </w:rPr>
        <w:t>’</w:t>
      </w:r>
      <w:r w:rsidR="002E26F9">
        <w:rPr>
          <w:sz w:val="24"/>
        </w:rPr>
        <w:t xml:space="preserve"> showing us that he is </w:t>
      </w:r>
      <w:r w:rsidR="008819D2">
        <w:rPr>
          <w:sz w:val="24"/>
        </w:rPr>
        <w:t>a key employee of the Company as Kurtz makes a lot of profit</w:t>
      </w:r>
      <w:r w:rsidR="00EF5DD2">
        <w:rPr>
          <w:rStyle w:val="FootnoteReference"/>
          <w:sz w:val="24"/>
        </w:rPr>
        <w:footnoteReference w:id="2"/>
      </w:r>
      <w:r w:rsidR="008819D2">
        <w:rPr>
          <w:sz w:val="24"/>
        </w:rPr>
        <w:t>. Despite this, Conrad suggests that Kurtz doesn’t come by all the ivory on the most legal of terms</w:t>
      </w:r>
      <w:r w:rsidR="00AD6A73">
        <w:rPr>
          <w:sz w:val="24"/>
        </w:rPr>
        <w:t>, Kurtz had ‘</w:t>
      </w:r>
      <w:r w:rsidR="00CF4D4E">
        <w:rPr>
          <w:sz w:val="24"/>
        </w:rPr>
        <w:t>’</w:t>
      </w:r>
      <w:r w:rsidR="00AD6A73">
        <w:rPr>
          <w:sz w:val="24"/>
        </w:rPr>
        <w:t>collected, bartered, swindled or stolen more ivory than all the other agents together</w:t>
      </w:r>
      <w:r w:rsidR="00CF4D4E">
        <w:rPr>
          <w:sz w:val="24"/>
        </w:rPr>
        <w:t>’</w:t>
      </w:r>
      <w:r w:rsidR="00AD6A73">
        <w:rPr>
          <w:sz w:val="24"/>
        </w:rPr>
        <w:t>’</w:t>
      </w:r>
      <w:r w:rsidR="00CF4D4E">
        <w:rPr>
          <w:rStyle w:val="FootnoteReference"/>
          <w:sz w:val="24"/>
        </w:rPr>
        <w:footnoteReference w:id="3"/>
      </w:r>
      <w:r w:rsidR="00D93A96">
        <w:rPr>
          <w:sz w:val="24"/>
        </w:rPr>
        <w:t xml:space="preserve"> clearly stating how the others in the Company do not admire Kurtz as a hero, but are rather more jealous of his ability to lie or confidence trick the ivory from the natives.</w:t>
      </w:r>
      <w:r w:rsidR="00A34CFE">
        <w:rPr>
          <w:sz w:val="24"/>
        </w:rPr>
        <w:t xml:space="preserve"> The hero aspect </w:t>
      </w:r>
      <w:r w:rsidR="00580A75">
        <w:rPr>
          <w:sz w:val="24"/>
        </w:rPr>
        <w:t xml:space="preserve">of Kurtz </w:t>
      </w:r>
      <w:r w:rsidR="00A34CFE">
        <w:rPr>
          <w:sz w:val="24"/>
        </w:rPr>
        <w:t>itself has been debated by post colonial theorists,</w:t>
      </w:r>
      <w:r w:rsidR="00580A75">
        <w:rPr>
          <w:sz w:val="24"/>
        </w:rPr>
        <w:t xml:space="preserve"> with Trilling stating</w:t>
      </w:r>
      <w:r w:rsidR="00A34CFE">
        <w:rPr>
          <w:sz w:val="24"/>
        </w:rPr>
        <w:t xml:space="preserve"> that Kurtz was a ‘’h</w:t>
      </w:r>
      <w:r w:rsidR="00A34CFE" w:rsidRPr="00A34CFE">
        <w:rPr>
          <w:sz w:val="24"/>
        </w:rPr>
        <w:t>ero of the spirit</w:t>
      </w:r>
      <w:r w:rsidR="00A34CFE">
        <w:rPr>
          <w:sz w:val="24"/>
        </w:rPr>
        <w:t>’’</w:t>
      </w:r>
      <w:r w:rsidR="00580A75">
        <w:rPr>
          <w:sz w:val="24"/>
        </w:rPr>
        <w:t>,</w:t>
      </w:r>
      <w:r w:rsidR="00A34CFE">
        <w:rPr>
          <w:rStyle w:val="FootnoteReference"/>
          <w:sz w:val="24"/>
        </w:rPr>
        <w:footnoteReference w:id="4"/>
      </w:r>
      <w:r w:rsidR="00A34CFE">
        <w:rPr>
          <w:sz w:val="24"/>
        </w:rPr>
        <w:t xml:space="preserve"> suggesting that Kurtz was only a hero during</w:t>
      </w:r>
      <w:r w:rsidR="00580A75">
        <w:rPr>
          <w:sz w:val="24"/>
        </w:rPr>
        <w:t xml:space="preserve"> the initial rush for the S</w:t>
      </w:r>
      <w:r w:rsidR="00A34CFE">
        <w:rPr>
          <w:sz w:val="24"/>
        </w:rPr>
        <w:t xml:space="preserve">cramble of Africa, the </w:t>
      </w:r>
      <w:r w:rsidR="00580A75">
        <w:rPr>
          <w:sz w:val="24"/>
        </w:rPr>
        <w:t>‘’</w:t>
      </w:r>
      <w:r w:rsidR="00A34CFE">
        <w:rPr>
          <w:sz w:val="24"/>
        </w:rPr>
        <w:t>spirit</w:t>
      </w:r>
      <w:r w:rsidR="00580A75">
        <w:rPr>
          <w:sz w:val="24"/>
        </w:rPr>
        <w:t>’’ of high hopes and excitement</w:t>
      </w:r>
      <w:r w:rsidR="00A34CFE">
        <w:rPr>
          <w:sz w:val="24"/>
        </w:rPr>
        <w:t xml:space="preserve"> of </w:t>
      </w:r>
      <w:r w:rsidR="00580A75">
        <w:rPr>
          <w:sz w:val="24"/>
        </w:rPr>
        <w:t xml:space="preserve">wanting to be one of the first </w:t>
      </w:r>
      <w:r w:rsidR="00A34CFE">
        <w:rPr>
          <w:sz w:val="24"/>
        </w:rPr>
        <w:t>civilise</w:t>
      </w:r>
      <w:r w:rsidR="00580A75">
        <w:rPr>
          <w:sz w:val="24"/>
        </w:rPr>
        <w:t xml:space="preserve"> the natives to fit into his own, and the European’s Company ideals.</w:t>
      </w:r>
    </w:p>
    <w:p w:rsidR="00EE65F4" w:rsidRDefault="00EE65F4" w:rsidP="002223C6">
      <w:pPr>
        <w:rPr>
          <w:sz w:val="24"/>
        </w:rPr>
      </w:pPr>
      <w:r>
        <w:rPr>
          <w:sz w:val="24"/>
        </w:rPr>
        <w:t>The European Scramble for Africa was a result of interests that the Imperial powers had, in trading items such as rubber</w:t>
      </w:r>
      <w:r w:rsidR="00902EE6">
        <w:rPr>
          <w:sz w:val="24"/>
        </w:rPr>
        <w:t>,</w:t>
      </w:r>
      <w:r>
        <w:rPr>
          <w:sz w:val="24"/>
        </w:rPr>
        <w:t xml:space="preserve"> but </w:t>
      </w:r>
      <w:r w:rsidR="00902EE6">
        <w:rPr>
          <w:sz w:val="24"/>
        </w:rPr>
        <w:t xml:space="preserve">the </w:t>
      </w:r>
      <w:r>
        <w:rPr>
          <w:sz w:val="24"/>
        </w:rPr>
        <w:t>most sought after item was the ivory, as it is in the</w:t>
      </w:r>
      <w:r w:rsidR="00902EE6">
        <w:rPr>
          <w:sz w:val="24"/>
        </w:rPr>
        <w:t xml:space="preserve"> novella</w:t>
      </w:r>
      <w:r>
        <w:rPr>
          <w:sz w:val="24"/>
        </w:rPr>
        <w:t xml:space="preserve"> Heart of Darkness. There were conflicting interests in Africa amongst Europeans, including the total ruling of the Congo Free State by Belgian monarch King Leopold 2</w:t>
      </w:r>
      <w:r w:rsidRPr="00EE65F4">
        <w:rPr>
          <w:sz w:val="24"/>
          <w:vertAlign w:val="superscript"/>
        </w:rPr>
        <w:t>nd</w:t>
      </w:r>
      <w:r>
        <w:rPr>
          <w:sz w:val="24"/>
        </w:rPr>
        <w:t xml:space="preserve">. This </w:t>
      </w:r>
      <w:r>
        <w:rPr>
          <w:sz w:val="24"/>
        </w:rPr>
        <w:lastRenderedPageBreak/>
        <w:t>ultimately led to the Berlin Conference of 1884 where Africa</w:t>
      </w:r>
      <w:r w:rsidR="00B02DFA">
        <w:rPr>
          <w:sz w:val="24"/>
        </w:rPr>
        <w:t>’s land</w:t>
      </w:r>
      <w:r>
        <w:rPr>
          <w:sz w:val="24"/>
        </w:rPr>
        <w:t xml:space="preserve"> was divided up and given to different European powers as to inhibit any possibly confrontations, if not battles, over land in Africa</w:t>
      </w:r>
      <w:r w:rsidR="00BC533C">
        <w:rPr>
          <w:rStyle w:val="FootnoteReference"/>
          <w:sz w:val="24"/>
        </w:rPr>
        <w:footnoteReference w:id="5"/>
      </w:r>
      <w:r>
        <w:rPr>
          <w:sz w:val="24"/>
        </w:rPr>
        <w:t>. This conference led to the mapping and borders of Africa t</w:t>
      </w:r>
      <w:r w:rsidR="00735542">
        <w:rPr>
          <w:sz w:val="24"/>
        </w:rPr>
        <w:t>hat are very similar to todays, which also created a new interest for actually mapping all the details throughout Africa on atlases and globes. This is referenced in the novel as Conrad is explaining how the previously ‘’blank spaces’’</w:t>
      </w:r>
      <w:r w:rsidR="0006301E">
        <w:rPr>
          <w:sz w:val="24"/>
        </w:rPr>
        <w:t xml:space="preserve"> that are perceived to be ‘‘a place of darkness’’ in</w:t>
      </w:r>
      <w:r w:rsidR="00735542">
        <w:rPr>
          <w:sz w:val="24"/>
        </w:rPr>
        <w:t xml:space="preserve"> Africa have been slowly filled in with rivers that ‘’snake’’ and other features of the landscape</w:t>
      </w:r>
      <w:r w:rsidR="00BC533C">
        <w:rPr>
          <w:rStyle w:val="FootnoteReference"/>
          <w:sz w:val="24"/>
        </w:rPr>
        <w:footnoteReference w:id="6"/>
      </w:r>
      <w:r w:rsidR="00735542">
        <w:rPr>
          <w:sz w:val="24"/>
        </w:rPr>
        <w:t xml:space="preserve">. </w:t>
      </w:r>
      <w:r>
        <w:rPr>
          <w:sz w:val="24"/>
        </w:rPr>
        <w:t xml:space="preserve">Conrad’s Heart of Darkness is </w:t>
      </w:r>
      <w:r w:rsidR="00902EE6">
        <w:rPr>
          <w:sz w:val="24"/>
        </w:rPr>
        <w:t xml:space="preserve">widely believed to be </w:t>
      </w:r>
      <w:r>
        <w:rPr>
          <w:sz w:val="24"/>
        </w:rPr>
        <w:t xml:space="preserve">set in the Congo </w:t>
      </w:r>
      <w:r w:rsidR="00C657AC">
        <w:rPr>
          <w:sz w:val="24"/>
        </w:rPr>
        <w:t>and is based on a Belgian Company in</w:t>
      </w:r>
      <w:r w:rsidR="00902EE6">
        <w:rPr>
          <w:sz w:val="24"/>
        </w:rPr>
        <w:t xml:space="preserve"> the business of</w:t>
      </w:r>
      <w:r w:rsidR="00C657AC">
        <w:rPr>
          <w:sz w:val="24"/>
        </w:rPr>
        <w:t xml:space="preserve"> ivory trading, which is significant because before the Berlin Conference, Congo was under tyrant or total rule under the Belgian King</w:t>
      </w:r>
      <w:r w:rsidR="00435C8F">
        <w:rPr>
          <w:sz w:val="24"/>
        </w:rPr>
        <w:t xml:space="preserve">. The company in which Kurtz and Marlow are employed for remains unknown </w:t>
      </w:r>
      <w:r w:rsidR="00394388">
        <w:rPr>
          <w:sz w:val="24"/>
        </w:rPr>
        <w:t>and is simply refers to as ‘The Company’ the same way the British East India Trading Company</w:t>
      </w:r>
      <w:r w:rsidR="00D93125">
        <w:rPr>
          <w:sz w:val="24"/>
        </w:rPr>
        <w:t xml:space="preserve"> had been for </w:t>
      </w:r>
      <w:r w:rsidR="00902EE6">
        <w:rPr>
          <w:sz w:val="24"/>
        </w:rPr>
        <w:t xml:space="preserve">by the British and the native Indians in the years previous to when </w:t>
      </w:r>
      <w:r w:rsidR="00D93125">
        <w:rPr>
          <w:sz w:val="24"/>
        </w:rPr>
        <w:t>Conrad’s Heart of Darkness is set (</w:t>
      </w:r>
      <w:r w:rsidR="00BC533C">
        <w:rPr>
          <w:sz w:val="24"/>
        </w:rPr>
        <w:t xml:space="preserve">believed to be </w:t>
      </w:r>
      <w:r w:rsidR="00D93125">
        <w:rPr>
          <w:sz w:val="24"/>
        </w:rPr>
        <w:t>1890s</w:t>
      </w:r>
      <w:r w:rsidR="00BC533C">
        <w:rPr>
          <w:sz w:val="24"/>
        </w:rPr>
        <w:t xml:space="preserve"> up until whe</w:t>
      </w:r>
      <w:r w:rsidR="00902EE6">
        <w:rPr>
          <w:sz w:val="24"/>
        </w:rPr>
        <w:t>n it was published first in 1899</w:t>
      </w:r>
      <w:r w:rsidR="00BC533C">
        <w:rPr>
          <w:rStyle w:val="FootnoteReference"/>
          <w:sz w:val="24"/>
        </w:rPr>
        <w:footnoteReference w:id="7"/>
      </w:r>
      <w:r w:rsidR="00D93125">
        <w:rPr>
          <w:sz w:val="24"/>
        </w:rPr>
        <w:t>)</w:t>
      </w:r>
      <w:r w:rsidR="00394388">
        <w:rPr>
          <w:sz w:val="24"/>
        </w:rPr>
        <w:t xml:space="preserve">. </w:t>
      </w:r>
    </w:p>
    <w:p w:rsidR="00E5365B" w:rsidRDefault="00FA3B68" w:rsidP="002223C6">
      <w:pPr>
        <w:rPr>
          <w:sz w:val="24"/>
        </w:rPr>
      </w:pPr>
      <w:r>
        <w:rPr>
          <w:sz w:val="24"/>
        </w:rPr>
        <w:t>There has been much commentary and crit</w:t>
      </w:r>
      <w:r w:rsidR="00FB36E0">
        <w:rPr>
          <w:sz w:val="24"/>
        </w:rPr>
        <w:t>ic</w:t>
      </w:r>
      <w:r>
        <w:rPr>
          <w:sz w:val="24"/>
        </w:rPr>
        <w:t xml:space="preserve">ism of </w:t>
      </w:r>
      <w:r w:rsidR="00FB36E0">
        <w:rPr>
          <w:sz w:val="24"/>
        </w:rPr>
        <w:t>Conrad’s</w:t>
      </w:r>
      <w:r>
        <w:rPr>
          <w:sz w:val="24"/>
        </w:rPr>
        <w:t xml:space="preserve"> novella Heart o</w:t>
      </w:r>
      <w:r w:rsidR="00FB36E0">
        <w:rPr>
          <w:sz w:val="24"/>
        </w:rPr>
        <w:t>f</w:t>
      </w:r>
      <w:r>
        <w:rPr>
          <w:sz w:val="24"/>
        </w:rPr>
        <w:t xml:space="preserve"> </w:t>
      </w:r>
      <w:r w:rsidR="00FB36E0">
        <w:rPr>
          <w:sz w:val="24"/>
        </w:rPr>
        <w:t>Darkness</w:t>
      </w:r>
      <w:r>
        <w:rPr>
          <w:sz w:val="24"/>
        </w:rPr>
        <w:t>, b</w:t>
      </w:r>
      <w:r w:rsidR="00FB36E0">
        <w:rPr>
          <w:sz w:val="24"/>
        </w:rPr>
        <w:t>o</w:t>
      </w:r>
      <w:r>
        <w:rPr>
          <w:sz w:val="24"/>
        </w:rPr>
        <w:t xml:space="preserve">th cotemporary of the novel being </w:t>
      </w:r>
      <w:r w:rsidR="00FB36E0">
        <w:rPr>
          <w:sz w:val="24"/>
        </w:rPr>
        <w:t xml:space="preserve">published (from its first serial appearance in </w:t>
      </w:r>
      <w:proofErr w:type="spellStart"/>
      <w:r w:rsidR="00FB36E0">
        <w:rPr>
          <w:sz w:val="24"/>
        </w:rPr>
        <w:t>Blackwood</w:t>
      </w:r>
      <w:r w:rsidR="000552B5">
        <w:rPr>
          <w:sz w:val="24"/>
        </w:rPr>
        <w:t>s</w:t>
      </w:r>
      <w:proofErr w:type="spellEnd"/>
      <w:r w:rsidR="00FB36E0">
        <w:rPr>
          <w:sz w:val="24"/>
        </w:rPr>
        <w:t xml:space="preserve"> magazine) as well as modern scholarship and debates surrounding the novella. </w:t>
      </w:r>
      <w:r w:rsidR="00C43ED1">
        <w:rPr>
          <w:sz w:val="24"/>
        </w:rPr>
        <w:t>Since the 1960’s, most of Africa and indeed Britain, have been living in a post colonial society (a society existing after decolonisation or loss of colonies</w:t>
      </w:r>
      <w:r w:rsidR="00D15627">
        <w:rPr>
          <w:rStyle w:val="FootnoteReference"/>
          <w:sz w:val="24"/>
        </w:rPr>
        <w:footnoteReference w:id="8"/>
      </w:r>
      <w:r w:rsidR="00C43ED1">
        <w:rPr>
          <w:sz w:val="24"/>
        </w:rPr>
        <w:t>)</w:t>
      </w:r>
      <w:r w:rsidR="00592A38">
        <w:rPr>
          <w:sz w:val="24"/>
        </w:rPr>
        <w:t xml:space="preserve"> which has led to the</w:t>
      </w:r>
      <w:r w:rsidR="00581DCF">
        <w:rPr>
          <w:sz w:val="24"/>
        </w:rPr>
        <w:t xml:space="preserve"> published</w:t>
      </w:r>
      <w:r w:rsidR="00592A38">
        <w:rPr>
          <w:sz w:val="24"/>
        </w:rPr>
        <w:t xml:space="preserve"> writing</w:t>
      </w:r>
      <w:r w:rsidR="00581DCF">
        <w:rPr>
          <w:sz w:val="24"/>
        </w:rPr>
        <w:t>s</w:t>
      </w:r>
      <w:r w:rsidR="00592A38">
        <w:rPr>
          <w:sz w:val="24"/>
        </w:rPr>
        <w:t xml:space="preserve"> of post colonial theorists. </w:t>
      </w:r>
      <w:r w:rsidR="00E33B3B">
        <w:rPr>
          <w:sz w:val="24"/>
        </w:rPr>
        <w:t>Owing to the fact that</w:t>
      </w:r>
      <w:r w:rsidR="00D61DEA">
        <w:rPr>
          <w:sz w:val="24"/>
        </w:rPr>
        <w:t xml:space="preserve"> Heart of Darkness is about the colonisation of Congo and </w:t>
      </w:r>
      <w:r w:rsidR="000552B5">
        <w:rPr>
          <w:sz w:val="24"/>
        </w:rPr>
        <w:t xml:space="preserve">greater </w:t>
      </w:r>
      <w:r w:rsidR="00D61DEA">
        <w:rPr>
          <w:sz w:val="24"/>
        </w:rPr>
        <w:t>Africa for the acquisition (or as many post colonialists would say, exploitation) of African goods such as ivory</w:t>
      </w:r>
      <w:r w:rsidR="000552B5">
        <w:rPr>
          <w:sz w:val="24"/>
        </w:rPr>
        <w:t>, the novel would be interpreted differently by those reading it at the time believing in the greater good of imperial powers, compared to those reading it today who may have formed anti-imperialist views</w:t>
      </w:r>
      <w:r w:rsidR="00D61DEA">
        <w:rPr>
          <w:sz w:val="24"/>
        </w:rPr>
        <w:t xml:space="preserve">. </w:t>
      </w:r>
      <w:r w:rsidR="00E5365B">
        <w:rPr>
          <w:sz w:val="24"/>
        </w:rPr>
        <w:t>Since decolonisation, there has been more awareness of some of the atrocities that went on, although this seems to be known at the time</w:t>
      </w:r>
      <w:r w:rsidR="008F576E">
        <w:rPr>
          <w:sz w:val="24"/>
        </w:rPr>
        <w:t xml:space="preserve"> when Heart of Darkness was first published, it was not until later years that all the known details were released; indeed something Conrad himself helped in during the early part of the 20</w:t>
      </w:r>
      <w:r w:rsidR="008F576E" w:rsidRPr="008F576E">
        <w:rPr>
          <w:sz w:val="24"/>
          <w:vertAlign w:val="superscript"/>
        </w:rPr>
        <w:t>th</w:t>
      </w:r>
      <w:r w:rsidR="008F576E">
        <w:rPr>
          <w:sz w:val="24"/>
        </w:rPr>
        <w:t xml:space="preserve"> century</w:t>
      </w:r>
      <w:r w:rsidR="00E5365B">
        <w:rPr>
          <w:sz w:val="24"/>
        </w:rPr>
        <w:t>. One of the key motifs in Conrad’s Heart of Darkness is the constant mist or haze</w:t>
      </w:r>
      <w:r w:rsidR="00B8310F">
        <w:rPr>
          <w:sz w:val="24"/>
        </w:rPr>
        <w:t>, or at its worst, the Darkness.</w:t>
      </w:r>
      <w:r w:rsidR="00E5365B">
        <w:rPr>
          <w:sz w:val="24"/>
        </w:rPr>
        <w:t xml:space="preserve"> </w:t>
      </w:r>
      <w:r w:rsidR="00B8310F">
        <w:rPr>
          <w:sz w:val="24"/>
        </w:rPr>
        <w:t>According</w:t>
      </w:r>
      <w:r w:rsidR="00E5365B">
        <w:rPr>
          <w:sz w:val="24"/>
        </w:rPr>
        <w:t xml:space="preserve"> to post colonialist Watt</w:t>
      </w:r>
      <w:r w:rsidR="00417BA4">
        <w:rPr>
          <w:rStyle w:val="FootnoteReference"/>
          <w:sz w:val="24"/>
        </w:rPr>
        <w:footnoteReference w:id="9"/>
      </w:r>
      <w:r w:rsidR="00E5365B">
        <w:rPr>
          <w:sz w:val="24"/>
        </w:rPr>
        <w:t xml:space="preserve"> this is an allusion to the unknown or unclear morals of those stationed in Africa.</w:t>
      </w:r>
      <w:r w:rsidR="00302157">
        <w:rPr>
          <w:sz w:val="24"/>
        </w:rPr>
        <w:t xml:space="preserve"> The theme of the Darkness and uncertainty of the views through haze also alludes to the qualm of on goings in London, the Thames can be as dark as what Africa also seems to be according to critic Achebe</w:t>
      </w:r>
      <w:r w:rsidR="002A418C">
        <w:rPr>
          <w:rStyle w:val="FootnoteReference"/>
          <w:sz w:val="24"/>
        </w:rPr>
        <w:footnoteReference w:id="10"/>
      </w:r>
      <w:r w:rsidR="00302157">
        <w:rPr>
          <w:sz w:val="24"/>
        </w:rPr>
        <w:t>.</w:t>
      </w:r>
      <w:r w:rsidR="00FA1C19">
        <w:rPr>
          <w:sz w:val="24"/>
        </w:rPr>
        <w:t xml:space="preserve"> </w:t>
      </w:r>
      <w:r w:rsidR="003B33D8">
        <w:rPr>
          <w:sz w:val="24"/>
        </w:rPr>
        <w:t xml:space="preserve">Although again referring to the article written by Achebe, </w:t>
      </w:r>
      <w:r w:rsidR="003B33D8">
        <w:rPr>
          <w:sz w:val="24"/>
        </w:rPr>
        <w:lastRenderedPageBreak/>
        <w:t>the Darkness ever so present in Conrad’s Heart of Darkness also refers to the theme of racism apparent throughout the novella.</w:t>
      </w:r>
    </w:p>
    <w:p w:rsidR="00552601" w:rsidRDefault="003B33D8" w:rsidP="002223C6">
      <w:pPr>
        <w:rPr>
          <w:sz w:val="24"/>
        </w:rPr>
      </w:pPr>
      <w:r>
        <w:rPr>
          <w:sz w:val="24"/>
        </w:rPr>
        <w:t xml:space="preserve">Many </w:t>
      </w:r>
      <w:r w:rsidR="00D26E9E">
        <w:rPr>
          <w:sz w:val="24"/>
        </w:rPr>
        <w:t xml:space="preserve">post </w:t>
      </w:r>
      <w:r>
        <w:rPr>
          <w:sz w:val="24"/>
        </w:rPr>
        <w:t>colonial theorists believe that the Heart of Darkness is now considered racist due to the almost entire</w:t>
      </w:r>
      <w:r w:rsidR="009D188A">
        <w:rPr>
          <w:sz w:val="24"/>
        </w:rPr>
        <w:t>ly</w:t>
      </w:r>
      <w:r>
        <w:rPr>
          <w:sz w:val="24"/>
        </w:rPr>
        <w:t xml:space="preserve"> derogatory terms and descriptions used towards the native Africans of the Congo.</w:t>
      </w:r>
      <w:r w:rsidR="000021F6">
        <w:rPr>
          <w:sz w:val="24"/>
        </w:rPr>
        <w:t xml:space="preserve"> Achebe </w:t>
      </w:r>
      <w:r w:rsidR="009D188A">
        <w:rPr>
          <w:sz w:val="24"/>
        </w:rPr>
        <w:t>creates the argument that Conrad himself was</w:t>
      </w:r>
      <w:r w:rsidR="00F116EF">
        <w:rPr>
          <w:sz w:val="24"/>
        </w:rPr>
        <w:t xml:space="preserve"> probably</w:t>
      </w:r>
      <w:r w:rsidR="009D188A">
        <w:rPr>
          <w:sz w:val="24"/>
        </w:rPr>
        <w:t xml:space="preserve"> a ‘</w:t>
      </w:r>
      <w:r w:rsidR="00FA1C19">
        <w:rPr>
          <w:sz w:val="24"/>
        </w:rPr>
        <w:t>’</w:t>
      </w:r>
      <w:r w:rsidR="009D188A">
        <w:rPr>
          <w:sz w:val="24"/>
        </w:rPr>
        <w:t>xenophobic</w:t>
      </w:r>
      <w:r w:rsidR="00FA1C19">
        <w:rPr>
          <w:sz w:val="24"/>
        </w:rPr>
        <w:t>’</w:t>
      </w:r>
      <w:r w:rsidR="009D188A">
        <w:rPr>
          <w:sz w:val="24"/>
        </w:rPr>
        <w:t>’ person</w:t>
      </w:r>
      <w:r w:rsidR="00F116EF">
        <w:rPr>
          <w:rStyle w:val="FootnoteReference"/>
          <w:sz w:val="24"/>
        </w:rPr>
        <w:footnoteReference w:id="11"/>
      </w:r>
      <w:r w:rsidR="009D188A">
        <w:rPr>
          <w:sz w:val="24"/>
        </w:rPr>
        <w:t xml:space="preserve">, who uses the character of Marlow to </w:t>
      </w:r>
      <w:r w:rsidR="00087BDE">
        <w:rPr>
          <w:sz w:val="24"/>
        </w:rPr>
        <w:t>convey and communicate his own ideas and attitudes towards the Africans</w:t>
      </w:r>
      <w:r w:rsidR="00FC5E1E">
        <w:rPr>
          <w:sz w:val="24"/>
        </w:rPr>
        <w:t>,</w:t>
      </w:r>
      <w:r w:rsidR="00087BDE">
        <w:rPr>
          <w:sz w:val="24"/>
        </w:rPr>
        <w:t xml:space="preserve"> without Conrad himself actually saying them.</w:t>
      </w:r>
      <w:r w:rsidR="009D6961">
        <w:rPr>
          <w:sz w:val="24"/>
        </w:rPr>
        <w:t xml:space="preserve"> </w:t>
      </w:r>
      <w:r w:rsidR="00F116EF">
        <w:rPr>
          <w:sz w:val="24"/>
        </w:rPr>
        <w:t>Although Achebe does also mention that Conrad may not have been racist at all but refers to stereotypes of the time in which Heart of Darkness was written so the reader could understand the viewpoints of Marlow in the novella</w:t>
      </w:r>
      <w:r w:rsidR="0051031F">
        <w:rPr>
          <w:sz w:val="24"/>
        </w:rPr>
        <w:t xml:space="preserve">. Critic Cedric Watts states that the use of language to describe the Native Africans was a </w:t>
      </w:r>
      <w:r w:rsidR="00FA1C19">
        <w:rPr>
          <w:sz w:val="24"/>
        </w:rPr>
        <w:t>‘</w:t>
      </w:r>
      <w:r w:rsidR="0051031F">
        <w:rPr>
          <w:sz w:val="24"/>
        </w:rPr>
        <w:t>‘reassuring cliché’</w:t>
      </w:r>
      <w:r w:rsidR="00FA1C19">
        <w:rPr>
          <w:sz w:val="24"/>
        </w:rPr>
        <w:t>’</w:t>
      </w:r>
      <w:r w:rsidR="0067088D">
        <w:rPr>
          <w:rStyle w:val="FootnoteReference"/>
          <w:sz w:val="24"/>
        </w:rPr>
        <w:footnoteReference w:id="12"/>
      </w:r>
      <w:r w:rsidR="0051031F">
        <w:rPr>
          <w:sz w:val="24"/>
        </w:rPr>
        <w:t xml:space="preserve"> for the readers</w:t>
      </w:r>
      <w:r w:rsidR="0067088D">
        <w:rPr>
          <w:sz w:val="24"/>
        </w:rPr>
        <w:t xml:space="preserve"> during the novel’s original publications</w:t>
      </w:r>
      <w:r w:rsidR="00F116EF">
        <w:rPr>
          <w:sz w:val="24"/>
        </w:rPr>
        <w:t xml:space="preserve">. </w:t>
      </w:r>
      <w:r w:rsidR="009D6961">
        <w:rPr>
          <w:sz w:val="24"/>
        </w:rPr>
        <w:t>Achebe’s thoughts on</w:t>
      </w:r>
      <w:r w:rsidR="00FA1C19">
        <w:rPr>
          <w:sz w:val="24"/>
        </w:rPr>
        <w:t>,</w:t>
      </w:r>
      <w:r w:rsidR="009D6961">
        <w:rPr>
          <w:sz w:val="24"/>
        </w:rPr>
        <w:t xml:space="preserve"> and explanations of the Heart of Darkness were first presented as a lecture later t</w:t>
      </w:r>
      <w:r w:rsidR="006C0F82">
        <w:rPr>
          <w:sz w:val="24"/>
        </w:rPr>
        <w:t>o be released as an article in the</w:t>
      </w:r>
      <w:r w:rsidR="009D6961">
        <w:rPr>
          <w:sz w:val="24"/>
        </w:rPr>
        <w:t xml:space="preserve"> journal</w:t>
      </w:r>
      <w:r w:rsidR="006C0F82">
        <w:rPr>
          <w:sz w:val="24"/>
        </w:rPr>
        <w:t>;</w:t>
      </w:r>
      <w:r w:rsidR="009D6961">
        <w:rPr>
          <w:sz w:val="24"/>
        </w:rPr>
        <w:t xml:space="preserve"> </w:t>
      </w:r>
      <w:r w:rsidR="009D6961" w:rsidRPr="009D6961">
        <w:rPr>
          <w:i/>
          <w:sz w:val="24"/>
        </w:rPr>
        <w:t>The Massachusetts Review</w:t>
      </w:r>
      <w:r w:rsidR="006C0F82">
        <w:rPr>
          <w:i/>
          <w:sz w:val="24"/>
        </w:rPr>
        <w:t>,</w:t>
      </w:r>
      <w:r w:rsidR="009D6961">
        <w:rPr>
          <w:sz w:val="24"/>
        </w:rPr>
        <w:t xml:space="preserve"> which publishes about the arts and usually has an African/American agenda hence </w:t>
      </w:r>
      <w:r w:rsidR="006C0F82">
        <w:rPr>
          <w:sz w:val="24"/>
        </w:rPr>
        <w:t>why is was considered an influential article form the afore mentioned journal</w:t>
      </w:r>
      <w:r w:rsidR="00DC65C8">
        <w:rPr>
          <w:rStyle w:val="FootnoteReference"/>
          <w:sz w:val="24"/>
        </w:rPr>
        <w:footnoteReference w:id="13"/>
      </w:r>
      <w:r w:rsidR="006C0F82">
        <w:rPr>
          <w:sz w:val="24"/>
        </w:rPr>
        <w:t xml:space="preserve">. </w:t>
      </w:r>
      <w:r w:rsidR="00552601">
        <w:rPr>
          <w:sz w:val="24"/>
        </w:rPr>
        <w:t>Achebe’s article itself has created its own criticisms,</w:t>
      </w:r>
      <w:r w:rsidR="008042C5">
        <w:rPr>
          <w:sz w:val="24"/>
        </w:rPr>
        <w:t xml:space="preserve"> noticeably </w:t>
      </w:r>
      <w:r w:rsidR="009D39B8">
        <w:rPr>
          <w:sz w:val="24"/>
        </w:rPr>
        <w:t>by the critic Watts</w:t>
      </w:r>
      <w:r w:rsidR="00F8389B">
        <w:rPr>
          <w:rStyle w:val="FootnoteReference"/>
          <w:sz w:val="24"/>
        </w:rPr>
        <w:footnoteReference w:id="14"/>
      </w:r>
      <w:r w:rsidR="009D39B8">
        <w:rPr>
          <w:sz w:val="24"/>
        </w:rPr>
        <w:t xml:space="preserve"> who </w:t>
      </w:r>
      <w:r w:rsidR="000E017E">
        <w:rPr>
          <w:sz w:val="24"/>
        </w:rPr>
        <w:t>criticises</w:t>
      </w:r>
      <w:r w:rsidR="009D39B8">
        <w:rPr>
          <w:sz w:val="24"/>
        </w:rPr>
        <w:t xml:space="preserve"> Achebe for being very anti-white and anti-imperialist </w:t>
      </w:r>
      <w:r w:rsidR="000E017E">
        <w:rPr>
          <w:sz w:val="24"/>
        </w:rPr>
        <w:t xml:space="preserve">with his views, and </w:t>
      </w:r>
      <w:r w:rsidR="009D39B8">
        <w:rPr>
          <w:sz w:val="24"/>
        </w:rPr>
        <w:t>as Watts points out</w:t>
      </w:r>
      <w:r w:rsidR="009D39B8" w:rsidRPr="009D39B8">
        <w:rPr>
          <w:sz w:val="24"/>
        </w:rPr>
        <w:t xml:space="preserve"> </w:t>
      </w:r>
      <w:r w:rsidR="00B61F11">
        <w:rPr>
          <w:sz w:val="24"/>
        </w:rPr>
        <w:t>Achebe</w:t>
      </w:r>
      <w:r w:rsidR="000E017E">
        <w:rPr>
          <w:sz w:val="24"/>
        </w:rPr>
        <w:t xml:space="preserve"> seems to not agree with even the liberal or fair plots in the novella; </w:t>
      </w:r>
      <w:r w:rsidR="009D39B8">
        <w:rPr>
          <w:sz w:val="24"/>
        </w:rPr>
        <w:t>“</w:t>
      </w:r>
      <w:r w:rsidR="009D39B8" w:rsidRPr="009D39B8">
        <w:rPr>
          <w:sz w:val="24"/>
        </w:rPr>
        <w:t xml:space="preserve">When the tale offers views which he </w:t>
      </w:r>
      <w:r w:rsidR="006665B8">
        <w:rPr>
          <w:sz w:val="24"/>
        </w:rPr>
        <w:t xml:space="preserve">[Achebe] </w:t>
      </w:r>
      <w:r w:rsidR="009D39B8" w:rsidRPr="009D39B8">
        <w:rPr>
          <w:sz w:val="24"/>
        </w:rPr>
        <w:t>regards as illiberal, he condemns them; and when the tale is humane and liberal, he redefines such liberalism as</w:t>
      </w:r>
      <w:r w:rsidR="009D39B8">
        <w:rPr>
          <w:sz w:val="24"/>
        </w:rPr>
        <w:t xml:space="preserve"> </w:t>
      </w:r>
      <w:r w:rsidR="009D39B8" w:rsidRPr="000E017E">
        <w:rPr>
          <w:sz w:val="24"/>
        </w:rPr>
        <w:t xml:space="preserve">racialist </w:t>
      </w:r>
      <w:r w:rsidR="000E017E" w:rsidRPr="000E017E">
        <w:rPr>
          <w:sz w:val="24"/>
        </w:rPr>
        <w:t>illiberalism</w:t>
      </w:r>
      <w:r w:rsidR="009D39B8" w:rsidRPr="000E017E">
        <w:rPr>
          <w:sz w:val="24"/>
        </w:rPr>
        <w:t>’’</w:t>
      </w:r>
      <w:r w:rsidR="00C33C8D">
        <w:rPr>
          <w:rStyle w:val="FootnoteReference"/>
          <w:sz w:val="24"/>
        </w:rPr>
        <w:footnoteReference w:id="15"/>
      </w:r>
      <w:r w:rsidR="000E017E">
        <w:rPr>
          <w:sz w:val="24"/>
        </w:rPr>
        <w:t>.</w:t>
      </w:r>
      <w:r w:rsidR="00C33C8D">
        <w:rPr>
          <w:sz w:val="24"/>
        </w:rPr>
        <w:t xml:space="preserve"> </w:t>
      </w:r>
      <w:r w:rsidR="00D26E9E">
        <w:rPr>
          <w:sz w:val="24"/>
        </w:rPr>
        <w:t xml:space="preserve">Upon the discussion on the theme of the </w:t>
      </w:r>
      <w:r w:rsidR="00B61F11">
        <w:rPr>
          <w:sz w:val="24"/>
        </w:rPr>
        <w:t>European</w:t>
      </w:r>
      <w:r w:rsidR="00DD78E4">
        <w:rPr>
          <w:sz w:val="24"/>
        </w:rPr>
        <w:t xml:space="preserve"> </w:t>
      </w:r>
      <w:r w:rsidR="00B61F11">
        <w:rPr>
          <w:sz w:val="24"/>
        </w:rPr>
        <w:t>Scramble</w:t>
      </w:r>
      <w:r w:rsidR="00DD78E4">
        <w:rPr>
          <w:sz w:val="24"/>
        </w:rPr>
        <w:t xml:space="preserve"> for Africa</w:t>
      </w:r>
      <w:r w:rsidR="00D26E9E">
        <w:rPr>
          <w:sz w:val="24"/>
        </w:rPr>
        <w:t xml:space="preserve"> post colonial critics seem to disagree on the actual context of the imperialist occupation of Africa</w:t>
      </w:r>
      <w:r w:rsidR="00B61F11">
        <w:rPr>
          <w:sz w:val="24"/>
        </w:rPr>
        <w:t>, Watts regards it as the history as a matter of fact; it happened and some of the</w:t>
      </w:r>
      <w:r w:rsidR="00A3291D">
        <w:rPr>
          <w:sz w:val="24"/>
        </w:rPr>
        <w:t xml:space="preserve"> European</w:t>
      </w:r>
      <w:r w:rsidR="00B61F11">
        <w:rPr>
          <w:sz w:val="24"/>
        </w:rPr>
        <w:t xml:space="preserve"> imperialism was good for Africa and other aspects not so much, yet Achebe implies that none of the imperialist occupation of Africa was done for the better o</w:t>
      </w:r>
      <w:r w:rsidR="00590999">
        <w:rPr>
          <w:sz w:val="24"/>
        </w:rPr>
        <w:t>f the Congo or the wider Africa and instead done for the oppression and ‘</w:t>
      </w:r>
      <w:r w:rsidR="00A66665">
        <w:rPr>
          <w:sz w:val="24"/>
        </w:rPr>
        <w:t>’</w:t>
      </w:r>
      <w:r w:rsidR="00590999">
        <w:rPr>
          <w:sz w:val="24"/>
        </w:rPr>
        <w:t>de-humanisation’</w:t>
      </w:r>
      <w:r w:rsidR="00A66665">
        <w:rPr>
          <w:sz w:val="24"/>
        </w:rPr>
        <w:t>’</w:t>
      </w:r>
      <w:r w:rsidR="00A66665">
        <w:rPr>
          <w:rStyle w:val="FootnoteReference"/>
          <w:sz w:val="24"/>
        </w:rPr>
        <w:footnoteReference w:id="16"/>
      </w:r>
      <w:r w:rsidR="00590999">
        <w:rPr>
          <w:sz w:val="24"/>
        </w:rPr>
        <w:t xml:space="preserve"> of native Africans. </w:t>
      </w:r>
      <w:r w:rsidR="00B61F11">
        <w:rPr>
          <w:sz w:val="24"/>
        </w:rPr>
        <w:t xml:space="preserve"> </w:t>
      </w:r>
    </w:p>
    <w:p w:rsidR="00856939" w:rsidRDefault="00607818" w:rsidP="002223C6">
      <w:pPr>
        <w:rPr>
          <w:sz w:val="24"/>
        </w:rPr>
      </w:pPr>
      <w:r>
        <w:rPr>
          <w:sz w:val="24"/>
        </w:rPr>
        <w:t xml:space="preserve">Other post colonialists have argued that Conrad’s novella Heart of Darkness is in itself a commentary and criticism of imperialism as well as commenting on the seemingly backward peoples of the Congo. </w:t>
      </w:r>
      <w:r w:rsidR="009E5806">
        <w:rPr>
          <w:sz w:val="24"/>
        </w:rPr>
        <w:t>Academic writer Brantlinger offers the views that</w:t>
      </w:r>
      <w:r>
        <w:rPr>
          <w:sz w:val="24"/>
        </w:rPr>
        <w:t xml:space="preserve"> </w:t>
      </w:r>
      <w:r w:rsidR="009E5806">
        <w:rPr>
          <w:sz w:val="24"/>
        </w:rPr>
        <w:t>Heart of Darkness contains both negative views about the imperialists as well as the natives of the Congo.</w:t>
      </w:r>
      <w:r w:rsidR="00DB1622">
        <w:rPr>
          <w:sz w:val="24"/>
        </w:rPr>
        <w:t xml:space="preserve"> Brantlinger argues that the cannibalism that’s apparent in the novella is not Conrad’s commentary upon the natives, but rather a statement concerning the harsh imperial regimes that King Leopold the 2</w:t>
      </w:r>
      <w:r w:rsidR="00DB1622" w:rsidRPr="00DB1622">
        <w:rPr>
          <w:sz w:val="24"/>
          <w:vertAlign w:val="superscript"/>
        </w:rPr>
        <w:t>nd</w:t>
      </w:r>
      <w:r w:rsidR="00DB1622">
        <w:rPr>
          <w:sz w:val="24"/>
        </w:rPr>
        <w:t xml:space="preserve"> had imposed on</w:t>
      </w:r>
      <w:r w:rsidR="00672170">
        <w:rPr>
          <w:sz w:val="24"/>
        </w:rPr>
        <w:t xml:space="preserve"> </w:t>
      </w:r>
      <w:r w:rsidR="00DB1622">
        <w:rPr>
          <w:sz w:val="24"/>
        </w:rPr>
        <w:t>to the forced labourers</w:t>
      </w:r>
      <w:r w:rsidR="008354D3">
        <w:rPr>
          <w:sz w:val="24"/>
        </w:rPr>
        <w:t xml:space="preserve">, leaving the </w:t>
      </w:r>
      <w:r w:rsidR="008354D3">
        <w:rPr>
          <w:sz w:val="24"/>
        </w:rPr>
        <w:lastRenderedPageBreak/>
        <w:t>natives not much choice tha</w:t>
      </w:r>
      <w:r w:rsidR="00052AA1">
        <w:rPr>
          <w:sz w:val="24"/>
        </w:rPr>
        <w:t>n</w:t>
      </w:r>
      <w:r w:rsidR="008354D3">
        <w:rPr>
          <w:sz w:val="24"/>
        </w:rPr>
        <w:t xml:space="preserve"> to practice cannibalism as a means to survive</w:t>
      </w:r>
      <w:r w:rsidR="008354D3">
        <w:rPr>
          <w:rStyle w:val="FootnoteReference"/>
          <w:sz w:val="24"/>
        </w:rPr>
        <w:footnoteReference w:id="17"/>
      </w:r>
      <w:r w:rsidR="008354D3">
        <w:rPr>
          <w:sz w:val="24"/>
        </w:rPr>
        <w:t>.</w:t>
      </w:r>
      <w:r w:rsidR="00014EC7">
        <w:rPr>
          <w:sz w:val="24"/>
        </w:rPr>
        <w:t xml:space="preserve"> </w:t>
      </w:r>
      <w:r w:rsidR="00547203">
        <w:rPr>
          <w:sz w:val="24"/>
        </w:rPr>
        <w:t xml:space="preserve">Brantlinger also suggests that the supposed European philanthropic missions (that mostly turned out to be exploitative of the natives) were also in aid of the civilisation of the Africans, based on a multitude of European ideas and ideals was a mission which was not carried out to the original effect many of the imperialist Europeans and hoped for. </w:t>
      </w:r>
      <w:r w:rsidR="008A78A4">
        <w:rPr>
          <w:sz w:val="24"/>
        </w:rPr>
        <w:t xml:space="preserve">In the novel, </w:t>
      </w:r>
      <w:r w:rsidR="00547203">
        <w:rPr>
          <w:sz w:val="24"/>
        </w:rPr>
        <w:t>Kurtz for example ‘’</w:t>
      </w:r>
      <w:r w:rsidR="00547203" w:rsidRPr="00547203">
        <w:t xml:space="preserve"> </w:t>
      </w:r>
      <w:r w:rsidR="00547203" w:rsidRPr="00547203">
        <w:rPr>
          <w:sz w:val="24"/>
        </w:rPr>
        <w:t>betrays the "civilizing" ideals with which he suppose</w:t>
      </w:r>
      <w:r w:rsidR="00547203">
        <w:rPr>
          <w:sz w:val="24"/>
        </w:rPr>
        <w:t>dly set out from Europe’’</w:t>
      </w:r>
      <w:r w:rsidR="00A861AA">
        <w:rPr>
          <w:rStyle w:val="FootnoteReference"/>
          <w:sz w:val="24"/>
        </w:rPr>
        <w:footnoteReference w:id="18"/>
      </w:r>
      <w:r w:rsidR="00A861AA">
        <w:rPr>
          <w:sz w:val="24"/>
        </w:rPr>
        <w:t xml:space="preserve">, </w:t>
      </w:r>
      <w:r w:rsidR="00570EEE">
        <w:rPr>
          <w:sz w:val="24"/>
        </w:rPr>
        <w:t>as written by</w:t>
      </w:r>
      <w:r w:rsidR="00A861AA">
        <w:rPr>
          <w:sz w:val="24"/>
        </w:rPr>
        <w:t xml:space="preserve"> Brantlinger, </w:t>
      </w:r>
      <w:r w:rsidR="008A78A4">
        <w:rPr>
          <w:sz w:val="24"/>
        </w:rPr>
        <w:t>meaning that he was unsuccessful in bringing civilised ideals to the natives</w:t>
      </w:r>
      <w:r w:rsidR="00570EEE">
        <w:rPr>
          <w:sz w:val="24"/>
        </w:rPr>
        <w:t>, but rather Conrad portrays Kurtz as an idol or hero of the natives, who also partakes in the rituals and customs of the natives, including the ‘’unspeakable rites’’ (suggested cannibalism) therefore one can conclude that the European ideals have become less ideal to the supposed ‘hero’ character of Kurtz and he has become native as a way to escape ‘’the horror, the horror’’</w:t>
      </w:r>
      <w:r w:rsidR="009B49A0">
        <w:rPr>
          <w:rStyle w:val="FootnoteReference"/>
          <w:sz w:val="24"/>
        </w:rPr>
        <w:footnoteReference w:id="19"/>
      </w:r>
      <w:r w:rsidR="00570EEE">
        <w:rPr>
          <w:sz w:val="24"/>
        </w:rPr>
        <w:t xml:space="preserve"> felt but on looking Europeans to the harsh. Exploitative regimes imposed by King Leopold 2</w:t>
      </w:r>
      <w:r w:rsidR="00570EEE" w:rsidRPr="00570EEE">
        <w:rPr>
          <w:sz w:val="24"/>
          <w:vertAlign w:val="superscript"/>
        </w:rPr>
        <w:t>nd</w:t>
      </w:r>
      <w:r w:rsidR="00570EEE">
        <w:rPr>
          <w:sz w:val="24"/>
        </w:rPr>
        <w:t xml:space="preserve"> throughout his occupation of the Congo. </w:t>
      </w:r>
    </w:p>
    <w:p w:rsidR="00D26E9E" w:rsidRPr="009D6961" w:rsidRDefault="00D26E9E" w:rsidP="002223C6">
      <w:pPr>
        <w:rPr>
          <w:sz w:val="24"/>
        </w:rPr>
      </w:pPr>
    </w:p>
    <w:p w:rsidR="00B8176D" w:rsidRPr="002223C6" w:rsidRDefault="00B30867" w:rsidP="002223C6">
      <w:pPr>
        <w:rPr>
          <w:sz w:val="24"/>
        </w:rPr>
      </w:pPr>
      <w:r>
        <w:rPr>
          <w:sz w:val="24"/>
        </w:rPr>
        <w:br/>
        <w:t xml:space="preserve">In conclusion, Joseph Conrad’s novella the Heart of Darkness explores the reasons why the Europeans became entangled in the Scramble for Africa, </w:t>
      </w:r>
      <w:r w:rsidR="002E5388">
        <w:rPr>
          <w:sz w:val="24"/>
        </w:rPr>
        <w:t xml:space="preserve">as a result of the useful </w:t>
      </w:r>
      <w:r>
        <w:rPr>
          <w:sz w:val="24"/>
        </w:rPr>
        <w:t xml:space="preserve">exports </w:t>
      </w:r>
      <w:r w:rsidR="002E5388">
        <w:rPr>
          <w:sz w:val="24"/>
        </w:rPr>
        <w:t xml:space="preserve">predominantly of ivory </w:t>
      </w:r>
      <w:r>
        <w:rPr>
          <w:sz w:val="24"/>
        </w:rPr>
        <w:t xml:space="preserve">from the Congo, and how the ideal Company employee should seem to behave </w:t>
      </w:r>
      <w:r w:rsidR="002E5388">
        <w:rPr>
          <w:sz w:val="24"/>
        </w:rPr>
        <w:t>especially when leading the native Africans for the harvest and collection of the ivory. Yet</w:t>
      </w:r>
      <w:r w:rsidR="00BD77F3">
        <w:rPr>
          <w:sz w:val="24"/>
        </w:rPr>
        <w:t xml:space="preserve"> the novella has received a vast amount of mostly negative criticism from</w:t>
      </w:r>
      <w:r w:rsidR="002E5388">
        <w:rPr>
          <w:sz w:val="24"/>
        </w:rPr>
        <w:t xml:space="preserve"> post colonial theorists suc</w:t>
      </w:r>
      <w:r w:rsidR="003A1177">
        <w:rPr>
          <w:sz w:val="24"/>
        </w:rPr>
        <w:t>h as Achebe</w:t>
      </w:r>
      <w:r w:rsidR="00BD77F3">
        <w:rPr>
          <w:sz w:val="24"/>
        </w:rPr>
        <w:t>, who</w:t>
      </w:r>
      <w:r w:rsidR="003A1177">
        <w:rPr>
          <w:sz w:val="24"/>
        </w:rPr>
        <w:t xml:space="preserve"> believe the novel</w:t>
      </w:r>
      <w:r w:rsidR="002E5388">
        <w:rPr>
          <w:sz w:val="24"/>
        </w:rPr>
        <w:t xml:space="preserve">, at its heart, </w:t>
      </w:r>
      <w:r w:rsidR="003A1177">
        <w:rPr>
          <w:sz w:val="24"/>
        </w:rPr>
        <w:t xml:space="preserve">is </w:t>
      </w:r>
      <w:r w:rsidR="002E5388">
        <w:rPr>
          <w:sz w:val="24"/>
        </w:rPr>
        <w:t>about the racism</w:t>
      </w:r>
      <w:r w:rsidR="00BD77F3">
        <w:rPr>
          <w:sz w:val="24"/>
        </w:rPr>
        <w:t xml:space="preserve"> experienced by the natives from the European powers</w:t>
      </w:r>
      <w:r w:rsidR="00AA70BB">
        <w:rPr>
          <w:sz w:val="24"/>
        </w:rPr>
        <w:t xml:space="preserve">. Post colonials also have shown how the novella is used to display </w:t>
      </w:r>
      <w:r w:rsidR="00BD77F3">
        <w:rPr>
          <w:sz w:val="24"/>
        </w:rPr>
        <w:t xml:space="preserve">how </w:t>
      </w:r>
      <w:r w:rsidR="00AA70BB">
        <w:rPr>
          <w:sz w:val="24"/>
        </w:rPr>
        <w:t xml:space="preserve">the peoples and nature of the Congo had been exploited for the profits of Europeans with little care of the natives and little though about the consequences. </w:t>
      </w:r>
    </w:p>
    <w:p w:rsidR="002B4585" w:rsidRDefault="002B4585" w:rsidP="002B4585">
      <w:pPr>
        <w:rPr>
          <w:sz w:val="28"/>
        </w:rPr>
      </w:pPr>
    </w:p>
    <w:p w:rsidR="00555986" w:rsidRDefault="00555986" w:rsidP="002B4585">
      <w:pPr>
        <w:rPr>
          <w:sz w:val="28"/>
        </w:rPr>
      </w:pPr>
    </w:p>
    <w:p w:rsidR="00555986" w:rsidRDefault="00555986" w:rsidP="002B4585">
      <w:pPr>
        <w:rPr>
          <w:sz w:val="28"/>
        </w:rPr>
      </w:pPr>
    </w:p>
    <w:p w:rsidR="00555986" w:rsidRDefault="00555986" w:rsidP="002B4585">
      <w:pPr>
        <w:rPr>
          <w:sz w:val="28"/>
        </w:rPr>
      </w:pPr>
    </w:p>
    <w:p w:rsidR="00555986" w:rsidRDefault="00555986" w:rsidP="002B4585">
      <w:pPr>
        <w:rPr>
          <w:sz w:val="28"/>
        </w:rPr>
      </w:pPr>
    </w:p>
    <w:p w:rsidR="00555986" w:rsidRDefault="00555986" w:rsidP="002B4585">
      <w:pPr>
        <w:rPr>
          <w:sz w:val="28"/>
        </w:rPr>
      </w:pPr>
    </w:p>
    <w:p w:rsidR="00555986" w:rsidRDefault="00555986" w:rsidP="002B4585">
      <w:pPr>
        <w:rPr>
          <w:sz w:val="28"/>
        </w:rPr>
      </w:pPr>
    </w:p>
    <w:p w:rsidR="00555986" w:rsidRDefault="00555986" w:rsidP="002B4585">
      <w:pPr>
        <w:rPr>
          <w:sz w:val="28"/>
        </w:rPr>
      </w:pPr>
    </w:p>
    <w:p w:rsidR="00555986" w:rsidRDefault="00555986" w:rsidP="00555986">
      <w:pPr>
        <w:jc w:val="center"/>
        <w:rPr>
          <w:sz w:val="28"/>
        </w:rPr>
      </w:pPr>
      <w:r>
        <w:rPr>
          <w:sz w:val="28"/>
        </w:rPr>
        <w:lastRenderedPageBreak/>
        <w:t>Bibliography</w:t>
      </w:r>
    </w:p>
    <w:p w:rsidR="00555986" w:rsidRPr="00555986" w:rsidRDefault="00555986" w:rsidP="00555986">
      <w:pPr>
        <w:rPr>
          <w:sz w:val="24"/>
        </w:rPr>
      </w:pPr>
      <w:r w:rsidRPr="00555986">
        <w:rPr>
          <w:sz w:val="24"/>
        </w:rPr>
        <w:t>"About | Mass Review", </w:t>
      </w:r>
      <w:r w:rsidRPr="00555986">
        <w:rPr>
          <w:i/>
          <w:iCs/>
          <w:sz w:val="24"/>
        </w:rPr>
        <w:t>Massreview.Org</w:t>
      </w:r>
      <w:r w:rsidRPr="00555986">
        <w:rPr>
          <w:sz w:val="24"/>
        </w:rPr>
        <w:t>, 2019 &lt;https://www.massreview.org/about&gt; [Accessed 14 June 2019]</w:t>
      </w:r>
    </w:p>
    <w:p w:rsidR="00555986" w:rsidRPr="00555986" w:rsidRDefault="00555986" w:rsidP="00555986">
      <w:pPr>
        <w:rPr>
          <w:sz w:val="24"/>
        </w:rPr>
      </w:pPr>
      <w:r w:rsidRPr="00555986">
        <w:rPr>
          <w:sz w:val="24"/>
        </w:rPr>
        <w:t xml:space="preserve">Achebe, Chinua, "An Image </w:t>
      </w:r>
      <w:proofErr w:type="gramStart"/>
      <w:r w:rsidRPr="00555986">
        <w:rPr>
          <w:sz w:val="24"/>
        </w:rPr>
        <w:t>Of</w:t>
      </w:r>
      <w:proofErr w:type="gramEnd"/>
      <w:r w:rsidRPr="00555986">
        <w:rPr>
          <w:sz w:val="24"/>
        </w:rPr>
        <w:t xml:space="preserve"> Africa: Racism In </w:t>
      </w:r>
      <w:proofErr w:type="spellStart"/>
      <w:r w:rsidRPr="00555986">
        <w:rPr>
          <w:sz w:val="24"/>
        </w:rPr>
        <w:t>Conrad’S</w:t>
      </w:r>
      <w:proofErr w:type="spellEnd"/>
      <w:r w:rsidRPr="00555986">
        <w:rPr>
          <w:sz w:val="24"/>
        </w:rPr>
        <w:t xml:space="preserve"> Heart Of Darkness", </w:t>
      </w:r>
      <w:r w:rsidRPr="00555986">
        <w:rPr>
          <w:i/>
          <w:iCs/>
          <w:sz w:val="24"/>
        </w:rPr>
        <w:t>The Massachusetts Review</w:t>
      </w:r>
      <w:r w:rsidRPr="00555986">
        <w:rPr>
          <w:sz w:val="24"/>
        </w:rPr>
        <w:t>, 57 (1977)</w:t>
      </w:r>
    </w:p>
    <w:p w:rsidR="00555986" w:rsidRPr="00555986" w:rsidRDefault="00555986" w:rsidP="00555986">
      <w:pPr>
        <w:rPr>
          <w:sz w:val="24"/>
        </w:rPr>
      </w:pPr>
      <w:r w:rsidRPr="00555986">
        <w:rPr>
          <w:sz w:val="24"/>
        </w:rPr>
        <w:t>Brantlinger, Patrick, ""Heart Of Darkness": Anti-Imperialism, Racism, Or Impressionism?</w:t>
      </w:r>
      <w:proofErr w:type="gramStart"/>
      <w:r w:rsidRPr="00555986">
        <w:rPr>
          <w:sz w:val="24"/>
        </w:rPr>
        <w:t>",</w:t>
      </w:r>
      <w:proofErr w:type="gramEnd"/>
      <w:r w:rsidRPr="00555986">
        <w:rPr>
          <w:sz w:val="24"/>
        </w:rPr>
        <w:t> </w:t>
      </w:r>
      <w:r w:rsidRPr="00555986">
        <w:rPr>
          <w:i/>
          <w:iCs/>
          <w:sz w:val="24"/>
        </w:rPr>
        <w:t>Criticism</w:t>
      </w:r>
      <w:r w:rsidRPr="00555986">
        <w:rPr>
          <w:sz w:val="24"/>
        </w:rPr>
        <w:t>, 27 (1985), 363-385 &lt;https://www.jstor.org/stable/23110450&gt; [Accessed 14 June 2019]</w:t>
      </w:r>
    </w:p>
    <w:p w:rsidR="00555986" w:rsidRPr="00555986" w:rsidRDefault="00555986" w:rsidP="00555986">
      <w:pPr>
        <w:rPr>
          <w:sz w:val="24"/>
        </w:rPr>
      </w:pPr>
      <w:r w:rsidRPr="00555986">
        <w:rPr>
          <w:sz w:val="24"/>
        </w:rPr>
        <w:t>Conrad, Joseph, and Paul B Armstrong, </w:t>
      </w:r>
      <w:r w:rsidRPr="00555986">
        <w:rPr>
          <w:i/>
          <w:iCs/>
          <w:sz w:val="24"/>
        </w:rPr>
        <w:t xml:space="preserve">Heart </w:t>
      </w:r>
      <w:proofErr w:type="gramStart"/>
      <w:r w:rsidRPr="00555986">
        <w:rPr>
          <w:i/>
          <w:iCs/>
          <w:sz w:val="24"/>
        </w:rPr>
        <w:t>Of</w:t>
      </w:r>
      <w:proofErr w:type="gramEnd"/>
      <w:r w:rsidRPr="00555986">
        <w:rPr>
          <w:i/>
          <w:iCs/>
          <w:sz w:val="24"/>
        </w:rPr>
        <w:t xml:space="preserve"> Darkness</w:t>
      </w:r>
      <w:r w:rsidRPr="00555986">
        <w:rPr>
          <w:sz w:val="24"/>
        </w:rPr>
        <w:t xml:space="preserve">, 5th </w:t>
      </w:r>
      <w:proofErr w:type="spellStart"/>
      <w:r w:rsidRPr="00555986">
        <w:rPr>
          <w:sz w:val="24"/>
        </w:rPr>
        <w:t>edn</w:t>
      </w:r>
      <w:proofErr w:type="spellEnd"/>
      <w:r w:rsidRPr="00555986">
        <w:rPr>
          <w:sz w:val="24"/>
        </w:rPr>
        <w:t xml:space="preserve"> (New York, N.Y.: Norton, 2017)</w:t>
      </w:r>
    </w:p>
    <w:p w:rsidR="00555986" w:rsidRPr="00555986" w:rsidRDefault="00555986" w:rsidP="00555986">
      <w:pPr>
        <w:rPr>
          <w:sz w:val="24"/>
        </w:rPr>
      </w:pPr>
      <w:r w:rsidRPr="00555986">
        <w:rPr>
          <w:sz w:val="24"/>
        </w:rPr>
        <w:t xml:space="preserve">Hawkins, Hunt, "Conrad's Critique </w:t>
      </w:r>
      <w:proofErr w:type="gramStart"/>
      <w:r w:rsidRPr="00555986">
        <w:rPr>
          <w:sz w:val="24"/>
        </w:rPr>
        <w:t>Of Imperialism In Heart Of</w:t>
      </w:r>
      <w:proofErr w:type="gramEnd"/>
      <w:r w:rsidRPr="00555986">
        <w:rPr>
          <w:sz w:val="24"/>
        </w:rPr>
        <w:t xml:space="preserve"> Darkness", </w:t>
      </w:r>
      <w:r w:rsidRPr="00555986">
        <w:rPr>
          <w:i/>
          <w:iCs/>
          <w:sz w:val="24"/>
        </w:rPr>
        <w:t>PMLA</w:t>
      </w:r>
      <w:r w:rsidRPr="00555986">
        <w:rPr>
          <w:sz w:val="24"/>
        </w:rPr>
        <w:t>, 94 (1979) &lt;https://doi.org/10.2307/461892&gt;</w:t>
      </w:r>
    </w:p>
    <w:p w:rsidR="00555986" w:rsidRPr="00555986" w:rsidRDefault="00555986" w:rsidP="00555986">
      <w:pPr>
        <w:rPr>
          <w:sz w:val="24"/>
        </w:rPr>
      </w:pPr>
      <w:r w:rsidRPr="00555986">
        <w:rPr>
          <w:sz w:val="24"/>
        </w:rPr>
        <w:t>Heath, Elizabeth, "Berlin Conference Of 1884–1885 - Oxford Reference", </w:t>
      </w:r>
      <w:r w:rsidRPr="00555986">
        <w:rPr>
          <w:i/>
          <w:iCs/>
          <w:sz w:val="24"/>
        </w:rPr>
        <w:t>Oxfordreference.Com</w:t>
      </w:r>
      <w:r w:rsidRPr="00555986">
        <w:rPr>
          <w:sz w:val="24"/>
        </w:rPr>
        <w:t>, 2010 &lt;https://www.oxfordreference.com/view/10.1093/acref/9780195337709.001.0001/acref-9780195337709-e-0467&gt; [Accessed 14 June 2019]</w:t>
      </w:r>
    </w:p>
    <w:p w:rsidR="00555986" w:rsidRPr="00555986" w:rsidRDefault="00555986" w:rsidP="00555986">
      <w:pPr>
        <w:rPr>
          <w:sz w:val="24"/>
        </w:rPr>
      </w:pPr>
      <w:proofErr w:type="spellStart"/>
      <w:r w:rsidRPr="00555986">
        <w:rPr>
          <w:sz w:val="24"/>
        </w:rPr>
        <w:t>Ivision</w:t>
      </w:r>
      <w:proofErr w:type="spellEnd"/>
      <w:r w:rsidRPr="00555986">
        <w:rPr>
          <w:sz w:val="24"/>
        </w:rPr>
        <w:t>, Duncan, "</w:t>
      </w:r>
      <w:proofErr w:type="spellStart"/>
      <w:r w:rsidRPr="00555986">
        <w:rPr>
          <w:sz w:val="24"/>
        </w:rPr>
        <w:t>Postcolonialism</w:t>
      </w:r>
      <w:proofErr w:type="spellEnd"/>
      <w:r w:rsidRPr="00555986">
        <w:rPr>
          <w:sz w:val="24"/>
        </w:rPr>
        <w:t>", </w:t>
      </w:r>
      <w:proofErr w:type="spellStart"/>
      <w:r w:rsidRPr="00555986">
        <w:rPr>
          <w:i/>
          <w:iCs/>
          <w:sz w:val="24"/>
        </w:rPr>
        <w:t>Encyclopedia</w:t>
      </w:r>
      <w:proofErr w:type="spellEnd"/>
      <w:r w:rsidRPr="00555986">
        <w:rPr>
          <w:i/>
          <w:iCs/>
          <w:sz w:val="24"/>
        </w:rPr>
        <w:t xml:space="preserve"> Britannica</w:t>
      </w:r>
      <w:r w:rsidRPr="00555986">
        <w:rPr>
          <w:sz w:val="24"/>
        </w:rPr>
        <w:t>, 2019 &lt;https://www.britannica.com/topic/postcolonialism&gt; [Accessed 14 June 2019]</w:t>
      </w:r>
    </w:p>
    <w:p w:rsidR="00555986" w:rsidRPr="00555986" w:rsidRDefault="00555986" w:rsidP="00555986">
      <w:pPr>
        <w:rPr>
          <w:sz w:val="24"/>
        </w:rPr>
      </w:pPr>
      <w:r w:rsidRPr="00555986">
        <w:rPr>
          <w:sz w:val="24"/>
        </w:rPr>
        <w:t xml:space="preserve">Posey, Lauren, "Heart </w:t>
      </w:r>
      <w:proofErr w:type="gramStart"/>
      <w:r w:rsidRPr="00555986">
        <w:rPr>
          <w:sz w:val="24"/>
        </w:rPr>
        <w:t>Of</w:t>
      </w:r>
      <w:proofErr w:type="gramEnd"/>
      <w:r w:rsidRPr="00555986">
        <w:rPr>
          <w:sz w:val="24"/>
        </w:rPr>
        <w:t xml:space="preserve"> Darkness: Setting &amp; Time Period | Study.Com", </w:t>
      </w:r>
      <w:r w:rsidRPr="00555986">
        <w:rPr>
          <w:i/>
          <w:iCs/>
          <w:sz w:val="24"/>
        </w:rPr>
        <w:t>Study.Com</w:t>
      </w:r>
      <w:r w:rsidRPr="00555986">
        <w:rPr>
          <w:sz w:val="24"/>
        </w:rPr>
        <w:t> &lt;https://study.com/academy/lesson/heart-of-darkness-setting-time-period.html&gt; [Accessed 14 June 2019]</w:t>
      </w:r>
    </w:p>
    <w:p w:rsidR="00555986" w:rsidRPr="00555986" w:rsidRDefault="00555986" w:rsidP="00555986">
      <w:pPr>
        <w:rPr>
          <w:sz w:val="24"/>
        </w:rPr>
      </w:pPr>
      <w:r w:rsidRPr="00555986">
        <w:rPr>
          <w:sz w:val="24"/>
        </w:rPr>
        <w:t>Trilling, Lionel, </w:t>
      </w:r>
      <w:r w:rsidRPr="00555986">
        <w:rPr>
          <w:i/>
          <w:iCs/>
          <w:sz w:val="24"/>
        </w:rPr>
        <w:t xml:space="preserve">Essays On Literature </w:t>
      </w:r>
      <w:proofErr w:type="gramStart"/>
      <w:r w:rsidRPr="00555986">
        <w:rPr>
          <w:i/>
          <w:iCs/>
          <w:sz w:val="24"/>
        </w:rPr>
        <w:t>And</w:t>
      </w:r>
      <w:proofErr w:type="gramEnd"/>
      <w:r w:rsidRPr="00555986">
        <w:rPr>
          <w:i/>
          <w:iCs/>
          <w:sz w:val="24"/>
        </w:rPr>
        <w:t xml:space="preserve"> Learning</w:t>
      </w:r>
      <w:r w:rsidRPr="00555986">
        <w:rPr>
          <w:sz w:val="24"/>
        </w:rPr>
        <w:t> (London: Secker &amp; Warburg, 1966), p. 18</w:t>
      </w:r>
    </w:p>
    <w:p w:rsidR="00555986" w:rsidRPr="00555986" w:rsidRDefault="00555986" w:rsidP="00555986">
      <w:pPr>
        <w:rPr>
          <w:sz w:val="24"/>
        </w:rPr>
      </w:pPr>
      <w:r w:rsidRPr="00555986">
        <w:rPr>
          <w:sz w:val="24"/>
        </w:rPr>
        <w:t>Watt, Ian P, </w:t>
      </w:r>
      <w:r w:rsidRPr="00555986">
        <w:rPr>
          <w:i/>
          <w:iCs/>
          <w:sz w:val="24"/>
        </w:rPr>
        <w:t xml:space="preserve">Conrad </w:t>
      </w:r>
      <w:proofErr w:type="gramStart"/>
      <w:r w:rsidRPr="00555986">
        <w:rPr>
          <w:i/>
          <w:iCs/>
          <w:sz w:val="24"/>
        </w:rPr>
        <w:t>In</w:t>
      </w:r>
      <w:proofErr w:type="gramEnd"/>
      <w:r w:rsidRPr="00555986">
        <w:rPr>
          <w:i/>
          <w:iCs/>
          <w:sz w:val="24"/>
        </w:rPr>
        <w:t xml:space="preserve"> The Nineteenth Century</w:t>
      </w:r>
      <w:r w:rsidRPr="00555986">
        <w:rPr>
          <w:sz w:val="24"/>
        </w:rPr>
        <w:t> (Berkeley: University of California Press, 1979)</w:t>
      </w:r>
      <w:bookmarkStart w:id="0" w:name="_GoBack"/>
      <w:bookmarkEnd w:id="0"/>
    </w:p>
    <w:p w:rsidR="00555986" w:rsidRPr="00555986" w:rsidRDefault="00555986" w:rsidP="00555986">
      <w:pPr>
        <w:rPr>
          <w:sz w:val="24"/>
        </w:rPr>
      </w:pPr>
      <w:r w:rsidRPr="00555986">
        <w:rPr>
          <w:sz w:val="24"/>
        </w:rPr>
        <w:t xml:space="preserve">Watts, Cedric, "'A Bloody Racist': About Achebe's View </w:t>
      </w:r>
      <w:proofErr w:type="gramStart"/>
      <w:r w:rsidRPr="00555986">
        <w:rPr>
          <w:sz w:val="24"/>
        </w:rPr>
        <w:t>Of</w:t>
      </w:r>
      <w:proofErr w:type="gramEnd"/>
      <w:r w:rsidRPr="00555986">
        <w:rPr>
          <w:sz w:val="24"/>
        </w:rPr>
        <w:t xml:space="preserve"> Conrad", </w:t>
      </w:r>
      <w:r w:rsidRPr="00555986">
        <w:rPr>
          <w:i/>
          <w:iCs/>
          <w:sz w:val="24"/>
        </w:rPr>
        <w:t>The Yearbook Of English Studies</w:t>
      </w:r>
      <w:r w:rsidRPr="00555986">
        <w:rPr>
          <w:sz w:val="24"/>
        </w:rPr>
        <w:t>, 13 (1983), 196 &lt;https://doi.org/10.2307/3508121&gt;</w:t>
      </w:r>
    </w:p>
    <w:p w:rsidR="00555986" w:rsidRPr="00555986" w:rsidRDefault="00555986" w:rsidP="00555986">
      <w:pPr>
        <w:rPr>
          <w:sz w:val="24"/>
        </w:rPr>
      </w:pPr>
      <w:proofErr w:type="spellStart"/>
      <w:r w:rsidRPr="00555986">
        <w:rPr>
          <w:sz w:val="24"/>
        </w:rPr>
        <w:t>Wyer</w:t>
      </w:r>
      <w:proofErr w:type="spellEnd"/>
      <w:r w:rsidRPr="00555986">
        <w:rPr>
          <w:sz w:val="24"/>
        </w:rPr>
        <w:t xml:space="preserve">, Conor, "Two Readings </w:t>
      </w:r>
      <w:proofErr w:type="gramStart"/>
      <w:r w:rsidRPr="00555986">
        <w:rPr>
          <w:sz w:val="24"/>
        </w:rPr>
        <w:t>Of Heart Of</w:t>
      </w:r>
      <w:proofErr w:type="gramEnd"/>
      <w:r w:rsidRPr="00555986">
        <w:rPr>
          <w:sz w:val="24"/>
        </w:rPr>
        <w:t xml:space="preserve"> Darkness", </w:t>
      </w:r>
      <w:r w:rsidRPr="00555986">
        <w:rPr>
          <w:i/>
          <w:iCs/>
          <w:sz w:val="24"/>
        </w:rPr>
        <w:t>Web.Archive.Org</w:t>
      </w:r>
      <w:r w:rsidRPr="00555986">
        <w:rPr>
          <w:sz w:val="24"/>
        </w:rPr>
        <w:t>, 2000 &lt;https://web.archive.org/web/20110302095028/http://www.qub.ac.uk/schools/SchoolofEnglish/imperial/africa/Conrad-readings.htm&gt; [Accessed 14 June 2019]</w:t>
      </w:r>
    </w:p>
    <w:p w:rsidR="00555986" w:rsidRPr="002B4585" w:rsidRDefault="00555986" w:rsidP="002B4585">
      <w:pPr>
        <w:rPr>
          <w:sz w:val="28"/>
        </w:rPr>
      </w:pPr>
    </w:p>
    <w:sectPr w:rsidR="00555986" w:rsidRPr="002B458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33E2" w:rsidRDefault="001333E2" w:rsidP="00417BA4">
      <w:pPr>
        <w:spacing w:after="0" w:line="240" w:lineRule="auto"/>
      </w:pPr>
      <w:r>
        <w:separator/>
      </w:r>
    </w:p>
  </w:endnote>
  <w:endnote w:type="continuationSeparator" w:id="0">
    <w:p w:rsidR="001333E2" w:rsidRDefault="001333E2" w:rsidP="00417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33E2" w:rsidRDefault="001333E2" w:rsidP="00417BA4">
      <w:pPr>
        <w:spacing w:after="0" w:line="240" w:lineRule="auto"/>
      </w:pPr>
      <w:r>
        <w:separator/>
      </w:r>
    </w:p>
  </w:footnote>
  <w:footnote w:type="continuationSeparator" w:id="0">
    <w:p w:rsidR="001333E2" w:rsidRDefault="001333E2" w:rsidP="00417BA4">
      <w:pPr>
        <w:spacing w:after="0" w:line="240" w:lineRule="auto"/>
      </w:pPr>
      <w:r>
        <w:continuationSeparator/>
      </w:r>
    </w:p>
  </w:footnote>
  <w:footnote w:id="1">
    <w:p w:rsidR="00EF5DD2" w:rsidRDefault="00EF5DD2" w:rsidP="00EF5DD2">
      <w:pPr>
        <w:pStyle w:val="FootnoteText"/>
      </w:pPr>
      <w:r>
        <w:rPr>
          <w:rStyle w:val="FootnoteReference"/>
        </w:rPr>
        <w:footnoteRef/>
      </w:r>
      <w:r>
        <w:t xml:space="preserve"> </w:t>
      </w:r>
      <w:r w:rsidRPr="00EF5DD2">
        <w:t>Joseph Conrad and Paul B Armstrong, </w:t>
      </w:r>
      <w:r w:rsidRPr="00EF5DD2">
        <w:rPr>
          <w:i/>
          <w:iCs/>
        </w:rPr>
        <w:t xml:space="preserve">Heart </w:t>
      </w:r>
      <w:proofErr w:type="gramStart"/>
      <w:r w:rsidRPr="00EF5DD2">
        <w:rPr>
          <w:i/>
          <w:iCs/>
        </w:rPr>
        <w:t>Of</w:t>
      </w:r>
      <w:proofErr w:type="gramEnd"/>
      <w:r w:rsidRPr="00EF5DD2">
        <w:rPr>
          <w:i/>
          <w:iCs/>
        </w:rPr>
        <w:t xml:space="preserve"> Darkness</w:t>
      </w:r>
      <w:r w:rsidRPr="00EF5DD2">
        <w:t xml:space="preserve">, 5th </w:t>
      </w:r>
      <w:proofErr w:type="spellStart"/>
      <w:r w:rsidRPr="00EF5DD2">
        <w:t>edn</w:t>
      </w:r>
      <w:proofErr w:type="spellEnd"/>
      <w:r w:rsidRPr="00EF5DD2">
        <w:t xml:space="preserve"> (New York, N.Y.: Norton, 2017).</w:t>
      </w:r>
    </w:p>
  </w:footnote>
  <w:footnote w:id="2">
    <w:p w:rsidR="00EF5DD2" w:rsidRDefault="00EF5DD2">
      <w:pPr>
        <w:pStyle w:val="FootnoteText"/>
      </w:pPr>
      <w:r>
        <w:rPr>
          <w:rStyle w:val="FootnoteReference"/>
        </w:rPr>
        <w:footnoteRef/>
      </w:r>
      <w:r>
        <w:t xml:space="preserve"> </w:t>
      </w:r>
      <w:r w:rsidRPr="00EF5DD2">
        <w:t>Joseph Conrad</w:t>
      </w:r>
      <w:r>
        <w:t>,</w:t>
      </w:r>
      <w:r w:rsidRPr="00EF5DD2">
        <w:t> </w:t>
      </w:r>
      <w:r w:rsidRPr="00EF5DD2">
        <w:rPr>
          <w:i/>
          <w:iCs/>
        </w:rPr>
        <w:t>Heart Of Darkness</w:t>
      </w:r>
    </w:p>
  </w:footnote>
  <w:footnote w:id="3">
    <w:p w:rsidR="00CF4D4E" w:rsidRDefault="00CF4D4E">
      <w:pPr>
        <w:pStyle w:val="FootnoteText"/>
      </w:pPr>
      <w:r>
        <w:rPr>
          <w:rStyle w:val="FootnoteReference"/>
        </w:rPr>
        <w:footnoteRef/>
      </w:r>
      <w:r>
        <w:t xml:space="preserve"> </w:t>
      </w:r>
      <w:r w:rsidRPr="00EF5DD2">
        <w:t>Joseph Conrad</w:t>
      </w:r>
      <w:r>
        <w:t>,</w:t>
      </w:r>
      <w:r w:rsidRPr="00EF5DD2">
        <w:t> </w:t>
      </w:r>
      <w:r w:rsidRPr="00EF5DD2">
        <w:rPr>
          <w:i/>
          <w:iCs/>
        </w:rPr>
        <w:t>Heart Of Darkness</w:t>
      </w:r>
    </w:p>
  </w:footnote>
  <w:footnote w:id="4">
    <w:p w:rsidR="00A34CFE" w:rsidRDefault="00A34CFE">
      <w:pPr>
        <w:pStyle w:val="FootnoteText"/>
      </w:pPr>
      <w:r>
        <w:rPr>
          <w:rStyle w:val="FootnoteReference"/>
        </w:rPr>
        <w:footnoteRef/>
      </w:r>
      <w:r>
        <w:t xml:space="preserve"> </w:t>
      </w:r>
      <w:r w:rsidRPr="00A34CFE">
        <w:t>Lionel Trilling, </w:t>
      </w:r>
      <w:r w:rsidRPr="00A34CFE">
        <w:rPr>
          <w:i/>
          <w:iCs/>
        </w:rPr>
        <w:t>Essays On Literature And Learning</w:t>
      </w:r>
      <w:r w:rsidRPr="00A34CFE">
        <w:t> (London: Secker &amp; Warburg, 1966), p. 18.</w:t>
      </w:r>
    </w:p>
  </w:footnote>
  <w:footnote w:id="5">
    <w:p w:rsidR="00BC533C" w:rsidRDefault="00BC533C">
      <w:pPr>
        <w:pStyle w:val="FootnoteText"/>
      </w:pPr>
      <w:r>
        <w:rPr>
          <w:rStyle w:val="FootnoteReference"/>
        </w:rPr>
        <w:footnoteRef/>
      </w:r>
      <w:r>
        <w:t xml:space="preserve"> </w:t>
      </w:r>
      <w:r w:rsidRPr="00BC533C">
        <w:t>Elizabeth Heath, "Berlin Conference Of 1884–1885 - Oxford Reference", </w:t>
      </w:r>
      <w:r w:rsidRPr="00BC533C">
        <w:rPr>
          <w:i/>
          <w:iCs/>
        </w:rPr>
        <w:t>Oxfordreference.Com</w:t>
      </w:r>
      <w:r w:rsidRPr="00BC533C">
        <w:t>, 2010 &lt;https://www.oxfordreference.com/view/10.1093/acref/9780195337709.001.0001/acref-9780195337709-e-0467&gt; [Accessed 14 June 2019].</w:t>
      </w:r>
    </w:p>
  </w:footnote>
  <w:footnote w:id="6">
    <w:p w:rsidR="00BC533C" w:rsidRDefault="00BC533C">
      <w:pPr>
        <w:pStyle w:val="FootnoteText"/>
      </w:pPr>
      <w:r>
        <w:rPr>
          <w:rStyle w:val="FootnoteReference"/>
        </w:rPr>
        <w:footnoteRef/>
      </w:r>
      <w:r>
        <w:t xml:space="preserve"> </w:t>
      </w:r>
      <w:r w:rsidRPr="00BC533C">
        <w:t>Joseph Conrad, </w:t>
      </w:r>
      <w:r w:rsidRPr="00BC533C">
        <w:rPr>
          <w:i/>
          <w:iCs/>
        </w:rPr>
        <w:t>Heart Of Darkness</w:t>
      </w:r>
    </w:p>
  </w:footnote>
  <w:footnote w:id="7">
    <w:p w:rsidR="00BC533C" w:rsidRDefault="00BC533C">
      <w:pPr>
        <w:pStyle w:val="FootnoteText"/>
      </w:pPr>
      <w:r>
        <w:rPr>
          <w:rStyle w:val="FootnoteReference"/>
        </w:rPr>
        <w:footnoteRef/>
      </w:r>
      <w:r>
        <w:t xml:space="preserve"> </w:t>
      </w:r>
      <w:r w:rsidRPr="00BC533C">
        <w:t>Lauren Posey, "Heart Of Darkness: Setting &amp; Time Period | Study.Com", </w:t>
      </w:r>
      <w:r w:rsidRPr="00BC533C">
        <w:rPr>
          <w:i/>
          <w:iCs/>
        </w:rPr>
        <w:t>Study.Com</w:t>
      </w:r>
      <w:r w:rsidRPr="00BC533C">
        <w:t>&lt;https://study.com/academy/lesson/heart-of-darkness-setting-time-period.html&gt; [Accessed 14 June 2019].</w:t>
      </w:r>
    </w:p>
  </w:footnote>
  <w:footnote w:id="8">
    <w:p w:rsidR="00D15627" w:rsidRDefault="00D15627">
      <w:pPr>
        <w:pStyle w:val="FootnoteText"/>
      </w:pPr>
      <w:r>
        <w:rPr>
          <w:rStyle w:val="FootnoteReference"/>
        </w:rPr>
        <w:footnoteRef/>
      </w:r>
      <w:r>
        <w:t xml:space="preserve"> </w:t>
      </w:r>
      <w:r w:rsidR="00080739" w:rsidRPr="00080739">
        <w:rPr>
          <w:b/>
          <w:bCs/>
        </w:rPr>
        <w:t> </w:t>
      </w:r>
      <w:r w:rsidR="00080739" w:rsidRPr="00080739">
        <w:t xml:space="preserve">Duncan </w:t>
      </w:r>
      <w:proofErr w:type="spellStart"/>
      <w:r w:rsidR="00080739" w:rsidRPr="00080739">
        <w:t>Ivision</w:t>
      </w:r>
      <w:proofErr w:type="spellEnd"/>
      <w:r w:rsidR="00080739" w:rsidRPr="00080739">
        <w:t>, "</w:t>
      </w:r>
      <w:proofErr w:type="spellStart"/>
      <w:r w:rsidR="00080739" w:rsidRPr="00080739">
        <w:t>Postcolonialism</w:t>
      </w:r>
      <w:proofErr w:type="spellEnd"/>
      <w:r w:rsidR="00080739" w:rsidRPr="00080739">
        <w:t>", </w:t>
      </w:r>
      <w:proofErr w:type="spellStart"/>
      <w:r w:rsidR="00080739" w:rsidRPr="00080739">
        <w:rPr>
          <w:i/>
          <w:iCs/>
        </w:rPr>
        <w:t>Encyclopedia</w:t>
      </w:r>
      <w:proofErr w:type="spellEnd"/>
      <w:r w:rsidR="00080739" w:rsidRPr="00080739">
        <w:rPr>
          <w:i/>
          <w:iCs/>
        </w:rPr>
        <w:t xml:space="preserve"> Britannica</w:t>
      </w:r>
      <w:r w:rsidR="00080739" w:rsidRPr="00080739">
        <w:t>, 2019 &lt;https://www.britannica.com/topic/postcolonialism&gt; [Accessed 14 June 2019].</w:t>
      </w:r>
    </w:p>
  </w:footnote>
  <w:footnote w:id="9">
    <w:p w:rsidR="00417BA4" w:rsidRDefault="00417BA4">
      <w:pPr>
        <w:pStyle w:val="FootnoteText"/>
      </w:pPr>
      <w:r>
        <w:rPr>
          <w:rStyle w:val="FootnoteReference"/>
        </w:rPr>
        <w:footnoteRef/>
      </w:r>
      <w:r>
        <w:t xml:space="preserve"> </w:t>
      </w:r>
      <w:r w:rsidRPr="00417BA4">
        <w:rPr>
          <w:b/>
          <w:bCs/>
        </w:rPr>
        <w:t> </w:t>
      </w:r>
      <w:r w:rsidRPr="00417BA4">
        <w:t>Ian P Watt, </w:t>
      </w:r>
      <w:r w:rsidRPr="00417BA4">
        <w:rPr>
          <w:i/>
          <w:iCs/>
        </w:rPr>
        <w:t xml:space="preserve">Conrad </w:t>
      </w:r>
      <w:proofErr w:type="gramStart"/>
      <w:r w:rsidRPr="00417BA4">
        <w:rPr>
          <w:i/>
          <w:iCs/>
        </w:rPr>
        <w:t>In</w:t>
      </w:r>
      <w:proofErr w:type="gramEnd"/>
      <w:r w:rsidRPr="00417BA4">
        <w:rPr>
          <w:i/>
          <w:iCs/>
        </w:rPr>
        <w:t xml:space="preserve"> The Nineteenth Century</w:t>
      </w:r>
      <w:r w:rsidRPr="00417BA4">
        <w:t> (Berkeley: University of California Press, 1979).</w:t>
      </w:r>
    </w:p>
  </w:footnote>
  <w:footnote w:id="10">
    <w:p w:rsidR="002A418C" w:rsidRDefault="002A418C" w:rsidP="002A418C">
      <w:pPr>
        <w:pStyle w:val="FootnoteText"/>
      </w:pPr>
      <w:r>
        <w:rPr>
          <w:rStyle w:val="FootnoteReference"/>
        </w:rPr>
        <w:footnoteRef/>
      </w:r>
      <w:r>
        <w:t xml:space="preserve"> </w:t>
      </w:r>
      <w:r w:rsidRPr="00302157">
        <w:t>Chinua Achebe, "An Ima</w:t>
      </w:r>
      <w:r>
        <w:t xml:space="preserve">ge </w:t>
      </w:r>
      <w:proofErr w:type="gramStart"/>
      <w:r>
        <w:t>Of</w:t>
      </w:r>
      <w:proofErr w:type="gramEnd"/>
      <w:r>
        <w:t xml:space="preserve"> Africa: Racism In Conrad’s</w:t>
      </w:r>
      <w:r w:rsidRPr="00302157">
        <w:t xml:space="preserve"> Heart Of Darkness", </w:t>
      </w:r>
      <w:r w:rsidRPr="00302157">
        <w:rPr>
          <w:i/>
          <w:iCs/>
        </w:rPr>
        <w:t>The Massachusetts Review</w:t>
      </w:r>
      <w:r w:rsidRPr="00302157">
        <w:t>, 57.1 (1977).</w:t>
      </w:r>
    </w:p>
  </w:footnote>
  <w:footnote w:id="11">
    <w:p w:rsidR="00F116EF" w:rsidRDefault="00F116EF" w:rsidP="00F116EF">
      <w:pPr>
        <w:pStyle w:val="FootnoteText"/>
      </w:pPr>
      <w:r>
        <w:rPr>
          <w:rStyle w:val="FootnoteReference"/>
        </w:rPr>
        <w:footnoteRef/>
      </w:r>
      <w:r>
        <w:t xml:space="preserve"> </w:t>
      </w:r>
      <w:r w:rsidRPr="00087BDE">
        <w:t>Chinua Achebe, "An Image Of Africa: Racism In Conrad’s Heart Of Darkness"</w:t>
      </w:r>
    </w:p>
  </w:footnote>
  <w:footnote w:id="12">
    <w:p w:rsidR="0067088D" w:rsidRDefault="0067088D" w:rsidP="0067088D">
      <w:pPr>
        <w:pStyle w:val="FootnoteText"/>
      </w:pPr>
      <w:r>
        <w:rPr>
          <w:rStyle w:val="FootnoteReference"/>
        </w:rPr>
        <w:footnoteRef/>
      </w:r>
      <w:r>
        <w:t xml:space="preserve"> </w:t>
      </w:r>
      <w:r w:rsidRPr="0051031F">
        <w:t xml:space="preserve">Cedric Watts, "'A Bloody Racist': About Achebe's View </w:t>
      </w:r>
      <w:proofErr w:type="gramStart"/>
      <w:r w:rsidRPr="0051031F">
        <w:t>Of</w:t>
      </w:r>
      <w:proofErr w:type="gramEnd"/>
      <w:r w:rsidRPr="0051031F">
        <w:t xml:space="preserve"> Conrad", </w:t>
      </w:r>
      <w:r w:rsidRPr="0051031F">
        <w:rPr>
          <w:i/>
          <w:iCs/>
        </w:rPr>
        <w:t>The Yearbook Of English Studies</w:t>
      </w:r>
      <w:r w:rsidRPr="0051031F">
        <w:t>, 13 (1983), 196 &lt;https://doi.org/10.2307/3508121&gt;.</w:t>
      </w:r>
    </w:p>
  </w:footnote>
  <w:footnote w:id="13">
    <w:p w:rsidR="00DC65C8" w:rsidRDefault="00DC65C8">
      <w:pPr>
        <w:pStyle w:val="FootnoteText"/>
      </w:pPr>
      <w:r>
        <w:rPr>
          <w:rStyle w:val="FootnoteReference"/>
        </w:rPr>
        <w:footnoteRef/>
      </w:r>
      <w:r>
        <w:t xml:space="preserve"> </w:t>
      </w:r>
      <w:r w:rsidRPr="00DC65C8">
        <w:rPr>
          <w:b/>
          <w:bCs/>
        </w:rPr>
        <w:t> </w:t>
      </w:r>
      <w:r w:rsidRPr="00DC65C8">
        <w:t>"About | Mass Review", </w:t>
      </w:r>
      <w:r w:rsidRPr="00DC65C8">
        <w:rPr>
          <w:i/>
          <w:iCs/>
        </w:rPr>
        <w:t>Massreview.Org</w:t>
      </w:r>
      <w:r w:rsidRPr="00DC65C8">
        <w:t>, 2019 &lt;https://www.massreview.org/about&gt; [Accessed 14 June 2019].</w:t>
      </w:r>
    </w:p>
  </w:footnote>
  <w:footnote w:id="14">
    <w:p w:rsidR="00F8389B" w:rsidRDefault="00F8389B">
      <w:pPr>
        <w:pStyle w:val="FootnoteText"/>
      </w:pPr>
      <w:r>
        <w:rPr>
          <w:rStyle w:val="FootnoteReference"/>
        </w:rPr>
        <w:footnoteRef/>
      </w:r>
      <w:r>
        <w:t xml:space="preserve"> </w:t>
      </w:r>
      <w:r w:rsidRPr="00F8389B">
        <w:t xml:space="preserve">Cedric Watts, "'A Bloody Racist': About Achebe's View </w:t>
      </w:r>
      <w:proofErr w:type="gramStart"/>
      <w:r w:rsidRPr="00F8389B">
        <w:t>Of</w:t>
      </w:r>
      <w:proofErr w:type="gramEnd"/>
      <w:r w:rsidRPr="00F8389B">
        <w:t xml:space="preserve"> Conrad", </w:t>
      </w:r>
      <w:r w:rsidRPr="00F8389B">
        <w:rPr>
          <w:i/>
          <w:iCs/>
        </w:rPr>
        <w:t>The Yearbook Of English Studies</w:t>
      </w:r>
      <w:r w:rsidRPr="00F8389B">
        <w:t>, 13 (1983), 196 &lt;https://doi.org/10.2307/3508121&gt;.</w:t>
      </w:r>
    </w:p>
  </w:footnote>
  <w:footnote w:id="15">
    <w:p w:rsidR="00C33C8D" w:rsidRDefault="00C33C8D" w:rsidP="00C33C8D">
      <w:pPr>
        <w:pStyle w:val="FootnoteText"/>
      </w:pPr>
      <w:r>
        <w:rPr>
          <w:rStyle w:val="FootnoteReference"/>
        </w:rPr>
        <w:footnoteRef/>
      </w:r>
      <w:r>
        <w:t xml:space="preserve"> </w:t>
      </w:r>
      <w:r w:rsidRPr="00CD228B">
        <w:t>Cedric Watts, "'A Bloody Racist': About Achebe's View Of Conrad</w:t>
      </w:r>
      <w:r>
        <w:t>. Pg.202.</w:t>
      </w:r>
    </w:p>
  </w:footnote>
  <w:footnote w:id="16">
    <w:p w:rsidR="00A66665" w:rsidRPr="00A66665" w:rsidRDefault="00A66665" w:rsidP="00A66665">
      <w:pPr>
        <w:pStyle w:val="FootnoteText"/>
      </w:pPr>
      <w:r>
        <w:rPr>
          <w:rStyle w:val="FootnoteReference"/>
        </w:rPr>
        <w:footnoteRef/>
      </w:r>
      <w:r>
        <w:t xml:space="preserve"> </w:t>
      </w:r>
      <w:r w:rsidRPr="00A66665">
        <w:t>Chinua Achebe, "An Image Of Africa: Racism In Conrad’s Heart Of Darkness"</w:t>
      </w:r>
    </w:p>
    <w:p w:rsidR="00A66665" w:rsidRDefault="00A66665">
      <w:pPr>
        <w:pStyle w:val="FootnoteText"/>
      </w:pPr>
    </w:p>
  </w:footnote>
  <w:footnote w:id="17">
    <w:p w:rsidR="008354D3" w:rsidRDefault="008354D3">
      <w:pPr>
        <w:pStyle w:val="FootnoteText"/>
      </w:pPr>
      <w:r>
        <w:rPr>
          <w:rStyle w:val="FootnoteReference"/>
        </w:rPr>
        <w:footnoteRef/>
      </w:r>
      <w:r>
        <w:t xml:space="preserve"> </w:t>
      </w:r>
      <w:r w:rsidRPr="008354D3">
        <w:rPr>
          <w:b/>
          <w:bCs/>
        </w:rPr>
        <w:t> </w:t>
      </w:r>
      <w:r w:rsidRPr="008354D3">
        <w:t>Patrick Brantlinger, ""Heart Of Darkness": Anti-Imperialism, Racism, Or Impressionism?</w:t>
      </w:r>
      <w:proofErr w:type="gramStart"/>
      <w:r w:rsidRPr="008354D3">
        <w:t>",</w:t>
      </w:r>
      <w:proofErr w:type="gramEnd"/>
      <w:r w:rsidRPr="008354D3">
        <w:t> </w:t>
      </w:r>
      <w:r w:rsidRPr="008354D3">
        <w:rPr>
          <w:i/>
          <w:iCs/>
        </w:rPr>
        <w:t>Criticism</w:t>
      </w:r>
      <w:r w:rsidRPr="008354D3">
        <w:t>, 27.4 (1985), 363-385 &lt;https://www.jstor.org/stable/23110450&gt; [Accessed 14 June 2019].</w:t>
      </w:r>
    </w:p>
  </w:footnote>
  <w:footnote w:id="18">
    <w:p w:rsidR="00A861AA" w:rsidRDefault="00A861AA">
      <w:pPr>
        <w:pStyle w:val="FootnoteText"/>
      </w:pPr>
      <w:r>
        <w:rPr>
          <w:rStyle w:val="FootnoteReference"/>
        </w:rPr>
        <w:footnoteRef/>
      </w:r>
      <w:r>
        <w:t xml:space="preserve"> </w:t>
      </w:r>
      <w:r w:rsidRPr="00A861AA">
        <w:t xml:space="preserve">Patrick Brantlinger, ""Heart </w:t>
      </w:r>
      <w:proofErr w:type="gramStart"/>
      <w:r w:rsidRPr="00A861AA">
        <w:t>Of</w:t>
      </w:r>
      <w:proofErr w:type="gramEnd"/>
      <w:r w:rsidRPr="00A861AA">
        <w:t xml:space="preserve"> Darkness": Anti-Imperialism, Raci</w:t>
      </w:r>
      <w:r>
        <w:t>sm, Or Impressionism?"</w:t>
      </w:r>
    </w:p>
  </w:footnote>
  <w:footnote w:id="19">
    <w:p w:rsidR="009B49A0" w:rsidRDefault="009B49A0">
      <w:pPr>
        <w:pStyle w:val="FootnoteText"/>
      </w:pPr>
      <w:r>
        <w:rPr>
          <w:rStyle w:val="FootnoteReference"/>
        </w:rPr>
        <w:footnoteRef/>
      </w:r>
      <w:r>
        <w:t xml:space="preserve"> </w:t>
      </w:r>
      <w:r w:rsidRPr="009B49A0">
        <w:t>Joseph Conrad, </w:t>
      </w:r>
      <w:r w:rsidRPr="009B49A0">
        <w:rPr>
          <w:i/>
          <w:iCs/>
        </w:rPr>
        <w:t>Heart Of Darkness</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39E2" w:rsidRDefault="001333E2">
    <w:pPr>
      <w:pStyle w:val="Header"/>
      <w:jc w:val="right"/>
      <w:rPr>
        <w:color w:val="5B9BD5" w:themeColor="accent1"/>
      </w:rPr>
    </w:pPr>
    <w:sdt>
      <w:sdtPr>
        <w:rPr>
          <w:color w:val="5B9BD5" w:themeColor="accent1"/>
        </w:rPr>
        <w:alias w:val="Author"/>
        <w:tag w:val=""/>
        <w:id w:val="-1677181147"/>
        <w:placeholder>
          <w:docPart w:val="1D27CDE1CD7747C5A8B6600B1027D21B"/>
        </w:placeholder>
        <w:dataBinding w:prefixMappings="xmlns:ns0='http://purl.org/dc/elements/1.1/' xmlns:ns1='http://schemas.openxmlformats.org/package/2006/metadata/core-properties' " w:xpath="/ns1:coreProperties[1]/ns0:creator[1]" w:storeItemID="{6C3C8BC8-F283-45AE-878A-BAB7291924A1}"/>
        <w:text/>
      </w:sdtPr>
      <w:sdtEndPr/>
      <w:sdtContent>
        <w:r w:rsidR="00FA39E2">
          <w:rPr>
            <w:color w:val="5B9BD5" w:themeColor="accent1"/>
          </w:rPr>
          <w:t>Lucy Smith</w:t>
        </w:r>
      </w:sdtContent>
    </w:sdt>
  </w:p>
  <w:p w:rsidR="00FA39E2" w:rsidRDefault="00FA39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85"/>
    <w:rsid w:val="000021F6"/>
    <w:rsid w:val="00014EC7"/>
    <w:rsid w:val="00052AA1"/>
    <w:rsid w:val="000552B5"/>
    <w:rsid w:val="0006301E"/>
    <w:rsid w:val="00080739"/>
    <w:rsid w:val="00087BDE"/>
    <w:rsid w:val="000E017E"/>
    <w:rsid w:val="0010753F"/>
    <w:rsid w:val="001333E2"/>
    <w:rsid w:val="00153996"/>
    <w:rsid w:val="001606C9"/>
    <w:rsid w:val="001C6F44"/>
    <w:rsid w:val="001D21DF"/>
    <w:rsid w:val="001D7F4A"/>
    <w:rsid w:val="002223C6"/>
    <w:rsid w:val="00280B58"/>
    <w:rsid w:val="002A418C"/>
    <w:rsid w:val="002B4585"/>
    <w:rsid w:val="002E26F9"/>
    <w:rsid w:val="002E5388"/>
    <w:rsid w:val="00302157"/>
    <w:rsid w:val="00394388"/>
    <w:rsid w:val="003A1177"/>
    <w:rsid w:val="003B33D8"/>
    <w:rsid w:val="003C4F60"/>
    <w:rsid w:val="00417BA4"/>
    <w:rsid w:val="00435C8F"/>
    <w:rsid w:val="0051031F"/>
    <w:rsid w:val="00547203"/>
    <w:rsid w:val="00552601"/>
    <w:rsid w:val="00555986"/>
    <w:rsid w:val="00570EEE"/>
    <w:rsid w:val="00580A75"/>
    <w:rsid w:val="00581DCF"/>
    <w:rsid w:val="00590999"/>
    <w:rsid w:val="00592A38"/>
    <w:rsid w:val="005B61EA"/>
    <w:rsid w:val="00607818"/>
    <w:rsid w:val="006665B8"/>
    <w:rsid w:val="0067088D"/>
    <w:rsid w:val="00672170"/>
    <w:rsid w:val="006C0F82"/>
    <w:rsid w:val="006C47FC"/>
    <w:rsid w:val="00731093"/>
    <w:rsid w:val="00735542"/>
    <w:rsid w:val="00746B1A"/>
    <w:rsid w:val="007B7596"/>
    <w:rsid w:val="007D3A2E"/>
    <w:rsid w:val="007F5D34"/>
    <w:rsid w:val="008042C5"/>
    <w:rsid w:val="008354D3"/>
    <w:rsid w:val="00856939"/>
    <w:rsid w:val="008819D2"/>
    <w:rsid w:val="008A22AC"/>
    <w:rsid w:val="008A78A4"/>
    <w:rsid w:val="008F576E"/>
    <w:rsid w:val="00902EE6"/>
    <w:rsid w:val="00940C43"/>
    <w:rsid w:val="0094432F"/>
    <w:rsid w:val="0094725D"/>
    <w:rsid w:val="009B49A0"/>
    <w:rsid w:val="009D188A"/>
    <w:rsid w:val="009D39B8"/>
    <w:rsid w:val="009D6961"/>
    <w:rsid w:val="009E5806"/>
    <w:rsid w:val="00A3291D"/>
    <w:rsid w:val="00A34CFE"/>
    <w:rsid w:val="00A66665"/>
    <w:rsid w:val="00A861AA"/>
    <w:rsid w:val="00AA70BB"/>
    <w:rsid w:val="00AD6A73"/>
    <w:rsid w:val="00B02DFA"/>
    <w:rsid w:val="00B30867"/>
    <w:rsid w:val="00B61F11"/>
    <w:rsid w:val="00B8176D"/>
    <w:rsid w:val="00B8310F"/>
    <w:rsid w:val="00BC533C"/>
    <w:rsid w:val="00BD1EC6"/>
    <w:rsid w:val="00BD77F3"/>
    <w:rsid w:val="00C33C8D"/>
    <w:rsid w:val="00C43ED1"/>
    <w:rsid w:val="00C657AC"/>
    <w:rsid w:val="00CB0C52"/>
    <w:rsid w:val="00CD228B"/>
    <w:rsid w:val="00CF4D4E"/>
    <w:rsid w:val="00D15627"/>
    <w:rsid w:val="00D26E9E"/>
    <w:rsid w:val="00D61DEA"/>
    <w:rsid w:val="00D93125"/>
    <w:rsid w:val="00D93A96"/>
    <w:rsid w:val="00DB1622"/>
    <w:rsid w:val="00DC65C8"/>
    <w:rsid w:val="00DD78E4"/>
    <w:rsid w:val="00E33B3B"/>
    <w:rsid w:val="00E5365B"/>
    <w:rsid w:val="00EE65F4"/>
    <w:rsid w:val="00EF5DD2"/>
    <w:rsid w:val="00F116EF"/>
    <w:rsid w:val="00F12F69"/>
    <w:rsid w:val="00F2735C"/>
    <w:rsid w:val="00F8389B"/>
    <w:rsid w:val="00FA1C19"/>
    <w:rsid w:val="00FA39E2"/>
    <w:rsid w:val="00FA3B68"/>
    <w:rsid w:val="00FB18D0"/>
    <w:rsid w:val="00FB36E0"/>
    <w:rsid w:val="00FC5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7FA805-31DE-4F7A-8263-EA7034282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417BA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17BA4"/>
    <w:rPr>
      <w:sz w:val="20"/>
      <w:szCs w:val="20"/>
    </w:rPr>
  </w:style>
  <w:style w:type="character" w:styleId="EndnoteReference">
    <w:name w:val="endnote reference"/>
    <w:basedOn w:val="DefaultParagraphFont"/>
    <w:uiPriority w:val="99"/>
    <w:semiHidden/>
    <w:unhideWhenUsed/>
    <w:rsid w:val="00417BA4"/>
    <w:rPr>
      <w:vertAlign w:val="superscript"/>
    </w:rPr>
  </w:style>
  <w:style w:type="paragraph" w:styleId="FootnoteText">
    <w:name w:val="footnote text"/>
    <w:basedOn w:val="Normal"/>
    <w:link w:val="FootnoteTextChar"/>
    <w:uiPriority w:val="99"/>
    <w:semiHidden/>
    <w:unhideWhenUsed/>
    <w:rsid w:val="00417BA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7BA4"/>
    <w:rPr>
      <w:sz w:val="20"/>
      <w:szCs w:val="20"/>
    </w:rPr>
  </w:style>
  <w:style w:type="character" w:styleId="FootnoteReference">
    <w:name w:val="footnote reference"/>
    <w:basedOn w:val="DefaultParagraphFont"/>
    <w:uiPriority w:val="99"/>
    <w:semiHidden/>
    <w:unhideWhenUsed/>
    <w:rsid w:val="00417BA4"/>
    <w:rPr>
      <w:vertAlign w:val="superscript"/>
    </w:rPr>
  </w:style>
  <w:style w:type="paragraph" w:styleId="Header">
    <w:name w:val="header"/>
    <w:basedOn w:val="Normal"/>
    <w:link w:val="HeaderChar"/>
    <w:uiPriority w:val="99"/>
    <w:unhideWhenUsed/>
    <w:rsid w:val="00FA3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9E2"/>
  </w:style>
  <w:style w:type="paragraph" w:styleId="Footer">
    <w:name w:val="footer"/>
    <w:basedOn w:val="Normal"/>
    <w:link w:val="FooterChar"/>
    <w:uiPriority w:val="99"/>
    <w:unhideWhenUsed/>
    <w:rsid w:val="00FA3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524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D27CDE1CD7747C5A8B6600B1027D21B"/>
        <w:category>
          <w:name w:val="General"/>
          <w:gallery w:val="placeholder"/>
        </w:category>
        <w:types>
          <w:type w:val="bbPlcHdr"/>
        </w:types>
        <w:behaviors>
          <w:behavior w:val="content"/>
        </w:behaviors>
        <w:guid w:val="{3747822E-82A7-4F1F-8CA8-6BB00403A19A}"/>
      </w:docPartPr>
      <w:docPartBody>
        <w:p w:rsidR="00363732" w:rsidRDefault="007652A1" w:rsidP="007652A1">
          <w:pPr>
            <w:pStyle w:val="1D27CDE1CD7747C5A8B6600B1027D21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52A1"/>
    <w:rsid w:val="001E22CF"/>
    <w:rsid w:val="00363732"/>
    <w:rsid w:val="007652A1"/>
    <w:rsid w:val="00B24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B931AD97D7415788B43AF1B7014AC4">
    <w:name w:val="FAB931AD97D7415788B43AF1B7014AC4"/>
    <w:rsid w:val="007652A1"/>
  </w:style>
  <w:style w:type="paragraph" w:customStyle="1" w:styleId="1D27CDE1CD7747C5A8B6600B1027D21B">
    <w:name w:val="1D27CDE1CD7747C5A8B6600B1027D21B"/>
    <w:rsid w:val="007652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5AC201-D9BA-4669-A3EF-BFAE05714A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3788</TotalTime>
  <Pages>5</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78</cp:revision>
  <dcterms:created xsi:type="dcterms:W3CDTF">2019-06-01T20:53:00Z</dcterms:created>
  <dcterms:modified xsi:type="dcterms:W3CDTF">2019-06-14T19:21:00Z</dcterms:modified>
</cp:coreProperties>
</file>