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rsidP="006E71C1">
      <w:pPr>
        <w:pBdr>
          <w:top w:val="nil"/>
          <w:left w:val="nil"/>
          <w:bottom w:val="nil"/>
          <w:right w:val="nil"/>
          <w:between w:val="nil"/>
        </w:pBdr>
        <w:spacing w:after="0" w:line="240" w:lineRule="auto"/>
        <w:jc w:val="both"/>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rsidP="006E71C1">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923BB71" w:rsidR="00530E16" w:rsidRDefault="004468F8">
                            <w:pPr>
                              <w:spacing w:before="120" w:line="277" w:lineRule="auto"/>
                              <w:textDirection w:val="btLr"/>
                            </w:pPr>
                            <w:r>
                              <w:rPr>
                                <w:color w:val="404040"/>
                                <w:sz w:val="36"/>
                              </w:rPr>
                              <w:t xml:space="preserve">Student name: </w:t>
                            </w:r>
                            <w:r w:rsidR="00104A4C">
                              <w:rPr>
                                <w:color w:val="404040"/>
                                <w:sz w:val="36"/>
                              </w:rPr>
                              <w:t>Bamidele</w:t>
                            </w:r>
                            <w:r w:rsidR="000E01AC">
                              <w:rPr>
                                <w:color w:val="404040"/>
                                <w:sz w:val="36"/>
                              </w:rPr>
                              <w:t xml:space="preserve"> A Idowu</w:t>
                            </w:r>
                          </w:p>
                          <w:p w14:paraId="07714B75" w14:textId="3324EF27" w:rsidR="00530E16" w:rsidRDefault="004468F8">
                            <w:pPr>
                              <w:spacing w:before="120" w:line="277" w:lineRule="auto"/>
                              <w:textDirection w:val="btLr"/>
                            </w:pPr>
                            <w:r>
                              <w:rPr>
                                <w:color w:val="404040"/>
                                <w:sz w:val="36"/>
                              </w:rPr>
                              <w:t>Student ID:</w:t>
                            </w:r>
                            <w:r w:rsidR="006A30EE">
                              <w:rPr>
                                <w:color w:val="404040"/>
                                <w:sz w:val="36"/>
                              </w:rPr>
                              <w:t xml:space="preserve"> 2025388231</w:t>
                            </w:r>
                          </w:p>
                          <w:p w14:paraId="20688A91" w14:textId="057CB688" w:rsidR="00530E16" w:rsidRDefault="004468F8">
                            <w:pPr>
                              <w:spacing w:before="120" w:line="277" w:lineRule="auto"/>
                              <w:textDirection w:val="btLr"/>
                            </w:pPr>
                            <w:r>
                              <w:rPr>
                                <w:color w:val="404040"/>
                                <w:sz w:val="36"/>
                              </w:rPr>
                              <w:t xml:space="preserve">Lecturer’s Name: </w:t>
                            </w:r>
                            <w:r w:rsidR="006A30EE">
                              <w:rPr>
                                <w:color w:val="404040"/>
                                <w:sz w:val="36"/>
                              </w:rPr>
                              <w:t>Dr</w:t>
                            </w:r>
                            <w:r w:rsidR="00220537">
                              <w:rPr>
                                <w:color w:val="404040"/>
                                <w:sz w:val="36"/>
                              </w:rPr>
                              <w:t>. Kwame</w:t>
                            </w:r>
                            <w:r w:rsidR="00E51260">
                              <w:rPr>
                                <w:color w:val="404040"/>
                                <w:sz w:val="36"/>
                              </w:rPr>
                              <w:t xml:space="preserve"> Assa-Agyei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left:0;text-align:left;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923BB71" w:rsidR="00530E16" w:rsidRDefault="004468F8">
                      <w:pPr>
                        <w:spacing w:before="120" w:line="277" w:lineRule="auto"/>
                        <w:textDirection w:val="btLr"/>
                      </w:pPr>
                      <w:r>
                        <w:rPr>
                          <w:color w:val="404040"/>
                          <w:sz w:val="36"/>
                        </w:rPr>
                        <w:t xml:space="preserve">Student name: </w:t>
                      </w:r>
                      <w:r w:rsidR="00104A4C">
                        <w:rPr>
                          <w:color w:val="404040"/>
                          <w:sz w:val="36"/>
                        </w:rPr>
                        <w:t>Bamidele</w:t>
                      </w:r>
                      <w:r w:rsidR="000E01AC">
                        <w:rPr>
                          <w:color w:val="404040"/>
                          <w:sz w:val="36"/>
                        </w:rPr>
                        <w:t xml:space="preserve"> A Idowu</w:t>
                      </w:r>
                    </w:p>
                    <w:p w14:paraId="07714B75" w14:textId="3324EF27" w:rsidR="00530E16" w:rsidRDefault="004468F8">
                      <w:pPr>
                        <w:spacing w:before="120" w:line="277" w:lineRule="auto"/>
                        <w:textDirection w:val="btLr"/>
                      </w:pPr>
                      <w:r>
                        <w:rPr>
                          <w:color w:val="404040"/>
                          <w:sz w:val="36"/>
                        </w:rPr>
                        <w:t>Student ID:</w:t>
                      </w:r>
                      <w:r w:rsidR="006A30EE">
                        <w:rPr>
                          <w:color w:val="404040"/>
                          <w:sz w:val="36"/>
                        </w:rPr>
                        <w:t xml:space="preserve"> 2025388231</w:t>
                      </w:r>
                    </w:p>
                    <w:p w14:paraId="20688A91" w14:textId="057CB688" w:rsidR="00530E16" w:rsidRDefault="004468F8">
                      <w:pPr>
                        <w:spacing w:before="120" w:line="277" w:lineRule="auto"/>
                        <w:textDirection w:val="btLr"/>
                      </w:pPr>
                      <w:r>
                        <w:rPr>
                          <w:color w:val="404040"/>
                          <w:sz w:val="36"/>
                        </w:rPr>
                        <w:t xml:space="preserve">Lecturer’s Name: </w:t>
                      </w:r>
                      <w:r w:rsidR="006A30EE">
                        <w:rPr>
                          <w:color w:val="404040"/>
                          <w:sz w:val="36"/>
                        </w:rPr>
                        <w:t>Dr</w:t>
                      </w:r>
                      <w:r w:rsidR="00220537">
                        <w:rPr>
                          <w:color w:val="404040"/>
                          <w:sz w:val="36"/>
                        </w:rPr>
                        <w:t>. Kwame</w:t>
                      </w:r>
                      <w:r w:rsidR="00E51260">
                        <w:rPr>
                          <w:color w:val="404040"/>
                          <w:sz w:val="36"/>
                        </w:rPr>
                        <w:t xml:space="preserve"> Assa-Agyei</w:t>
                      </w:r>
                    </w:p>
                  </w:txbxContent>
                </v:textbox>
                <w10:wrap anchorx="page" anchory="page"/>
              </v:rect>
            </w:pict>
          </mc:Fallback>
        </mc:AlternateContent>
      </w:r>
      <w:r>
        <w:br w:type="page"/>
      </w:r>
    </w:p>
    <w:p w14:paraId="61895DA4" w14:textId="77777777" w:rsidR="00530E16" w:rsidRDefault="00530E16" w:rsidP="006E71C1">
      <w:pPr>
        <w:jc w:val="both"/>
        <w:rPr>
          <w:rFonts w:ascii="Arial" w:eastAsia="Arial" w:hAnsi="Arial" w:cs="Arial"/>
        </w:rPr>
      </w:pPr>
    </w:p>
    <w:p w14:paraId="6DDA4733" w14:textId="77777777" w:rsidR="00530E16" w:rsidRDefault="004468F8" w:rsidP="006E71C1">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rsidP="006E71C1">
          <w:pPr>
            <w:pStyle w:val="TOC1"/>
            <w:tabs>
              <w:tab w:val="right" w:leader="dot" w:pos="9016"/>
            </w:tabs>
            <w:jc w:val="both"/>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rsidP="006E71C1">
          <w:pPr>
            <w:pStyle w:val="TOC2"/>
            <w:tabs>
              <w:tab w:val="right" w:leader="dot" w:pos="9016"/>
            </w:tabs>
            <w:jc w:val="both"/>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rsidP="006E71C1">
          <w:pPr>
            <w:pStyle w:val="TOC2"/>
            <w:tabs>
              <w:tab w:val="right" w:leader="dot" w:pos="9016"/>
            </w:tabs>
            <w:jc w:val="both"/>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rsidP="006E71C1">
          <w:pPr>
            <w:pStyle w:val="TOC2"/>
            <w:tabs>
              <w:tab w:val="right" w:leader="dot" w:pos="9016"/>
            </w:tabs>
            <w:jc w:val="both"/>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rsidP="006E71C1">
          <w:pPr>
            <w:pStyle w:val="TOC2"/>
            <w:tabs>
              <w:tab w:val="right" w:leader="dot" w:pos="9016"/>
            </w:tabs>
            <w:jc w:val="both"/>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rsidP="006E71C1">
          <w:pPr>
            <w:pStyle w:val="TOC1"/>
            <w:tabs>
              <w:tab w:val="right" w:leader="dot" w:pos="9016"/>
            </w:tabs>
            <w:jc w:val="both"/>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rsidP="006E71C1">
          <w:pPr>
            <w:pStyle w:val="TOC2"/>
            <w:tabs>
              <w:tab w:val="right" w:leader="dot" w:pos="9016"/>
            </w:tabs>
            <w:jc w:val="both"/>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rsidP="006E71C1">
          <w:pPr>
            <w:pStyle w:val="TOC1"/>
            <w:tabs>
              <w:tab w:val="right" w:leader="dot" w:pos="9016"/>
            </w:tabs>
            <w:jc w:val="both"/>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rsidP="006E71C1">
          <w:pPr>
            <w:pStyle w:val="TOC2"/>
            <w:tabs>
              <w:tab w:val="right" w:leader="dot" w:pos="9016"/>
            </w:tabs>
            <w:jc w:val="both"/>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rsidP="006E71C1">
          <w:pPr>
            <w:pStyle w:val="TOC2"/>
            <w:tabs>
              <w:tab w:val="right" w:leader="dot" w:pos="9016"/>
            </w:tabs>
            <w:jc w:val="both"/>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rsidP="006E71C1">
          <w:pPr>
            <w:pStyle w:val="TOC2"/>
            <w:tabs>
              <w:tab w:val="right" w:leader="dot" w:pos="9016"/>
            </w:tabs>
            <w:jc w:val="both"/>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rsidP="006E71C1">
          <w:pPr>
            <w:pStyle w:val="TOC1"/>
            <w:tabs>
              <w:tab w:val="right" w:leader="dot" w:pos="9016"/>
            </w:tabs>
            <w:jc w:val="both"/>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rsidP="006E71C1">
          <w:pPr>
            <w:pStyle w:val="TOC1"/>
            <w:tabs>
              <w:tab w:val="right" w:leader="dot" w:pos="9016"/>
            </w:tabs>
            <w:jc w:val="both"/>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sidP="006E71C1">
          <w:pPr>
            <w:jc w:val="both"/>
          </w:pPr>
          <w:r>
            <w:fldChar w:fldCharType="end"/>
          </w:r>
        </w:p>
      </w:sdtContent>
    </w:sdt>
    <w:p w14:paraId="7C25BAE8" w14:textId="77777777" w:rsidR="00530E16" w:rsidRDefault="00530E16" w:rsidP="006E71C1">
      <w:pPr>
        <w:jc w:val="both"/>
        <w:rPr>
          <w:rFonts w:ascii="Arial" w:eastAsia="Arial" w:hAnsi="Arial" w:cs="Arial"/>
        </w:rPr>
      </w:pPr>
    </w:p>
    <w:p w14:paraId="4E80598E" w14:textId="77777777" w:rsidR="00530E16" w:rsidRDefault="00530E16" w:rsidP="006E71C1">
      <w:pPr>
        <w:jc w:val="both"/>
        <w:rPr>
          <w:rFonts w:ascii="Arial" w:eastAsia="Arial" w:hAnsi="Arial" w:cs="Arial"/>
        </w:rPr>
      </w:pPr>
    </w:p>
    <w:p w14:paraId="2CF87F6B" w14:textId="77777777" w:rsidR="00530E16" w:rsidRDefault="00530E16" w:rsidP="006E71C1">
      <w:pPr>
        <w:jc w:val="both"/>
        <w:rPr>
          <w:rFonts w:ascii="Arial" w:eastAsia="Arial" w:hAnsi="Arial" w:cs="Arial"/>
        </w:rPr>
      </w:pPr>
    </w:p>
    <w:p w14:paraId="543CF5C0" w14:textId="77777777" w:rsidR="00530E16" w:rsidRDefault="00530E16" w:rsidP="006E71C1">
      <w:pPr>
        <w:jc w:val="both"/>
        <w:rPr>
          <w:rFonts w:ascii="Arial" w:eastAsia="Arial" w:hAnsi="Arial" w:cs="Arial"/>
        </w:rPr>
      </w:pPr>
    </w:p>
    <w:p w14:paraId="41ACA456" w14:textId="77777777" w:rsidR="00530E16" w:rsidRDefault="00530E16" w:rsidP="006E71C1">
      <w:pPr>
        <w:jc w:val="both"/>
        <w:rPr>
          <w:rFonts w:ascii="Arial" w:eastAsia="Arial" w:hAnsi="Arial" w:cs="Arial"/>
        </w:rPr>
      </w:pPr>
    </w:p>
    <w:p w14:paraId="17294C10" w14:textId="77777777" w:rsidR="00530E16" w:rsidRDefault="00530E16" w:rsidP="006E71C1">
      <w:pPr>
        <w:jc w:val="both"/>
        <w:rPr>
          <w:rFonts w:ascii="Arial" w:eastAsia="Arial" w:hAnsi="Arial" w:cs="Arial"/>
        </w:rPr>
      </w:pPr>
    </w:p>
    <w:p w14:paraId="2657CCF8" w14:textId="77777777" w:rsidR="00530E16" w:rsidRDefault="00530E16" w:rsidP="006E71C1">
      <w:pPr>
        <w:jc w:val="both"/>
        <w:rPr>
          <w:rFonts w:ascii="Arial" w:eastAsia="Arial" w:hAnsi="Arial" w:cs="Arial"/>
        </w:rPr>
      </w:pPr>
    </w:p>
    <w:p w14:paraId="115F00B1" w14:textId="77777777" w:rsidR="00530E16" w:rsidRDefault="00530E16" w:rsidP="006E71C1">
      <w:pPr>
        <w:jc w:val="both"/>
        <w:rPr>
          <w:rFonts w:ascii="Arial" w:eastAsia="Arial" w:hAnsi="Arial" w:cs="Arial"/>
        </w:rPr>
      </w:pPr>
    </w:p>
    <w:p w14:paraId="04AA3B6E" w14:textId="77777777" w:rsidR="00530E16" w:rsidRDefault="00530E16" w:rsidP="006E71C1">
      <w:pPr>
        <w:jc w:val="both"/>
        <w:rPr>
          <w:rFonts w:ascii="Arial" w:eastAsia="Arial" w:hAnsi="Arial" w:cs="Arial"/>
        </w:rPr>
      </w:pPr>
    </w:p>
    <w:p w14:paraId="11B6961F" w14:textId="77777777" w:rsidR="00530E16" w:rsidRDefault="00530E16" w:rsidP="006E71C1">
      <w:pPr>
        <w:jc w:val="both"/>
        <w:rPr>
          <w:rFonts w:ascii="Arial" w:eastAsia="Arial" w:hAnsi="Arial" w:cs="Arial"/>
        </w:rPr>
      </w:pPr>
    </w:p>
    <w:p w14:paraId="24A9EEB7" w14:textId="77777777" w:rsidR="00530E16" w:rsidRDefault="00530E16" w:rsidP="006E71C1">
      <w:pPr>
        <w:jc w:val="both"/>
        <w:rPr>
          <w:rFonts w:ascii="Arial" w:eastAsia="Arial" w:hAnsi="Arial" w:cs="Arial"/>
        </w:rPr>
      </w:pPr>
    </w:p>
    <w:p w14:paraId="2637B8F3" w14:textId="77777777" w:rsidR="00530E16" w:rsidRDefault="00530E16" w:rsidP="006E71C1">
      <w:pPr>
        <w:jc w:val="both"/>
        <w:rPr>
          <w:rFonts w:ascii="Arial" w:eastAsia="Arial" w:hAnsi="Arial" w:cs="Arial"/>
        </w:rPr>
      </w:pPr>
    </w:p>
    <w:p w14:paraId="1B8FE014" w14:textId="77777777" w:rsidR="002A1842" w:rsidRDefault="002A1842" w:rsidP="006E71C1">
      <w:pPr>
        <w:jc w:val="both"/>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rsidP="006E71C1">
      <w:pPr>
        <w:jc w:val="both"/>
        <w:rPr>
          <w:rFonts w:ascii="Arial" w:eastAsia="Arial" w:hAnsi="Arial" w:cs="Arial"/>
        </w:rPr>
      </w:pPr>
    </w:p>
    <w:p w14:paraId="0330DD2E" w14:textId="77777777" w:rsidR="006E71C1" w:rsidRPr="006E71C1" w:rsidRDefault="006E71C1" w:rsidP="006E71C1">
      <w:pPr>
        <w:pStyle w:val="Heading1"/>
      </w:pPr>
      <w:r w:rsidRPr="006E71C1">
        <w:lastRenderedPageBreak/>
        <w:t>A Cross-Sectional Study of Discipline-Based Self-Perceived Digital Literacy Competencies of Nursing Students</w:t>
      </w:r>
    </w:p>
    <w:p w14:paraId="6C41EE2E" w14:textId="77777777" w:rsidR="006E71C1" w:rsidRPr="006E71C1" w:rsidRDefault="006E71C1" w:rsidP="006E71C1">
      <w:pPr>
        <w:pStyle w:val="Heading2"/>
      </w:pPr>
      <w:r w:rsidRPr="006E71C1">
        <w:t>Section 1: Introducing the Research Paper and Topic Development</w:t>
      </w:r>
    </w:p>
    <w:p w14:paraId="385B4D6D" w14:textId="77777777" w:rsidR="006E71C1" w:rsidRPr="006E71C1" w:rsidRDefault="006E71C1" w:rsidP="006E71C1">
      <w:pPr>
        <w:pStyle w:val="Heading2"/>
      </w:pPr>
      <w:r w:rsidRPr="006E71C1">
        <w:t>1.1 Paper Details (Title, Author(s) and Year of Publication)</w:t>
      </w:r>
    </w:p>
    <w:p w14:paraId="21B62C09" w14:textId="77777777" w:rsidR="006E71C1" w:rsidRPr="006E71C1" w:rsidRDefault="006E71C1" w:rsidP="006E71C1">
      <w:pPr>
        <w:jc w:val="both"/>
        <w:rPr>
          <w:rFonts w:ascii="Arial" w:eastAsia="Arial" w:hAnsi="Arial" w:cs="Arial"/>
        </w:rPr>
      </w:pPr>
      <w:r w:rsidRPr="006E71C1">
        <w:rPr>
          <w:rFonts w:ascii="Arial" w:eastAsia="Arial" w:hAnsi="Arial" w:cs="Arial"/>
        </w:rPr>
        <w:t>This report examines a paper entitled 'A cross-sectional study of discipline-based self-perceived digital literacy competencies of nursing students', written by Martzoukou, Luders, Mair, Kostagiolas, Johnson, Work and Fulton, and published in 2024 in the Journal of Advanced Nursing.</w:t>
      </w:r>
    </w:p>
    <w:p w14:paraId="64C41C26" w14:textId="77777777" w:rsidR="006E71C1" w:rsidRPr="006E71C1" w:rsidRDefault="006E71C1" w:rsidP="006E71C1">
      <w:pPr>
        <w:pStyle w:val="Heading2"/>
      </w:pPr>
      <w:r w:rsidRPr="006E71C1">
        <w:t>1.2 Main Topic or Problem Explored in the Paper</w:t>
      </w:r>
    </w:p>
    <w:p w14:paraId="5278D790" w14:textId="77777777" w:rsidR="006E71C1" w:rsidRPr="006E71C1" w:rsidRDefault="006E71C1" w:rsidP="006E71C1">
      <w:pPr>
        <w:jc w:val="both"/>
        <w:rPr>
          <w:rFonts w:ascii="Arial" w:eastAsia="Arial" w:hAnsi="Arial" w:cs="Arial"/>
        </w:rPr>
      </w:pPr>
      <w:r w:rsidRPr="006E71C1">
        <w:rPr>
          <w:rFonts w:ascii="Arial" w:eastAsia="Arial" w:hAnsi="Arial" w:cs="Arial"/>
        </w:rPr>
        <w:t>How well do nursing students actually cope with the digital side of modern healthcare, once you look past the basics of using a laptop or a phone? That is the underlying question driving this paper. The authors were not satisfied with treating digital literacy as a single, generic skill; instead, they split it into fourteen distinct areas, covering everything from searching health databases and appraising evidence, to managing an online professional identity and staying well while using digital tools. Their starting point was a concern that nursing education has been slow to catch up with how digital the profession itself has become, a gap that the COVID-19 pandemic exposed further as healthcare services leaned more heavily on remote monitoring, virtual appointments and digital records almost overnight.</w:t>
      </w:r>
    </w:p>
    <w:p w14:paraId="00F28F86" w14:textId="77777777" w:rsidR="006E71C1" w:rsidRPr="006E71C1" w:rsidRDefault="006E71C1" w:rsidP="006E71C1">
      <w:pPr>
        <w:pStyle w:val="Heading2"/>
      </w:pPr>
      <w:r w:rsidRPr="006E71C1">
        <w:t>1.3 Who Is the Research About?</w:t>
      </w:r>
    </w:p>
    <w:p w14:paraId="7478C3D8" w14:textId="77777777" w:rsidR="006E71C1" w:rsidRPr="006E71C1" w:rsidRDefault="006E71C1" w:rsidP="006E71C1">
      <w:pPr>
        <w:jc w:val="both"/>
        <w:rPr>
          <w:rFonts w:ascii="Arial" w:eastAsia="Arial" w:hAnsi="Arial" w:cs="Arial"/>
        </w:rPr>
      </w:pPr>
      <w:r w:rsidRPr="006E71C1">
        <w:rPr>
          <w:rFonts w:ascii="Arial" w:eastAsia="Arial" w:hAnsi="Arial" w:cs="Arial"/>
        </w:rPr>
        <w:t>The study centres on students training to become nurses, midwives and paramedics at one Scottish university. A total of 182 of them completed the survey, and the resulting sample was fairly lopsided: mostly women, mostly first-year, mostly undergraduate, and mostly on pre-registration nursing courses, with midwifery and paramedic students forming only a small slice of the total. The choice to study this particular group makes sense given the researchers' aims, since these are students on the verge of entering a health and social care workforce where digital tools are becoming routine rather than optional, so understanding their current level of confidence offers a useful early warning of where support might be needed.</w:t>
      </w:r>
    </w:p>
    <w:p w14:paraId="57FE3034" w14:textId="77777777" w:rsidR="006E71C1" w:rsidRPr="006E71C1" w:rsidRDefault="006E71C1" w:rsidP="006E71C1">
      <w:pPr>
        <w:pStyle w:val="Heading2"/>
      </w:pPr>
      <w:r w:rsidRPr="006E71C1">
        <w:t>1.4 Why Is This Topic Important in UK Health and Social Care?</w:t>
      </w:r>
    </w:p>
    <w:p w14:paraId="4D8C0E23" w14:textId="77777777" w:rsidR="006E71C1" w:rsidRPr="006E71C1" w:rsidRDefault="006E71C1" w:rsidP="006E71C1">
      <w:pPr>
        <w:jc w:val="both"/>
        <w:rPr>
          <w:rFonts w:ascii="Arial" w:eastAsia="Arial" w:hAnsi="Arial" w:cs="Arial"/>
        </w:rPr>
      </w:pPr>
      <w:r w:rsidRPr="006E71C1">
        <w:rPr>
          <w:rFonts w:ascii="Arial" w:eastAsia="Arial" w:hAnsi="Arial" w:cs="Arial"/>
        </w:rPr>
        <w:t xml:space="preserve">Within UK health and social care, digital competence has shifted from being a nice-to-have to something closer to a basic requirement for safe practice. Booth et al. (2021) make the point that nurses should not just be trained to use whatever digital system is handed to them, but should be actively shaping how these systems are designed, </w:t>
      </w:r>
      <w:r w:rsidRPr="006E71C1">
        <w:rPr>
          <w:rFonts w:ascii="Arial" w:eastAsia="Arial" w:hAnsi="Arial" w:cs="Arial"/>
        </w:rPr>
        <w:lastRenderedPageBreak/>
        <w:t>which is only possible if they already have a solid grounding in digital and information skills. Brice and Almond (2020) add a related concern, noting that many existing digital capability frameworks for health professionals concentrate too heavily on narrow technical ability and overlook the broader skills, such as information literacy, that this study found students struggling with most. Closing these gaps early, before students qualify, is therefore central to supporting safe and evidence-based care later on.</w:t>
      </w:r>
    </w:p>
    <w:p w14:paraId="110726FD" w14:textId="77777777" w:rsidR="006E71C1" w:rsidRPr="006E71C1" w:rsidRDefault="006E71C1" w:rsidP="006E71C1">
      <w:pPr>
        <w:pStyle w:val="Heading2"/>
      </w:pPr>
      <w:r w:rsidRPr="006E71C1">
        <w:t>Section 2: Understanding the Purpose and Research Question</w:t>
      </w:r>
    </w:p>
    <w:p w14:paraId="5A6F7C52" w14:textId="77777777" w:rsidR="006E71C1" w:rsidRPr="006E71C1" w:rsidRDefault="006E71C1" w:rsidP="006E71C1">
      <w:pPr>
        <w:pStyle w:val="Heading2"/>
      </w:pPr>
      <w:r w:rsidRPr="006E71C1">
        <w:t>2.1 Research Question(s) or Objectives</w:t>
      </w:r>
    </w:p>
    <w:p w14:paraId="0201296A" w14:textId="77777777" w:rsidR="006E71C1" w:rsidRPr="006E71C1" w:rsidRDefault="006E71C1" w:rsidP="006E71C1">
      <w:pPr>
        <w:jc w:val="both"/>
        <w:rPr>
          <w:rFonts w:ascii="Arial" w:eastAsia="Arial" w:hAnsi="Arial" w:cs="Arial"/>
        </w:rPr>
      </w:pPr>
      <w:r w:rsidRPr="006E71C1">
        <w:rPr>
          <w:rFonts w:ascii="Arial" w:eastAsia="Arial" w:hAnsi="Arial" w:cs="Arial"/>
        </w:rPr>
        <w:t>At its core, the study wanted to find out how confident nursing, midwifery and paramedic students actually felt across this broad set of digital skills, and whether that confidence shifted depending on a student's age or on whether they were still working towards initial registration or had already qualified and returned to study. A further aim was practical rather than purely descriptive: to take a general, discipline-neutral digital skills survey and reshape it so that it genuinely reflected what nursing and allied health students need, rather than assuming one generic tool would fit every subject. A small number of open-ended questions were also included, giving students the chance to explain, in their own words, how they had built up their digital skills and where they had struggled along the way.</w:t>
      </w:r>
    </w:p>
    <w:p w14:paraId="019E6FE6" w14:textId="77777777" w:rsidR="006E71C1" w:rsidRPr="006E71C1" w:rsidRDefault="006E71C1" w:rsidP="006E71C1">
      <w:pPr>
        <w:pStyle w:val="Heading2"/>
      </w:pPr>
      <w:r w:rsidRPr="006E71C1">
        <w:t>Section 3: Understanding the Research Methods</w:t>
      </w:r>
    </w:p>
    <w:p w14:paraId="36377A5D" w14:textId="77777777" w:rsidR="006E71C1" w:rsidRPr="006E71C1" w:rsidRDefault="006E71C1" w:rsidP="006E71C1">
      <w:pPr>
        <w:pStyle w:val="Heading2"/>
      </w:pPr>
      <w:r w:rsidRPr="006E71C1">
        <w:t>3.1 Overview of Quantitative, Qualitative, and Mixed-Methods Research</w:t>
      </w:r>
    </w:p>
    <w:p w14:paraId="095E07EA" w14:textId="77777777" w:rsidR="006E71C1" w:rsidRPr="006E71C1" w:rsidRDefault="006E71C1" w:rsidP="006E71C1">
      <w:pPr>
        <w:jc w:val="both"/>
        <w:rPr>
          <w:rFonts w:ascii="Arial" w:eastAsia="Arial" w:hAnsi="Arial" w:cs="Arial"/>
        </w:rPr>
      </w:pPr>
      <w:r w:rsidRPr="006E71C1">
        <w:rPr>
          <w:rFonts w:ascii="Arial" w:eastAsia="Arial" w:hAnsi="Arial" w:cs="Arial"/>
        </w:rPr>
        <w:t>There are, broadly, three ways researchers tend to approach a study: quantitative, qualitative, or mixed-methods, and the choice usually comes down to what kind of answer is actually needed. Quantitative research deals in numbers, whether that means survey ratings, measurements, or existing statistics, which are then run through statistical tests to check for patterns or meaningful differences between groups (Bryman, 2016). It is the obvious route when a researcher wants a result that can be counted or compared, such as whether older and younger students report different levels of confidence with a given digital tool.</w:t>
      </w:r>
    </w:p>
    <w:p w14:paraId="77626356" w14:textId="77777777" w:rsidR="006E71C1" w:rsidRPr="006E71C1" w:rsidRDefault="006E71C1" w:rsidP="006E71C1">
      <w:pPr>
        <w:jc w:val="both"/>
        <w:rPr>
          <w:rFonts w:ascii="Arial" w:eastAsia="Arial" w:hAnsi="Arial" w:cs="Arial"/>
        </w:rPr>
      </w:pPr>
      <w:r w:rsidRPr="006E71C1">
        <w:rPr>
          <w:rFonts w:ascii="Arial" w:eastAsia="Arial" w:hAnsi="Arial" w:cs="Arial"/>
        </w:rPr>
        <w:t>Qualitative research works from the opposite direction, starting with people's own words, gathered through interviews, focus groups or open comments, and then organised into themes rather than crunched into statistics (Creswell and Creswell, 2018). This approach comes into its own when a researcher is trying to understand the reasoning or experience behind a behaviour, rather than simply how common it is.</w:t>
      </w:r>
    </w:p>
    <w:p w14:paraId="1489D773" w14:textId="77777777" w:rsidR="006E71C1" w:rsidRPr="006E71C1" w:rsidRDefault="006E71C1" w:rsidP="006E71C1">
      <w:pPr>
        <w:jc w:val="both"/>
        <w:rPr>
          <w:rFonts w:ascii="Arial" w:eastAsia="Arial" w:hAnsi="Arial" w:cs="Arial"/>
        </w:rPr>
      </w:pPr>
      <w:r w:rsidRPr="006E71C1">
        <w:rPr>
          <w:rFonts w:ascii="Arial" w:eastAsia="Arial" w:hAnsi="Arial" w:cs="Arial"/>
        </w:rPr>
        <w:t xml:space="preserve">Mixed-methods research sits between the two, pulling numerical and narrative data into the same study so that a researcher can measure a problem's scale while also digging into what lies behind it (Creswell and Creswell, 2018). A study into student </w:t>
      </w:r>
      <w:r w:rsidRPr="006E71C1">
        <w:rPr>
          <w:rFonts w:ascii="Arial" w:eastAsia="Arial" w:hAnsi="Arial" w:cs="Arial"/>
        </w:rPr>
        <w:lastRenderedPageBreak/>
        <w:t>confidence might, for instance, use a rating scale to capture the headline numbers and a short open comment to explain what shaped that particular score.</w:t>
      </w:r>
    </w:p>
    <w:p w14:paraId="071B1E56" w14:textId="77777777" w:rsidR="006E71C1" w:rsidRPr="006E71C1" w:rsidRDefault="006E71C1" w:rsidP="006E71C1">
      <w:pPr>
        <w:pStyle w:val="Heading2"/>
      </w:pPr>
      <w:r w:rsidRPr="006E71C1">
        <w:t>3.2 Research Methodology Used in Your Chosen Paper and Why</w:t>
      </w:r>
    </w:p>
    <w:p w14:paraId="36678EA0" w14:textId="77777777" w:rsidR="006E71C1" w:rsidRPr="006E71C1" w:rsidRDefault="006E71C1" w:rsidP="006E71C1">
      <w:pPr>
        <w:jc w:val="both"/>
        <w:rPr>
          <w:rFonts w:ascii="Arial" w:eastAsia="Arial" w:hAnsi="Arial" w:cs="Arial"/>
        </w:rPr>
      </w:pPr>
      <w:r w:rsidRPr="006E71C1">
        <w:rPr>
          <w:rFonts w:ascii="Arial" w:eastAsia="Arial" w:hAnsi="Arial" w:cs="Arial"/>
        </w:rPr>
        <w:t>Martzoukou et al. (2024) built their study around a predominantly quantitative, cross-sectional survey, run online between November and December 2021. Students scored their own competence across fourteen digital skill areas using a five-point scale stretching from Novice to Expert, and a handful of open-ended questions were tacked onto the end of the same survey, asking how they had learned their digital skills, how they kept them current, and how those skills had actually helped with their coursework. The numerical scores were analysed through descriptive statistics alongside the Mann-Whitney U-test and Kruskal-Wallis H-test, which let the researchers check whether confidence genuinely differed by age group or by registration status rather than varying by chance, while the open-text answers were worked through separately using thematic analysis.</w:t>
      </w:r>
    </w:p>
    <w:p w14:paraId="3DD7719B" w14:textId="77777777" w:rsidR="006E71C1" w:rsidRPr="006E71C1" w:rsidRDefault="006E71C1" w:rsidP="006E71C1">
      <w:pPr>
        <w:jc w:val="both"/>
        <w:rPr>
          <w:rFonts w:ascii="Arial" w:eastAsia="Arial" w:hAnsi="Arial" w:cs="Arial"/>
        </w:rPr>
      </w:pPr>
      <w:r w:rsidRPr="006E71C1">
        <w:rPr>
          <w:rFonts w:ascii="Arial" w:eastAsia="Arial" w:hAnsi="Arial" w:cs="Arial"/>
        </w:rPr>
        <w:t>A largely quantitative design fitted the study's purpose well, since the researchers were trying to measure and compare confidence levels across a reasonably sized group of 182 students, something a purely qualitative approach would struggle to do with any statistical confidence. The small pocket of qualitative data folded in alongside this gave the numbers some texture and explanation, without turning the study into anything close to a genuine mixed-methods design.</w:t>
      </w:r>
    </w:p>
    <w:p w14:paraId="0D2E2D37" w14:textId="77777777" w:rsidR="006E71C1" w:rsidRPr="006E71C1" w:rsidRDefault="006E71C1" w:rsidP="006E71C1">
      <w:pPr>
        <w:pStyle w:val="Heading2"/>
      </w:pPr>
      <w:r w:rsidRPr="006E71C1">
        <w:t>3.3 Primary and Secondary Data: Definitions, Differences, and Application to Your Paper</w:t>
      </w:r>
    </w:p>
    <w:p w14:paraId="3F894BA8" w14:textId="77777777" w:rsidR="006E71C1" w:rsidRPr="006E71C1" w:rsidRDefault="006E71C1" w:rsidP="006E71C1">
      <w:pPr>
        <w:jc w:val="both"/>
        <w:rPr>
          <w:rFonts w:ascii="Arial" w:eastAsia="Arial" w:hAnsi="Arial" w:cs="Arial"/>
        </w:rPr>
      </w:pPr>
      <w:r w:rsidRPr="006E71C1">
        <w:rPr>
          <w:rFonts w:ascii="Arial" w:eastAsia="Arial" w:hAnsi="Arial" w:cs="Arial"/>
        </w:rPr>
        <w:t>Primary data is collected first-hand by a researcher for their own particular study, while secondary data has already been gathered by someone else, usually for an unrelated purpose, and is later reused by a different researcher (Polit and Beck, 2017). The trade-off is fairly straightforward: primary data gives far tighter control over what exactly gets measured, whereas secondary data is quicker and cheaper to access, even if it rarely lines up perfectly with a new research question.</w:t>
      </w:r>
    </w:p>
    <w:p w14:paraId="11283A1C" w14:textId="77777777" w:rsidR="006E71C1" w:rsidRPr="006E71C1" w:rsidRDefault="006E71C1" w:rsidP="006E71C1">
      <w:pPr>
        <w:jc w:val="both"/>
        <w:rPr>
          <w:rFonts w:ascii="Arial" w:eastAsia="Arial" w:hAnsi="Arial" w:cs="Arial"/>
        </w:rPr>
      </w:pPr>
      <w:r w:rsidRPr="006E71C1">
        <w:rPr>
          <w:rFonts w:ascii="Arial" w:eastAsia="Arial" w:hAnsi="Arial" w:cs="Arial"/>
        </w:rPr>
        <w:t>Everything used in this study counts as primary data. The research team built their own digital competencies questionnaire from scratch and sent it directly to nursing, midwifery and paramedic students at their own university, rather than borrowing a dataset someone else had already collected (Martzoukou et al., 2024). That included both the closed, Likert-scale ratings across the fourteen competency areas and the smaller set of open-ended questions discussed above. The closed items went through statistical analysis, and the open-ended comments were analysed thematically, so the entire dataset, numbers and words alike, was generated specifically for this project rather than pulled from any pre-existing source.</w:t>
      </w:r>
    </w:p>
    <w:p w14:paraId="4F4A01FD" w14:textId="77777777" w:rsidR="006E71C1" w:rsidRPr="006E71C1" w:rsidRDefault="006E71C1" w:rsidP="006E71C1">
      <w:pPr>
        <w:pStyle w:val="Heading2"/>
      </w:pPr>
      <w:r w:rsidRPr="006E71C1">
        <w:lastRenderedPageBreak/>
        <w:t>Section 4: Conclusion</w:t>
      </w:r>
    </w:p>
    <w:p w14:paraId="653B1B21" w14:textId="77777777" w:rsidR="006E71C1" w:rsidRPr="006E71C1" w:rsidRDefault="006E71C1" w:rsidP="006E71C1">
      <w:pPr>
        <w:jc w:val="both"/>
        <w:rPr>
          <w:rFonts w:ascii="Arial" w:eastAsia="Arial" w:hAnsi="Arial" w:cs="Arial"/>
        </w:rPr>
      </w:pPr>
      <w:r w:rsidRPr="006E71C1">
        <w:rPr>
          <w:rFonts w:ascii="Arial" w:eastAsia="Arial" w:hAnsi="Arial" w:cs="Arial"/>
        </w:rPr>
        <w:t>This report has worked through Martzoukou et al.'s (2024) study of how confident nursing, midwifery and paramedic students feel about their own digital skills. The results showed a fairly clear pattern: students generally coped well with everyday digital tasks, but were noticeably weaker in information literacy, digital research and digital innovation, three areas that matter directly for safe, evidence-based nursing practice. This is relevant to UK health and social care because nurses are now expected to work confidently within an increasingly digital NHS, and any weakness in these particular skills among new graduates could feed through into the quality of care they are able to give (Booth et al., 2021).</w:t>
      </w:r>
    </w:p>
    <w:p w14:paraId="278CA120" w14:textId="77777777" w:rsidR="006E71C1" w:rsidRPr="006E71C1" w:rsidRDefault="006E71C1" w:rsidP="006E71C1">
      <w:pPr>
        <w:jc w:val="both"/>
        <w:rPr>
          <w:rFonts w:ascii="Arial" w:eastAsia="Arial" w:hAnsi="Arial" w:cs="Arial"/>
        </w:rPr>
      </w:pPr>
      <w:r w:rsidRPr="006E71C1">
        <w:rPr>
          <w:rFonts w:ascii="Arial" w:eastAsia="Arial" w:hAnsi="Arial" w:cs="Arial"/>
        </w:rPr>
        <w:t>The study aimed to measure students' confidence across this wide set of digital skills and to see whether age or course stage made a difference, and it did so through a mainly quantitative, cross-sectional survey built entirely from primary data collected directly from 182 students.</w:t>
      </w:r>
    </w:p>
    <w:p w14:paraId="590DFDD3" w14:textId="77777777" w:rsidR="006E71C1" w:rsidRDefault="006E71C1" w:rsidP="006E71C1">
      <w:pPr>
        <w:jc w:val="both"/>
        <w:rPr>
          <w:rFonts w:ascii="Arial" w:eastAsia="Arial" w:hAnsi="Arial" w:cs="Arial"/>
        </w:rPr>
      </w:pPr>
      <w:r w:rsidRPr="006E71C1">
        <w:rPr>
          <w:rFonts w:ascii="Arial" w:eastAsia="Arial" w:hAnsi="Arial" w:cs="Arial"/>
        </w:rPr>
        <w:t>Working through this report has clarified, for me, the practical difference between quantitative research, which measures things numerically, qualitative research, which explores people's experiences and views, and mixed-methods research, which blends the two; and why a quantitative design made sense for a study built around comparing confidence scores across groups. I have also come away with a firmer grasp of the distinction between primary data, gathered first-hand, and secondary data, which already exists elsewhere. Beyond this assignment, I think these are skills that will stay useful, both for reading research more critically in future modules and for thinking honestly about where my own digital skills could still improve.</w:t>
      </w:r>
    </w:p>
    <w:p w14:paraId="5B92B8CE" w14:textId="26C89F10" w:rsidR="006E71C1" w:rsidRDefault="006E71C1">
      <w:pPr>
        <w:rPr>
          <w:rFonts w:ascii="Arial" w:eastAsia="Arial" w:hAnsi="Arial" w:cs="Arial"/>
        </w:rPr>
      </w:pPr>
      <w:r>
        <w:rPr>
          <w:rFonts w:ascii="Arial" w:eastAsia="Arial" w:hAnsi="Arial" w:cs="Arial"/>
        </w:rPr>
        <w:br w:type="page"/>
      </w:r>
    </w:p>
    <w:p w14:paraId="798AF5B0" w14:textId="77777777" w:rsidR="006E71C1" w:rsidRPr="006E71C1" w:rsidRDefault="006E71C1" w:rsidP="006E71C1">
      <w:pPr>
        <w:jc w:val="both"/>
        <w:rPr>
          <w:rFonts w:ascii="Arial" w:eastAsia="Arial" w:hAnsi="Arial" w:cs="Arial"/>
        </w:rPr>
      </w:pPr>
    </w:p>
    <w:p w14:paraId="08CF6025" w14:textId="77777777" w:rsidR="006E71C1" w:rsidRPr="006E71C1" w:rsidRDefault="006E71C1" w:rsidP="006E71C1">
      <w:pPr>
        <w:pStyle w:val="Heading2"/>
      </w:pPr>
      <w:r w:rsidRPr="006E71C1">
        <w:t>References</w:t>
      </w:r>
    </w:p>
    <w:p w14:paraId="16A832C7" w14:textId="77777777" w:rsidR="006E71C1" w:rsidRPr="006E71C1" w:rsidRDefault="006E71C1" w:rsidP="006E71C1">
      <w:pPr>
        <w:jc w:val="both"/>
        <w:rPr>
          <w:rFonts w:ascii="Arial" w:eastAsia="Arial" w:hAnsi="Arial" w:cs="Arial"/>
        </w:rPr>
      </w:pPr>
      <w:r w:rsidRPr="006E71C1">
        <w:rPr>
          <w:rFonts w:ascii="Arial" w:eastAsia="Arial" w:hAnsi="Arial" w:cs="Arial"/>
        </w:rPr>
        <w:t>Booth, R.G., Strudwick, G., McBride, S., O'Connor, S. and Solano López, A.L. (2021) 'How the nursing profession should adapt for a digital future', British Medical Journal, 373, p. 1190.</w:t>
      </w:r>
    </w:p>
    <w:p w14:paraId="4DB0ACC5" w14:textId="77777777" w:rsidR="006E71C1" w:rsidRPr="006E71C1" w:rsidRDefault="006E71C1" w:rsidP="006E71C1">
      <w:pPr>
        <w:jc w:val="both"/>
        <w:rPr>
          <w:rFonts w:ascii="Arial" w:eastAsia="Arial" w:hAnsi="Arial" w:cs="Arial"/>
        </w:rPr>
      </w:pPr>
      <w:r w:rsidRPr="006E71C1">
        <w:rPr>
          <w:rFonts w:ascii="Arial" w:eastAsia="Arial" w:hAnsi="Arial" w:cs="Arial"/>
        </w:rPr>
        <w:t>Brice, S. and Almond, H. (2020) 'Health professional digital capabilities frameworks: A scoping review', Journal of Multidisciplinary Healthcare, 13, pp. 1375-1390.</w:t>
      </w:r>
    </w:p>
    <w:p w14:paraId="0DE0EF6A" w14:textId="77777777" w:rsidR="006E71C1" w:rsidRPr="006E71C1" w:rsidRDefault="006E71C1" w:rsidP="006E71C1">
      <w:pPr>
        <w:jc w:val="both"/>
        <w:rPr>
          <w:rFonts w:ascii="Arial" w:eastAsia="Arial" w:hAnsi="Arial" w:cs="Arial"/>
        </w:rPr>
      </w:pPr>
      <w:r w:rsidRPr="006E71C1">
        <w:rPr>
          <w:rFonts w:ascii="Arial" w:eastAsia="Arial" w:hAnsi="Arial" w:cs="Arial"/>
        </w:rPr>
        <w:t>Bryman, A. (2016) Social Research Methods. 5th edn. Oxford: Oxford University Press.</w:t>
      </w:r>
    </w:p>
    <w:p w14:paraId="094D73ED" w14:textId="77777777" w:rsidR="006E71C1" w:rsidRPr="006E71C1" w:rsidRDefault="006E71C1" w:rsidP="006E71C1">
      <w:pPr>
        <w:jc w:val="both"/>
        <w:rPr>
          <w:rFonts w:ascii="Arial" w:eastAsia="Arial" w:hAnsi="Arial" w:cs="Arial"/>
        </w:rPr>
      </w:pPr>
      <w:r w:rsidRPr="006E71C1">
        <w:rPr>
          <w:rFonts w:ascii="Arial" w:eastAsia="Arial" w:hAnsi="Arial" w:cs="Arial"/>
        </w:rPr>
        <w:t>Creswell, J.W. and Creswell, J.D. (2018) Research Design: Qualitative, Quantitative, and Mixed Methods Approaches. 5th edn. Thousand Oaks, CA: Sage.</w:t>
      </w:r>
    </w:p>
    <w:p w14:paraId="7B650A55" w14:textId="77777777" w:rsidR="006E71C1" w:rsidRPr="006E71C1" w:rsidRDefault="006E71C1" w:rsidP="006E71C1">
      <w:pPr>
        <w:jc w:val="both"/>
        <w:rPr>
          <w:rFonts w:ascii="Arial" w:eastAsia="Arial" w:hAnsi="Arial" w:cs="Arial"/>
        </w:rPr>
      </w:pPr>
      <w:r w:rsidRPr="006E71C1">
        <w:rPr>
          <w:rFonts w:ascii="Arial" w:eastAsia="Arial" w:hAnsi="Arial" w:cs="Arial"/>
        </w:rPr>
        <w:t>Martzoukou, K., Luders, E.S., Mair, J., Kostagiolas, P., Johnson, N., Work, F. and Fulton, C. (2024) 'A cross-sectional study of discipline-based self-perceived digital literacy competencies of nursing students', Journal of Advanced Nursing, 80, pp. 656-672.</w:t>
      </w:r>
    </w:p>
    <w:p w14:paraId="6E4A6AC4" w14:textId="77777777" w:rsidR="006E71C1" w:rsidRPr="006E71C1" w:rsidRDefault="006E71C1" w:rsidP="006E71C1">
      <w:pPr>
        <w:jc w:val="both"/>
        <w:rPr>
          <w:rFonts w:ascii="Arial" w:eastAsia="Arial" w:hAnsi="Arial" w:cs="Arial"/>
        </w:rPr>
      </w:pPr>
      <w:r w:rsidRPr="006E71C1">
        <w:rPr>
          <w:rFonts w:ascii="Arial" w:eastAsia="Arial" w:hAnsi="Arial" w:cs="Arial"/>
        </w:rPr>
        <w:t>Polit, D.F. and Beck, C.T. (2017) Nursing Research: Generating and Assessing Evidence for Nursing Practice. 10th edn. Philadelphia: Wolters Kluwer.</w:t>
      </w:r>
    </w:p>
    <w:p w14:paraId="569671EC" w14:textId="77777777" w:rsidR="006E71C1" w:rsidRDefault="006E71C1" w:rsidP="006E71C1">
      <w:pPr>
        <w:jc w:val="both"/>
        <w:rPr>
          <w:rFonts w:ascii="Arial" w:eastAsia="Arial" w:hAnsi="Arial" w:cs="Arial"/>
        </w:rPr>
      </w:pPr>
    </w:p>
    <w:sectPr w:rsidR="006E71C1"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86227" w14:textId="77777777" w:rsidR="00D17F1D" w:rsidRDefault="00D17F1D" w:rsidP="002A1842">
      <w:pPr>
        <w:spacing w:after="0" w:line="240" w:lineRule="auto"/>
      </w:pPr>
      <w:r>
        <w:separator/>
      </w:r>
    </w:p>
  </w:endnote>
  <w:endnote w:type="continuationSeparator" w:id="0">
    <w:p w14:paraId="6B46210C" w14:textId="77777777" w:rsidR="00D17F1D" w:rsidRDefault="00D17F1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C651F" w14:textId="77777777" w:rsidR="00D17F1D" w:rsidRDefault="00D17F1D" w:rsidP="002A1842">
      <w:pPr>
        <w:spacing w:after="0" w:line="240" w:lineRule="auto"/>
      </w:pPr>
      <w:r>
        <w:separator/>
      </w:r>
    </w:p>
  </w:footnote>
  <w:footnote w:type="continuationSeparator" w:id="0">
    <w:p w14:paraId="2CB237AC" w14:textId="77777777" w:rsidR="00D17F1D" w:rsidRDefault="00D17F1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E01AC"/>
    <w:rsid w:val="00104A4C"/>
    <w:rsid w:val="00172AD1"/>
    <w:rsid w:val="001813E7"/>
    <w:rsid w:val="00210D5A"/>
    <w:rsid w:val="00220537"/>
    <w:rsid w:val="002A1842"/>
    <w:rsid w:val="002A46BB"/>
    <w:rsid w:val="004468F8"/>
    <w:rsid w:val="004A3773"/>
    <w:rsid w:val="00516457"/>
    <w:rsid w:val="00530E16"/>
    <w:rsid w:val="006A30EE"/>
    <w:rsid w:val="006E71C1"/>
    <w:rsid w:val="00722EFE"/>
    <w:rsid w:val="007A2630"/>
    <w:rsid w:val="00A75B15"/>
    <w:rsid w:val="00AE06EA"/>
    <w:rsid w:val="00C87E2E"/>
    <w:rsid w:val="00CF650B"/>
    <w:rsid w:val="00D17F1D"/>
    <w:rsid w:val="00E10231"/>
    <w:rsid w:val="00E51260"/>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1877</Words>
  <Characters>10705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Bamidele Ayodele Idowu (2538823)</cp:lastModifiedBy>
  <cp:revision>7</cp:revision>
  <dcterms:created xsi:type="dcterms:W3CDTF">2026-08-03T12:24:00Z</dcterms:created>
  <dcterms:modified xsi:type="dcterms:W3CDTF">2026-08-03T12:28:00Z</dcterms:modified>
</cp:coreProperties>
</file>