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b w:val="1"/>
          <w:bCs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152400</wp:posOffset>
            </wp:positionV>
            <wp:extent cx="1809750" cy="723900"/>
            <wp:effectExtent b="0" l="0" r="0" t="0"/>
            <wp:wrapSquare wrapText="bothSides" distB="0" distT="0" distL="114300" distR="114300"/>
            <wp:docPr descr="Discover University of Wales Trinity Saint David" id="3"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after="240" w:before="240" w:lineRule="auto"/>
        <w:rPr>
          <w:b w:val="1"/>
          <w:bCs w:val="1"/>
        </w:rPr>
      </w:pPr>
      <w:r w:rsidDel="00000000" w:rsidR="00000000" w:rsidRPr="00000000">
        <w:rPr>
          <w:rtl w:val="0"/>
        </w:rPr>
      </w:r>
    </w:p>
    <w:p w:rsidR="00000000" w:rsidDel="00000000" w:rsidP="00000000" w:rsidRDefault="00000000" w:rsidRPr="00000000" w14:paraId="00000003">
      <w:pPr>
        <w:spacing w:after="240" w:before="240" w:lineRule="auto"/>
        <w:rPr>
          <w:b w:val="1"/>
          <w:bCs w:val="1"/>
        </w:rPr>
      </w:pPr>
      <w:r w:rsidDel="00000000" w:rsidR="00000000" w:rsidRPr="00000000">
        <w:rPr>
          <w:rtl w:val="0"/>
        </w:rPr>
      </w:r>
    </w:p>
    <w:p w:rsidR="00000000" w:rsidDel="00000000" w:rsidP="00000000" w:rsidRDefault="00000000" w:rsidRPr="00000000" w14:paraId="00000004">
      <w:pPr>
        <w:spacing w:after="240" w:before="240" w:lineRule="auto"/>
        <w:rPr>
          <w:sz w:val="26"/>
          <w:szCs w:val="26"/>
        </w:rPr>
      </w:pPr>
      <w:r w:rsidDel="00000000" w:rsidR="00000000" w:rsidRPr="00000000">
        <w:rPr>
          <w:b w:val="1"/>
          <w:bCs w:val="1"/>
          <w:sz w:val="26"/>
          <w:szCs w:val="26"/>
          <w:rtl w:val="0"/>
        </w:rPr>
        <w:t xml:space="preserve">Student name:</w:t>
      </w:r>
      <w:r w:rsidDel="00000000" w:rsidR="00000000" w:rsidRPr="00000000">
        <w:rPr>
          <w:sz w:val="26"/>
          <w:szCs w:val="26"/>
          <w:rtl w:val="0"/>
        </w:rPr>
        <w:t xml:space="preserve"> Hanna Elisha Ahmed</w:t>
        <w:br w:type="textWrapping"/>
      </w:r>
      <w:r w:rsidDel="00000000" w:rsidR="00000000" w:rsidRPr="00000000">
        <w:rPr>
          <w:b w:val="1"/>
          <w:bCs w:val="1"/>
          <w:sz w:val="26"/>
          <w:szCs w:val="26"/>
          <w:rtl w:val="0"/>
        </w:rPr>
        <w:t xml:space="preserve">Student ID:</w:t>
      </w:r>
      <w:r w:rsidDel="00000000" w:rsidR="00000000" w:rsidRPr="00000000">
        <w:rPr>
          <w:sz w:val="26"/>
          <w:szCs w:val="26"/>
          <w:rtl w:val="0"/>
        </w:rPr>
        <w:t xml:space="preserve"> 2418837</w:t>
      </w:r>
    </w:p>
    <w:p w:rsidR="00000000" w:rsidDel="00000000" w:rsidP="00000000" w:rsidRDefault="00000000" w:rsidRPr="00000000" w14:paraId="00000005">
      <w:pPr>
        <w:spacing w:after="240" w:before="240" w:lineRule="auto"/>
        <w:rPr>
          <w:sz w:val="26"/>
          <w:szCs w:val="26"/>
        </w:rPr>
      </w:pPr>
      <w:r w:rsidDel="00000000" w:rsidR="00000000" w:rsidRPr="00000000">
        <w:rPr>
          <w:b w:val="1"/>
          <w:bCs w:val="1"/>
          <w:sz w:val="26"/>
          <w:szCs w:val="26"/>
          <w:rtl w:val="0"/>
        </w:rPr>
        <w:t xml:space="preserve">Module name:</w:t>
      </w:r>
      <w:r w:rsidDel="00000000" w:rsidR="00000000" w:rsidRPr="00000000">
        <w:rPr>
          <w:sz w:val="26"/>
          <w:szCs w:val="26"/>
          <w:rtl w:val="0"/>
        </w:rPr>
        <w:t xml:space="preserve"> Introduction to Physiology</w:t>
        <w:br w:type="textWrapping"/>
      </w:r>
      <w:r w:rsidDel="00000000" w:rsidR="00000000" w:rsidRPr="00000000">
        <w:rPr>
          <w:b w:val="1"/>
          <w:bCs w:val="1"/>
          <w:sz w:val="26"/>
          <w:szCs w:val="26"/>
          <w:rtl w:val="0"/>
        </w:rPr>
        <w:t xml:space="preserve">Module code:</w:t>
      </w:r>
      <w:r w:rsidDel="00000000" w:rsidR="00000000" w:rsidRPr="00000000">
        <w:rPr>
          <w:sz w:val="26"/>
          <w:szCs w:val="26"/>
          <w:rtl w:val="0"/>
        </w:rPr>
        <w:t xml:space="preserve"> BMHP5023</w:t>
        <w:br w:type="textWrapping"/>
      </w:r>
      <w:r w:rsidDel="00000000" w:rsidR="00000000" w:rsidRPr="00000000">
        <w:rPr>
          <w:b w:val="1"/>
          <w:bCs w:val="1"/>
          <w:sz w:val="26"/>
          <w:szCs w:val="26"/>
          <w:rtl w:val="0"/>
        </w:rPr>
        <w:t xml:space="preserve">Lecturer name:</w:t>
      </w:r>
      <w:r w:rsidDel="00000000" w:rsidR="00000000" w:rsidRPr="00000000">
        <w:rPr>
          <w:sz w:val="26"/>
          <w:szCs w:val="26"/>
          <w:rtl w:val="0"/>
        </w:rPr>
        <w:t xml:space="preserve"> Dr Soban Sadiq</w:t>
      </w:r>
    </w:p>
    <w:p w:rsidR="00000000" w:rsidDel="00000000" w:rsidP="00000000" w:rsidRDefault="00000000" w:rsidRPr="00000000" w14:paraId="00000006">
      <w:pPr>
        <w:spacing w:after="240" w:before="240" w:lineRule="auto"/>
        <w:rPr>
          <w:sz w:val="28"/>
          <w:szCs w:val="28"/>
        </w:rPr>
      </w:pPr>
      <w:r w:rsidDel="00000000" w:rsidR="00000000" w:rsidRPr="00000000">
        <w:rPr>
          <w:b w:val="1"/>
          <w:bCs w:val="1"/>
          <w:sz w:val="28"/>
          <w:szCs w:val="28"/>
          <w:rtl w:val="0"/>
        </w:rPr>
        <w:t xml:space="preserve">Assessment:</w:t>
      </w:r>
      <w:r w:rsidDel="00000000" w:rsidR="00000000" w:rsidRPr="00000000">
        <w:rPr>
          <w:sz w:val="28"/>
          <w:szCs w:val="28"/>
          <w:rtl w:val="0"/>
        </w:rPr>
        <w:t xml:space="preserve"> Component 1: Written Assignment (Case Study Report)</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keepNext w:val="0"/>
        <w:keepLines w:val="0"/>
        <w:spacing w:before="480" w:line="360" w:lineRule="auto"/>
        <w:rPr>
          <w:b w:val="1"/>
          <w:bCs w:val="1"/>
          <w:sz w:val="24"/>
          <w:szCs w:val="24"/>
        </w:rPr>
      </w:pPr>
      <w:bookmarkStart w:colFirst="0" w:colLast="0" w:name="_u3igk2m9uqv8" w:id="0"/>
      <w:bookmarkEnd w:id="0"/>
      <w:r w:rsidDel="00000000" w:rsidR="00000000" w:rsidRPr="00000000">
        <w:rPr>
          <w:rtl w:val="0"/>
        </w:rPr>
      </w:r>
    </w:p>
    <w:p w:rsidR="00000000" w:rsidDel="00000000" w:rsidP="00000000" w:rsidRDefault="00000000" w:rsidRPr="00000000" w14:paraId="00000024">
      <w:pPr>
        <w:pStyle w:val="Heading1"/>
        <w:keepNext w:val="0"/>
        <w:keepLines w:val="0"/>
        <w:spacing w:before="480" w:line="360" w:lineRule="auto"/>
        <w:rPr>
          <w:b w:val="1"/>
          <w:bCs w:val="1"/>
          <w:sz w:val="24"/>
          <w:szCs w:val="24"/>
        </w:rPr>
      </w:pPr>
      <w:bookmarkStart w:colFirst="0" w:colLast="0" w:name="_zcxm2a7lqmpl" w:id="1"/>
      <w:bookmarkEnd w:id="1"/>
      <w:r w:rsidDel="00000000" w:rsidR="00000000" w:rsidRPr="00000000">
        <w:rPr>
          <w:b w:val="1"/>
          <w:bCs w:val="1"/>
          <w:sz w:val="24"/>
          <w:szCs w:val="24"/>
          <w:rtl w:val="0"/>
        </w:rPr>
        <w:t xml:space="preserve">Type 2 Diabetes: Understanding, Management &amp; Lifestyle Impact</w:t>
      </w:r>
    </w:p>
    <w:p w:rsidR="00000000" w:rsidDel="00000000" w:rsidP="00000000" w:rsidRDefault="00000000" w:rsidRPr="00000000" w14:paraId="00000025">
      <w:pPr>
        <w:spacing w:after="240" w:before="240" w:line="360" w:lineRule="auto"/>
        <w:rPr>
          <w:sz w:val="24"/>
          <w:szCs w:val="24"/>
        </w:rPr>
      </w:pPr>
      <w:r w:rsidDel="00000000" w:rsidR="00000000" w:rsidRPr="00000000">
        <w:rPr>
          <w:sz w:val="24"/>
          <w:szCs w:val="24"/>
          <w:rtl w:val="0"/>
        </w:rPr>
        <w:t xml:space="preserve">Diabetes mellitus is a chronic condition in which blood sugar levels remain elevated because the body either does not produce enough insulin or cannot use it effectively (ADA, 2023). The most common form, Type 2 diabetes (T2D), accounts for 90–95% of all diabetes cases and is increasingly diagnosed in younger individuals, largely due to rising obesity and sedentary lifestyles (IDF, 2022). T2D occurs when the muscles, liver, and fat tissues stop responding properly to insulin, leading to reduced glucose uptake from the blood. Initially, the pancreas compensates by producing more insulin, but over time, this is no longer sufficient, and high blood sugar persists (DeFronzo, 2022).</w:t>
      </w:r>
    </w:p>
    <w:p w:rsidR="00000000" w:rsidDel="00000000" w:rsidP="00000000" w:rsidRDefault="00000000" w:rsidRPr="00000000" w14:paraId="00000026">
      <w:pPr>
        <w:spacing w:after="240" w:before="240" w:line="360" w:lineRule="auto"/>
        <w:rPr>
          <w:b w:val="1"/>
          <w:bCs w:val="1"/>
          <w:sz w:val="24"/>
          <w:szCs w:val="24"/>
        </w:rPr>
      </w:pPr>
      <w:r w:rsidDel="00000000" w:rsidR="00000000" w:rsidRPr="00000000">
        <w:rPr>
          <w:b w:val="1"/>
          <w:bCs w:val="1"/>
          <w:sz w:val="24"/>
          <w:szCs w:val="24"/>
          <w:rtl w:val="0"/>
        </w:rPr>
        <w:t xml:space="preserve">Risk factors include:</w:t>
      </w:r>
    </w:p>
    <w:p w:rsidR="00000000" w:rsidDel="00000000" w:rsidP="00000000" w:rsidRDefault="00000000" w:rsidRPr="00000000" w14:paraId="00000027">
      <w:pPr>
        <w:numPr>
          <w:ilvl w:val="0"/>
          <w:numId w:val="1"/>
        </w:numPr>
        <w:spacing w:after="0" w:afterAutospacing="0" w:before="240" w:line="360" w:lineRule="auto"/>
        <w:ind w:left="720" w:hanging="360"/>
        <w:rPr>
          <w:sz w:val="24"/>
          <w:szCs w:val="24"/>
        </w:rPr>
      </w:pPr>
      <w:r w:rsidDel="00000000" w:rsidR="00000000" w:rsidRPr="00000000">
        <w:rPr>
          <w:b w:val="1"/>
          <w:bCs w:val="1"/>
          <w:sz w:val="24"/>
          <w:szCs w:val="24"/>
          <w:rtl w:val="0"/>
        </w:rPr>
        <w:t xml:space="preserve">Obesity &amp; physical inactivity:</w:t>
      </w:r>
      <w:r w:rsidDel="00000000" w:rsidR="00000000" w:rsidRPr="00000000">
        <w:rPr>
          <w:sz w:val="24"/>
          <w:szCs w:val="24"/>
          <w:rtl w:val="0"/>
        </w:rPr>
        <w:t xml:space="preserve"> Excess fat releases inflammatory molecules that impair insulin signaling, and inactivity reduces muscle glucose uptake (Colberg et al., 2022).</w:t>
      </w:r>
    </w:p>
    <w:p w:rsidR="00000000" w:rsidDel="00000000" w:rsidP="00000000" w:rsidRDefault="00000000" w:rsidRPr="00000000" w14:paraId="00000028">
      <w:pPr>
        <w:numPr>
          <w:ilvl w:val="0"/>
          <w:numId w:val="1"/>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Poor diet:</w:t>
      </w:r>
      <w:r w:rsidDel="00000000" w:rsidR="00000000" w:rsidRPr="00000000">
        <w:rPr>
          <w:sz w:val="24"/>
          <w:szCs w:val="24"/>
          <w:rtl w:val="0"/>
        </w:rPr>
        <w:t xml:space="preserve"> Diets high in refined carbohydrates and sugar cause repeated blood glucose spikes, increasing insulin demand (Hu et al., 2021).</w:t>
      </w:r>
    </w:p>
    <w:p w:rsidR="00000000" w:rsidDel="00000000" w:rsidP="00000000" w:rsidRDefault="00000000" w:rsidRPr="00000000" w14:paraId="00000029">
      <w:pPr>
        <w:numPr>
          <w:ilvl w:val="0"/>
          <w:numId w:val="1"/>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Ageing:</w:t>
      </w:r>
      <w:r w:rsidDel="00000000" w:rsidR="00000000" w:rsidRPr="00000000">
        <w:rPr>
          <w:sz w:val="24"/>
          <w:szCs w:val="24"/>
          <w:rtl w:val="0"/>
        </w:rPr>
        <w:t xml:space="preserve"> Insulin sensitivity declines naturally with age due to reduced muscle mass and slower mitochondrial function (DeFronzo, 2022).</w:t>
      </w:r>
    </w:p>
    <w:p w:rsidR="00000000" w:rsidDel="00000000" w:rsidP="00000000" w:rsidRDefault="00000000" w:rsidRPr="00000000" w14:paraId="0000002A">
      <w:pPr>
        <w:numPr>
          <w:ilvl w:val="0"/>
          <w:numId w:val="1"/>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Genetics &amp; family history:</w:t>
      </w:r>
      <w:r w:rsidDel="00000000" w:rsidR="00000000" w:rsidRPr="00000000">
        <w:rPr>
          <w:sz w:val="24"/>
          <w:szCs w:val="24"/>
          <w:rtl w:val="0"/>
        </w:rPr>
        <w:t xml:space="preserve"> Specific gene variants increase the risk of insulin resistance and beta-cell dysfunction (Muoio &amp; Newgard, 2022).</w:t>
      </w:r>
    </w:p>
    <w:p w:rsidR="00000000" w:rsidDel="00000000" w:rsidP="00000000" w:rsidRDefault="00000000" w:rsidRPr="00000000" w14:paraId="0000002B">
      <w:pPr>
        <w:numPr>
          <w:ilvl w:val="0"/>
          <w:numId w:val="1"/>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Smoking &amp; alcohol consumption:</w:t>
      </w:r>
      <w:r w:rsidDel="00000000" w:rsidR="00000000" w:rsidRPr="00000000">
        <w:rPr>
          <w:sz w:val="24"/>
          <w:szCs w:val="24"/>
          <w:rtl w:val="0"/>
        </w:rPr>
        <w:t xml:space="preserve"> Both worsen oxidative stress and vascular damage, which can exacerbate insulin resistance (Will et al., 2021).</w:t>
      </w:r>
    </w:p>
    <w:p w:rsidR="00000000" w:rsidDel="00000000" w:rsidP="00000000" w:rsidRDefault="00000000" w:rsidRPr="00000000" w14:paraId="0000002C">
      <w:pPr>
        <w:spacing w:after="240" w:before="240" w:line="360" w:lineRule="auto"/>
        <w:rPr>
          <w:sz w:val="24"/>
          <w:szCs w:val="24"/>
        </w:rPr>
      </w:pPr>
      <w:r w:rsidDel="00000000" w:rsidR="00000000" w:rsidRPr="00000000">
        <w:rPr>
          <w:sz w:val="24"/>
          <w:szCs w:val="24"/>
          <w:rtl w:val="0"/>
        </w:rPr>
        <w:t xml:space="preserve">Understanding these factors helps patients appreciate how lifestyle changes, monitoring, and treatment can reduce complications and improve quality of life.</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pStyle w:val="Heading2"/>
        <w:keepNext w:val="0"/>
        <w:keepLines w:val="0"/>
        <w:spacing w:after="80" w:line="360" w:lineRule="auto"/>
        <w:rPr>
          <w:b w:val="1"/>
          <w:bCs w:val="1"/>
          <w:sz w:val="24"/>
          <w:szCs w:val="24"/>
        </w:rPr>
      </w:pPr>
      <w:bookmarkStart w:colFirst="0" w:colLast="0" w:name="_vhd0j46cm2ql" w:id="2"/>
      <w:bookmarkEnd w:id="2"/>
      <w:r w:rsidDel="00000000" w:rsidR="00000000" w:rsidRPr="00000000">
        <w:rPr>
          <w:b w:val="1"/>
          <w:bCs w:val="1"/>
          <w:sz w:val="24"/>
          <w:szCs w:val="24"/>
          <w:rtl w:val="0"/>
        </w:rPr>
        <w:t xml:space="preserve">2) How Blood Sugar Levels Are Maintained</w:t>
      </w:r>
    </w:p>
    <w:p w:rsidR="00000000" w:rsidDel="00000000" w:rsidP="00000000" w:rsidRDefault="00000000" w:rsidRPr="00000000" w14:paraId="0000002F">
      <w:pPr>
        <w:spacing w:after="240" w:before="240" w:line="360" w:lineRule="auto"/>
        <w:rPr>
          <w:sz w:val="24"/>
          <w:szCs w:val="24"/>
        </w:rPr>
      </w:pPr>
      <w:r w:rsidDel="00000000" w:rsidR="00000000" w:rsidRPr="00000000">
        <w:rPr>
          <w:sz w:val="24"/>
          <w:szCs w:val="24"/>
          <w:rtl w:val="0"/>
        </w:rPr>
        <w:t xml:space="preserve">Keeping blood glucose within a healthy range is essential. Normal fasting blood glucose for adults is roughly 70–100 mg/dL (ADA, 2023).</w:t>
      </w:r>
    </w:p>
    <w:p w:rsidR="00000000" w:rsidDel="00000000" w:rsidP="00000000" w:rsidRDefault="00000000" w:rsidRPr="00000000" w14:paraId="00000030">
      <w:pPr>
        <w:spacing w:after="240" w:before="240" w:line="360" w:lineRule="auto"/>
        <w:rPr>
          <w:sz w:val="24"/>
          <w:szCs w:val="24"/>
        </w:rPr>
      </w:pPr>
      <w:r w:rsidDel="00000000" w:rsidR="00000000" w:rsidRPr="00000000">
        <w:rPr>
          <w:sz w:val="24"/>
          <w:szCs w:val="24"/>
          <w:rtl w:val="0"/>
        </w:rPr>
        <w:t xml:space="preserve">The pancreas monitors glucose levels through clusters of endocrine cells called the islets of Langerhans. Beta cells release insulin when glucose rises, helping muscles and fat absorb glucose via GLUT4 transporters and storing excess glucose in the liver as glycogen (Marathe et al., 2017; ADA, 2023). Conversely, alpha cells release glucagon when glucose drops, triggering glycogen breakdown and glucose production from other sources (Marathe et al., 2017).</w:t>
      </w:r>
    </w:p>
    <w:p w:rsidR="00000000" w:rsidDel="00000000" w:rsidP="00000000" w:rsidRDefault="00000000" w:rsidRPr="00000000" w14:paraId="00000031">
      <w:pPr>
        <w:spacing w:after="240" w:before="240" w:line="360" w:lineRule="auto"/>
        <w:rPr>
          <w:sz w:val="24"/>
          <w:szCs w:val="24"/>
        </w:rPr>
      </w:pPr>
      <w:r w:rsidDel="00000000" w:rsidR="00000000" w:rsidRPr="00000000">
        <w:rPr>
          <w:sz w:val="24"/>
          <w:szCs w:val="24"/>
          <w:rtl w:val="0"/>
        </w:rPr>
        <w:t xml:space="preserve">This negative feedback system ensures that blood sugar remains within a safe range: high glucose triggers insulin, low glucose triggers glucagon.</w:t>
      </w:r>
    </w:p>
    <w:p w:rsidR="00000000" w:rsidDel="00000000" w:rsidP="00000000" w:rsidRDefault="00000000" w:rsidRPr="00000000" w14:paraId="00000032">
      <w:pPr>
        <w:spacing w:after="240" w:before="240" w:line="360" w:lineRule="auto"/>
        <w:rPr>
          <w:sz w:val="24"/>
          <w:szCs w:val="24"/>
        </w:rPr>
      </w:pPr>
      <w:r w:rsidDel="00000000" w:rsidR="00000000" w:rsidRPr="00000000">
        <w:rPr>
          <w:sz w:val="24"/>
          <w:szCs w:val="24"/>
        </w:rPr>
        <w:drawing>
          <wp:inline distB="114300" distT="114300" distL="114300" distR="114300">
            <wp:extent cx="4305300" cy="2545100"/>
            <wp:effectExtent b="0" l="0" r="0" t="0"/>
            <wp:docPr id="1"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305300" cy="2545100"/>
                    </a:xfrm>
                    <a:prstGeom prst="rect"/>
                    <a:ln/>
                  </pic:spPr>
                </pic:pic>
              </a:graphicData>
            </a:graphic>
          </wp:inline>
        </w:drawing>
      </w:r>
      <w:r w:rsidDel="00000000" w:rsidR="00000000" w:rsidRPr="00000000">
        <w:rPr>
          <w:b w:val="1"/>
          <w:bCs w:val="1"/>
          <w:sz w:val="24"/>
          <w:szCs w:val="24"/>
          <w:rtl w:val="0"/>
        </w:rPr>
        <w:br w:type="textWrapping"/>
      </w:r>
      <w:r w:rsidDel="00000000" w:rsidR="00000000" w:rsidRPr="00000000">
        <w:rPr>
          <w:sz w:val="24"/>
          <w:szCs w:val="24"/>
          <w:rtl w:val="0"/>
        </w:rPr>
        <w:t xml:space="preserve">Figure 1: Regulation of blood glucose by insulin and glucagon (OpenStax, 2023).</w:t>
        <w:br w:type="textWrapping"/>
        <w:t xml:space="preserve">Source: OpenStax, 2026.</w:t>
      </w:r>
    </w:p>
    <w:p w:rsidR="00000000" w:rsidDel="00000000" w:rsidP="00000000" w:rsidRDefault="00000000" w:rsidRPr="00000000" w14:paraId="00000033">
      <w:pPr>
        <w:spacing w:after="240" w:before="240" w:line="360" w:lineRule="auto"/>
        <w:rPr>
          <w:sz w:val="24"/>
          <w:szCs w:val="24"/>
        </w:rPr>
      </w:pPr>
      <w:r w:rsidDel="00000000" w:rsidR="00000000" w:rsidRPr="00000000">
        <w:rPr>
          <w:sz w:val="24"/>
          <w:szCs w:val="24"/>
          <w:rtl w:val="0"/>
        </w:rPr>
        <w:t xml:space="preserve">In T2D, muscle and fat tissues become resistant to insulin, and the pancreas cannot produce enough insulin to compensate. Chronic hyperglycemia gradually damages blood vessels, kidneys, nerves, and increases the risk of cardiovascular disease (DeFronzo, 2022; ADA, 2023).</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pStyle w:val="Heading2"/>
        <w:keepNext w:val="0"/>
        <w:keepLines w:val="0"/>
        <w:spacing w:after="80" w:line="360" w:lineRule="auto"/>
        <w:rPr>
          <w:b w:val="1"/>
          <w:bCs w:val="1"/>
          <w:sz w:val="24"/>
          <w:szCs w:val="24"/>
        </w:rPr>
      </w:pPr>
      <w:bookmarkStart w:colFirst="0" w:colLast="0" w:name="_fmw9m6buc7eg" w:id="3"/>
      <w:bookmarkEnd w:id="3"/>
      <w:r w:rsidDel="00000000" w:rsidR="00000000" w:rsidRPr="00000000">
        <w:rPr>
          <w:b w:val="1"/>
          <w:bCs w:val="1"/>
          <w:sz w:val="24"/>
          <w:szCs w:val="24"/>
          <w:rtl w:val="0"/>
        </w:rPr>
        <w:t xml:space="preserve">3) How Oxygen and Glucose Produce Energy (Cell Metabolism)</w:t>
      </w:r>
    </w:p>
    <w:p w:rsidR="00000000" w:rsidDel="00000000" w:rsidP="00000000" w:rsidRDefault="00000000" w:rsidRPr="00000000" w14:paraId="00000036">
      <w:pPr>
        <w:spacing w:after="240" w:before="240" w:line="360" w:lineRule="auto"/>
        <w:rPr>
          <w:sz w:val="24"/>
          <w:szCs w:val="24"/>
        </w:rPr>
      </w:pPr>
      <w:r w:rsidDel="00000000" w:rsidR="00000000" w:rsidRPr="00000000">
        <w:rPr>
          <w:sz w:val="24"/>
          <w:szCs w:val="24"/>
          <w:rtl w:val="0"/>
        </w:rPr>
        <w:t xml:space="preserve">Cells rely on glucose for energy, and oxygen is needed to efficiently extract that energy. Cellular respiration occurs in three main stages:</w:t>
      </w:r>
    </w:p>
    <w:p w:rsidR="00000000" w:rsidDel="00000000" w:rsidP="00000000" w:rsidRDefault="00000000" w:rsidRPr="00000000" w14:paraId="00000037">
      <w:pPr>
        <w:numPr>
          <w:ilvl w:val="0"/>
          <w:numId w:val="2"/>
        </w:numPr>
        <w:spacing w:after="0" w:afterAutospacing="0" w:before="240" w:line="360" w:lineRule="auto"/>
        <w:ind w:left="720" w:hanging="360"/>
        <w:rPr>
          <w:sz w:val="24"/>
          <w:szCs w:val="24"/>
        </w:rPr>
      </w:pPr>
      <w:r w:rsidDel="00000000" w:rsidR="00000000" w:rsidRPr="00000000">
        <w:rPr>
          <w:b w:val="1"/>
          <w:bCs w:val="1"/>
          <w:sz w:val="24"/>
          <w:szCs w:val="24"/>
          <w:rtl w:val="0"/>
        </w:rPr>
        <w:t xml:space="preserve">Glycolysis:</w:t>
      </w:r>
      <w:r w:rsidDel="00000000" w:rsidR="00000000" w:rsidRPr="00000000">
        <w:rPr>
          <w:sz w:val="24"/>
          <w:szCs w:val="24"/>
          <w:rtl w:val="0"/>
        </w:rPr>
        <w:t xml:space="preserve"> Glucose is broken down into pyruvate in the cytoplasm, producing a small amount of ATP.</w:t>
      </w:r>
    </w:p>
    <w:p w:rsidR="00000000" w:rsidDel="00000000" w:rsidP="00000000" w:rsidRDefault="00000000" w:rsidRPr="00000000" w14:paraId="00000038">
      <w:pPr>
        <w:numPr>
          <w:ilvl w:val="0"/>
          <w:numId w:val="2"/>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Citric Acid Cycle:</w:t>
      </w:r>
      <w:r w:rsidDel="00000000" w:rsidR="00000000" w:rsidRPr="00000000">
        <w:rPr>
          <w:sz w:val="24"/>
          <w:szCs w:val="24"/>
          <w:rtl w:val="0"/>
        </w:rPr>
        <w:t xml:space="preserve"> Pyruvate enters mitochondria, generating NADH and FADH₂.</w:t>
      </w:r>
    </w:p>
    <w:p w:rsidR="00000000" w:rsidDel="00000000" w:rsidP="00000000" w:rsidRDefault="00000000" w:rsidRPr="00000000" w14:paraId="00000039">
      <w:pPr>
        <w:numPr>
          <w:ilvl w:val="0"/>
          <w:numId w:val="2"/>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Electron Transport Chain:</w:t>
      </w:r>
      <w:r w:rsidDel="00000000" w:rsidR="00000000" w:rsidRPr="00000000">
        <w:rPr>
          <w:sz w:val="24"/>
          <w:szCs w:val="24"/>
          <w:rtl w:val="0"/>
        </w:rPr>
        <w:t xml:space="preserve"> Oxygen accepts electrons at the end of the chain, producing most of the ATP.</w:t>
      </w:r>
    </w:p>
    <w:p w:rsidR="00000000" w:rsidDel="00000000" w:rsidP="00000000" w:rsidRDefault="00000000" w:rsidRPr="00000000" w14:paraId="0000003A">
      <w:pPr>
        <w:spacing w:after="240" w:before="240" w:line="360" w:lineRule="auto"/>
        <w:rPr>
          <w:sz w:val="24"/>
          <w:szCs w:val="24"/>
        </w:rPr>
      </w:pPr>
      <w:r w:rsidDel="00000000" w:rsidR="00000000" w:rsidRPr="00000000">
        <w:rPr>
          <w:i w:val="1"/>
          <w:iCs w:val="1"/>
          <w:sz w:val="24"/>
          <w:szCs w:val="24"/>
        </w:rPr>
        <w:drawing>
          <wp:inline distB="114300" distT="114300" distL="114300" distR="114300">
            <wp:extent cx="4981575" cy="2414588"/>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981575" cy="2414588"/>
                    </a:xfrm>
                    <a:prstGeom prst="rect"/>
                    <a:ln/>
                  </pic:spPr>
                </pic:pic>
              </a:graphicData>
            </a:graphic>
          </wp:inline>
        </w:drawing>
      </w:r>
      <w:r w:rsidDel="00000000" w:rsidR="00000000" w:rsidRPr="00000000">
        <w:rPr>
          <w:b w:val="1"/>
          <w:bCs w:val="1"/>
          <w:sz w:val="24"/>
          <w:szCs w:val="24"/>
          <w:rtl w:val="0"/>
        </w:rPr>
        <w:br w:type="textWrapping"/>
      </w:r>
      <w:r w:rsidDel="00000000" w:rsidR="00000000" w:rsidRPr="00000000">
        <w:rPr>
          <w:sz w:val="24"/>
          <w:szCs w:val="24"/>
          <w:rtl w:val="0"/>
        </w:rPr>
        <w:t xml:space="preserve">Figure 2: Stages of cellular respiration including glycolysis, the citric acid cycle, and the electron transport chain (Marieb &amp; Hoehn, 2022).</w:t>
        <w:br w:type="textWrapping"/>
        <w:t xml:space="preserve">Source: Marieb &amp; Hoehn, 2026.</w:t>
      </w:r>
    </w:p>
    <w:p w:rsidR="00000000" w:rsidDel="00000000" w:rsidP="00000000" w:rsidRDefault="00000000" w:rsidRPr="00000000" w14:paraId="0000003B">
      <w:pPr>
        <w:spacing w:after="240" w:before="240" w:line="360" w:lineRule="auto"/>
        <w:rPr>
          <w:sz w:val="24"/>
          <w:szCs w:val="24"/>
        </w:rPr>
      </w:pPr>
      <w:r w:rsidDel="00000000" w:rsidR="00000000" w:rsidRPr="00000000">
        <w:rPr>
          <w:sz w:val="24"/>
          <w:szCs w:val="24"/>
          <w:rtl w:val="0"/>
        </w:rPr>
        <w:t xml:space="preserve">Organs such as the brain and heart depend heavily on aerobic metabolism, so adequate oxygen and glucose are critical (Marieb &amp; Hoehn, 2022). In T2D, limited glucose uptake forces cells to rely on fat for energy, generating potentially harmful by-products like ketones (PMC, 2023).</w:t>
      </w:r>
    </w:p>
    <w:p w:rsidR="00000000" w:rsidDel="00000000" w:rsidP="00000000" w:rsidRDefault="00000000" w:rsidRPr="00000000" w14:paraId="0000003C">
      <w:pPr>
        <w:spacing w:line="360" w:lineRule="auto"/>
        <w:rPr>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pStyle w:val="Heading2"/>
        <w:keepNext w:val="0"/>
        <w:keepLines w:val="0"/>
        <w:spacing w:after="80" w:line="360" w:lineRule="auto"/>
        <w:rPr>
          <w:b w:val="1"/>
          <w:bCs w:val="1"/>
          <w:sz w:val="24"/>
          <w:szCs w:val="24"/>
        </w:rPr>
      </w:pPr>
      <w:bookmarkStart w:colFirst="0" w:colLast="0" w:name="_omm3c131b64c" w:id="4"/>
      <w:bookmarkEnd w:id="4"/>
      <w:r w:rsidDel="00000000" w:rsidR="00000000" w:rsidRPr="00000000">
        <w:rPr>
          <w:b w:val="1"/>
          <w:bCs w:val="1"/>
          <w:sz w:val="24"/>
          <w:szCs w:val="24"/>
          <w:rtl w:val="0"/>
        </w:rPr>
        <w:t xml:space="preserve">4) Tracking Blood Sugar in Type 2 Diabetes</w:t>
      </w:r>
    </w:p>
    <w:p w:rsidR="00000000" w:rsidDel="00000000" w:rsidP="00000000" w:rsidRDefault="00000000" w:rsidRPr="00000000" w14:paraId="0000003E">
      <w:pPr>
        <w:spacing w:after="240" w:before="240" w:line="360" w:lineRule="auto"/>
        <w:rPr>
          <w:sz w:val="24"/>
          <w:szCs w:val="24"/>
        </w:rPr>
      </w:pPr>
      <w:r w:rsidDel="00000000" w:rsidR="00000000" w:rsidRPr="00000000">
        <w:rPr>
          <w:sz w:val="24"/>
          <w:szCs w:val="24"/>
          <w:rtl w:val="0"/>
        </w:rPr>
        <w:t xml:space="preserve">Monitoring blood glucose is crucial for safely managing T2D. Finger-prick tests and Continuous Glucose Monitors (CGMs) provide real-time trends that inform treatment decisions. HbA1c testing gives an overall picture of average glucose over 2–3 months, allowing healthcare professionals to assess long-term control (ADA, 2023).</w:t>
      </w:r>
    </w:p>
    <w:p w:rsidR="00000000" w:rsidDel="00000000" w:rsidP="00000000" w:rsidRDefault="00000000" w:rsidRPr="00000000" w14:paraId="0000003F">
      <w:pPr>
        <w:spacing w:after="240" w:before="240" w:line="360" w:lineRule="auto"/>
        <w:rPr>
          <w:sz w:val="24"/>
          <w:szCs w:val="24"/>
        </w:rPr>
      </w:pPr>
      <w:r w:rsidDel="00000000" w:rsidR="00000000" w:rsidRPr="00000000">
        <w:rPr>
          <w:sz w:val="24"/>
          <w:szCs w:val="24"/>
          <w:rtl w:val="0"/>
        </w:rPr>
        <w:t xml:space="preserve">Continuous monitoring can detect patterns such as post-meal spikes, nocturnal highs, or responses to exercise, enabling more precise adjustments to medication and lifestyle (ADA, 2023).</w:t>
      </w:r>
    </w:p>
    <w:p w:rsidR="00000000" w:rsidDel="00000000" w:rsidP="00000000" w:rsidRDefault="00000000" w:rsidRPr="00000000" w14:paraId="00000040">
      <w:pPr>
        <w:spacing w:after="240" w:before="240" w:line="360" w:lineRule="auto"/>
        <w:rPr>
          <w:sz w:val="24"/>
          <w:szCs w:val="24"/>
        </w:rPr>
      </w:pPr>
      <w:r w:rsidDel="00000000" w:rsidR="00000000" w:rsidRPr="00000000">
        <w:rPr>
          <w:sz w:val="24"/>
          <w:szCs w:val="24"/>
        </w:rPr>
        <w:drawing>
          <wp:inline distB="114300" distT="114300" distL="114300" distR="114300">
            <wp:extent cx="4667250" cy="2681288"/>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4667250" cy="2681288"/>
                    </a:xfrm>
                    <a:prstGeom prst="rect"/>
                    <a:ln/>
                  </pic:spPr>
                </pic:pic>
              </a:graphicData>
            </a:graphic>
          </wp:inline>
        </w:drawing>
      </w:r>
      <w:r w:rsidDel="00000000" w:rsidR="00000000" w:rsidRPr="00000000">
        <w:rPr>
          <w:b w:val="1"/>
          <w:bCs w:val="1"/>
          <w:sz w:val="24"/>
          <w:szCs w:val="24"/>
          <w:rtl w:val="0"/>
        </w:rPr>
        <w:br w:type="textWrapping"/>
      </w:r>
      <w:r w:rsidDel="00000000" w:rsidR="00000000" w:rsidRPr="00000000">
        <w:rPr>
          <w:sz w:val="24"/>
          <w:szCs w:val="24"/>
          <w:rtl w:val="0"/>
        </w:rPr>
        <w:t xml:space="preserve">Figure 3: Continuous glucose monitoring system used to track blood glucose levels in real time (ADA, 2023).</w:t>
        <w:br w:type="textWrapping"/>
        <w:t xml:space="preserve">Source: ADA, 2026.</w:t>
      </w:r>
    </w:p>
    <w:p w:rsidR="00000000" w:rsidDel="00000000" w:rsidP="00000000" w:rsidRDefault="00000000" w:rsidRPr="00000000" w14:paraId="00000041">
      <w:pPr>
        <w:spacing w:after="240" w:before="240" w:line="360" w:lineRule="auto"/>
        <w:rPr>
          <w:sz w:val="24"/>
          <w:szCs w:val="24"/>
        </w:rPr>
      </w:pPr>
      <w:r w:rsidDel="00000000" w:rsidR="00000000" w:rsidRPr="00000000">
        <w:rPr>
          <w:sz w:val="24"/>
          <w:szCs w:val="24"/>
          <w:rtl w:val="0"/>
        </w:rPr>
        <w:t xml:space="preserve">Routine monitoring allows patients and healthcare providers to collaborate in adjusting diet, medication, and lifestyle, promoting personalized and effective management.</w:t>
      </w:r>
    </w:p>
    <w:p w:rsidR="00000000" w:rsidDel="00000000" w:rsidP="00000000" w:rsidRDefault="00000000" w:rsidRPr="00000000" w14:paraId="00000042">
      <w:pPr>
        <w:spacing w:after="240" w:before="240" w:line="360" w:lineRule="auto"/>
        <w:rPr>
          <w:sz w:val="24"/>
          <w:szCs w:val="24"/>
        </w:rPr>
      </w:pPr>
      <w:r w:rsidDel="00000000" w:rsidR="00000000" w:rsidRPr="00000000">
        <w:rPr>
          <w:rtl w:val="0"/>
        </w:rPr>
      </w:r>
    </w:p>
    <w:p w:rsidR="00000000" w:rsidDel="00000000" w:rsidP="00000000" w:rsidRDefault="00000000" w:rsidRPr="00000000" w14:paraId="00000043">
      <w:pPr>
        <w:pStyle w:val="Heading2"/>
        <w:keepNext w:val="0"/>
        <w:keepLines w:val="0"/>
        <w:spacing w:after="80" w:line="360" w:lineRule="auto"/>
        <w:rPr>
          <w:b w:val="1"/>
          <w:bCs w:val="1"/>
          <w:sz w:val="24"/>
          <w:szCs w:val="24"/>
        </w:rPr>
      </w:pPr>
      <w:bookmarkStart w:colFirst="0" w:colLast="0" w:name="_fs9ylbqjndsx" w:id="5"/>
      <w:bookmarkEnd w:id="5"/>
      <w:r w:rsidDel="00000000" w:rsidR="00000000" w:rsidRPr="00000000">
        <w:rPr>
          <w:b w:val="1"/>
          <w:bCs w:val="1"/>
          <w:sz w:val="24"/>
          <w:szCs w:val="24"/>
          <w:rtl w:val="0"/>
        </w:rPr>
        <w:t xml:space="preserve">5) Evidence-Based Lifestyle Recommendations</w:t>
      </w:r>
    </w:p>
    <w:p w:rsidR="00000000" w:rsidDel="00000000" w:rsidP="00000000" w:rsidRDefault="00000000" w:rsidRPr="00000000" w14:paraId="00000044">
      <w:pPr>
        <w:spacing w:after="240" w:before="240" w:line="360" w:lineRule="auto"/>
        <w:rPr>
          <w:sz w:val="24"/>
          <w:szCs w:val="24"/>
        </w:rPr>
      </w:pPr>
      <w:r w:rsidDel="00000000" w:rsidR="00000000" w:rsidRPr="00000000">
        <w:rPr>
          <w:sz w:val="24"/>
          <w:szCs w:val="24"/>
          <w:rtl w:val="0"/>
        </w:rPr>
        <w:t xml:space="preserve">Effective T2D management goes beyond medication. Key lifestyle interventions include:</w:t>
      </w:r>
    </w:p>
    <w:p w:rsidR="00000000" w:rsidDel="00000000" w:rsidP="00000000" w:rsidRDefault="00000000" w:rsidRPr="00000000" w14:paraId="00000045">
      <w:pPr>
        <w:numPr>
          <w:ilvl w:val="0"/>
          <w:numId w:val="3"/>
        </w:numPr>
        <w:spacing w:after="0" w:afterAutospacing="0" w:before="240" w:line="360" w:lineRule="auto"/>
        <w:ind w:left="720" w:hanging="360"/>
        <w:rPr>
          <w:sz w:val="24"/>
          <w:szCs w:val="24"/>
        </w:rPr>
      </w:pPr>
      <w:r w:rsidDel="00000000" w:rsidR="00000000" w:rsidRPr="00000000">
        <w:rPr>
          <w:b w:val="1"/>
          <w:bCs w:val="1"/>
          <w:sz w:val="24"/>
          <w:szCs w:val="24"/>
          <w:rtl w:val="0"/>
        </w:rPr>
        <w:t xml:space="preserve">Diet:</w:t>
      </w:r>
      <w:r w:rsidDel="00000000" w:rsidR="00000000" w:rsidRPr="00000000">
        <w:rPr>
          <w:sz w:val="24"/>
          <w:szCs w:val="24"/>
          <w:rtl w:val="0"/>
        </w:rPr>
        <w:t xml:space="preserve"> High-fiber, low-refined-carb diets improve blood glucose control (Hu et al., 2021).</w:t>
      </w:r>
    </w:p>
    <w:p w:rsidR="00000000" w:rsidDel="00000000" w:rsidP="00000000" w:rsidRDefault="00000000" w:rsidRPr="00000000" w14:paraId="00000046">
      <w:pPr>
        <w:numPr>
          <w:ilvl w:val="0"/>
          <w:numId w:val="3"/>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Exercise:</w:t>
      </w:r>
      <w:r w:rsidDel="00000000" w:rsidR="00000000" w:rsidRPr="00000000">
        <w:rPr>
          <w:sz w:val="24"/>
          <w:szCs w:val="24"/>
          <w:rtl w:val="0"/>
        </w:rPr>
        <w:t xml:space="preserve"> At least 150 minutes per week of moderate-intensity activity enhances insulin sensitivity (Colberg et al., 2022).</w:t>
      </w:r>
    </w:p>
    <w:p w:rsidR="00000000" w:rsidDel="00000000" w:rsidP="00000000" w:rsidRDefault="00000000" w:rsidRPr="00000000" w14:paraId="00000047">
      <w:pPr>
        <w:numPr>
          <w:ilvl w:val="0"/>
          <w:numId w:val="3"/>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Weight management:</w:t>
      </w:r>
      <w:r w:rsidDel="00000000" w:rsidR="00000000" w:rsidRPr="00000000">
        <w:rPr>
          <w:sz w:val="24"/>
          <w:szCs w:val="24"/>
          <w:rtl w:val="0"/>
        </w:rPr>
        <w:t xml:space="preserve"> Losing 5–10% of body weight can improve insulin action significantly (ADA, 2023).</w:t>
      </w:r>
    </w:p>
    <w:p w:rsidR="00000000" w:rsidDel="00000000" w:rsidP="00000000" w:rsidRDefault="00000000" w:rsidRPr="00000000" w14:paraId="00000048">
      <w:pPr>
        <w:numPr>
          <w:ilvl w:val="0"/>
          <w:numId w:val="3"/>
        </w:numPr>
        <w:spacing w:after="0" w:afterAutospacing="0" w:before="0" w:beforeAutospacing="0" w:line="360" w:lineRule="auto"/>
        <w:ind w:left="720" w:hanging="360"/>
        <w:rPr>
          <w:sz w:val="24"/>
          <w:szCs w:val="24"/>
        </w:rPr>
      </w:pPr>
      <w:r w:rsidDel="00000000" w:rsidR="00000000" w:rsidRPr="00000000">
        <w:rPr>
          <w:b w:val="1"/>
          <w:bCs w:val="1"/>
          <w:sz w:val="24"/>
          <w:szCs w:val="24"/>
          <w:rtl w:val="0"/>
        </w:rPr>
        <w:t xml:space="preserve">Smoking cessation:</w:t>
      </w:r>
      <w:r w:rsidDel="00000000" w:rsidR="00000000" w:rsidRPr="00000000">
        <w:rPr>
          <w:sz w:val="24"/>
          <w:szCs w:val="24"/>
          <w:rtl w:val="0"/>
        </w:rPr>
        <w:t xml:space="preserve"> Reduces oxidative stress and cardiovascular risk (Will et al., 2021).</w:t>
      </w:r>
    </w:p>
    <w:p w:rsidR="00000000" w:rsidDel="00000000" w:rsidP="00000000" w:rsidRDefault="00000000" w:rsidRPr="00000000" w14:paraId="00000049">
      <w:pPr>
        <w:numPr>
          <w:ilvl w:val="0"/>
          <w:numId w:val="3"/>
        </w:numPr>
        <w:spacing w:after="240" w:before="0" w:beforeAutospacing="0" w:line="360" w:lineRule="auto"/>
        <w:ind w:left="720" w:hanging="360"/>
        <w:rPr>
          <w:sz w:val="24"/>
          <w:szCs w:val="24"/>
        </w:rPr>
      </w:pPr>
      <w:r w:rsidDel="00000000" w:rsidR="00000000" w:rsidRPr="00000000">
        <w:rPr>
          <w:b w:val="1"/>
          <w:bCs w:val="1"/>
          <w:sz w:val="24"/>
          <w:szCs w:val="24"/>
          <w:rtl w:val="0"/>
        </w:rPr>
        <w:t xml:space="preserve">Stress &amp; sleep:</w:t>
      </w:r>
      <w:r w:rsidDel="00000000" w:rsidR="00000000" w:rsidRPr="00000000">
        <w:rPr>
          <w:sz w:val="24"/>
          <w:szCs w:val="24"/>
          <w:rtl w:val="0"/>
        </w:rPr>
        <w:t xml:space="preserve"> Adequate rest and stress management help regulate cortisol, preventing spikes in blood glucose (Cheng et al., 2020).</w:t>
      </w:r>
    </w:p>
    <w:p w:rsidR="00000000" w:rsidDel="00000000" w:rsidP="00000000" w:rsidRDefault="00000000" w:rsidRPr="00000000" w14:paraId="0000004A">
      <w:pPr>
        <w:spacing w:after="240" w:before="240" w:line="360" w:lineRule="auto"/>
        <w:rPr>
          <w:sz w:val="24"/>
          <w:szCs w:val="24"/>
        </w:rPr>
      </w:pPr>
      <w:r w:rsidDel="00000000" w:rsidR="00000000" w:rsidRPr="00000000">
        <w:rPr>
          <w:sz w:val="24"/>
          <w:szCs w:val="24"/>
          <w:rtl w:val="0"/>
        </w:rPr>
        <w:t xml:space="preserve">Combining these lifestyle strategies with regular glucose monitoring helps reduce reliance on medication and lowers long-term complication risks.</w:t>
      </w:r>
    </w:p>
    <w:p w:rsidR="00000000" w:rsidDel="00000000" w:rsidP="00000000" w:rsidRDefault="00000000" w:rsidRPr="00000000" w14:paraId="0000004B">
      <w:pPr>
        <w:spacing w:line="360" w:lineRule="auto"/>
        <w:rPr>
          <w:sz w:val="24"/>
          <w:szCs w:val="24"/>
        </w:rPr>
      </w:pPr>
      <w:r w:rsidDel="00000000" w:rsidR="00000000" w:rsidRPr="00000000">
        <w:rPr>
          <w:rtl w:val="0"/>
        </w:rPr>
      </w:r>
    </w:p>
    <w:p w:rsidR="00000000" w:rsidDel="00000000" w:rsidP="00000000" w:rsidRDefault="00000000" w:rsidRPr="00000000" w14:paraId="0000004C">
      <w:pPr>
        <w:pStyle w:val="Heading2"/>
        <w:keepNext w:val="0"/>
        <w:keepLines w:val="0"/>
        <w:spacing w:after="80" w:line="360" w:lineRule="auto"/>
        <w:rPr>
          <w:b w:val="1"/>
          <w:bCs w:val="1"/>
          <w:sz w:val="24"/>
          <w:szCs w:val="24"/>
        </w:rPr>
      </w:pPr>
      <w:bookmarkStart w:colFirst="0" w:colLast="0" w:name="_t56vy4yxyubq" w:id="6"/>
      <w:bookmarkEnd w:id="6"/>
      <w:r w:rsidDel="00000000" w:rsidR="00000000" w:rsidRPr="00000000">
        <w:rPr>
          <w:b w:val="1"/>
          <w:bCs w:val="1"/>
          <w:sz w:val="24"/>
          <w:szCs w:val="24"/>
          <w:rtl w:val="0"/>
        </w:rPr>
        <w:t xml:space="preserve">6) Conclusion</w:t>
      </w:r>
    </w:p>
    <w:p w:rsidR="00000000" w:rsidDel="00000000" w:rsidP="00000000" w:rsidRDefault="00000000" w:rsidRPr="00000000" w14:paraId="0000004D">
      <w:pPr>
        <w:spacing w:after="240" w:before="240" w:line="360" w:lineRule="auto"/>
        <w:rPr>
          <w:sz w:val="24"/>
          <w:szCs w:val="24"/>
        </w:rPr>
      </w:pPr>
      <w:r w:rsidDel="00000000" w:rsidR="00000000" w:rsidRPr="00000000">
        <w:rPr>
          <w:sz w:val="24"/>
          <w:szCs w:val="24"/>
          <w:rtl w:val="0"/>
        </w:rPr>
        <w:t xml:space="preserve">Type 2 diabetes is a complex condition affecting insulin function, glucose regulation, and multiple body systems. Understanding pancreatic function, glucose metabolism, and lifestyle influences empowers patients to manage their condition actively.</w:t>
      </w:r>
    </w:p>
    <w:p w:rsidR="00000000" w:rsidDel="00000000" w:rsidP="00000000" w:rsidRDefault="00000000" w:rsidRPr="00000000" w14:paraId="0000004E">
      <w:pPr>
        <w:spacing w:after="240" w:before="240" w:line="360" w:lineRule="auto"/>
        <w:rPr>
          <w:sz w:val="24"/>
          <w:szCs w:val="24"/>
        </w:rPr>
      </w:pPr>
      <w:r w:rsidDel="00000000" w:rsidR="00000000" w:rsidRPr="00000000">
        <w:rPr>
          <w:sz w:val="24"/>
          <w:szCs w:val="24"/>
          <w:rtl w:val="0"/>
        </w:rPr>
        <w:t xml:space="preserve">Regular blood glucose monitoring, balanced nutrition, physical activity, weight management, and smoking cessation all support effective management. Consistently applying these strategies improves glycemic control and reduces the risk of long-term complications.</w:t>
      </w:r>
    </w:p>
    <w:p w:rsidR="00000000" w:rsidDel="00000000" w:rsidP="00000000" w:rsidRDefault="00000000" w:rsidRPr="00000000" w14:paraId="0000004F">
      <w:pPr>
        <w:pStyle w:val="Heading2"/>
        <w:keepNext w:val="0"/>
        <w:keepLines w:val="0"/>
        <w:spacing w:after="80" w:line="360" w:lineRule="auto"/>
        <w:rPr>
          <w:b w:val="1"/>
          <w:bCs w:val="1"/>
          <w:sz w:val="24"/>
          <w:szCs w:val="24"/>
        </w:rPr>
      </w:pPr>
      <w:bookmarkStart w:colFirst="0" w:colLast="0" w:name="_i9hnh3k57nso" w:id="7"/>
      <w:bookmarkEnd w:id="7"/>
      <w:r w:rsidDel="00000000" w:rsidR="00000000" w:rsidRPr="00000000">
        <w:rPr>
          <w:rtl w:val="0"/>
        </w:rPr>
      </w:r>
    </w:p>
    <w:p w:rsidR="00000000" w:rsidDel="00000000" w:rsidP="00000000" w:rsidRDefault="00000000" w:rsidRPr="00000000" w14:paraId="00000050">
      <w:pPr>
        <w:pStyle w:val="Heading2"/>
        <w:keepNext w:val="0"/>
        <w:keepLines w:val="0"/>
        <w:spacing w:after="80" w:line="360" w:lineRule="auto"/>
        <w:rPr>
          <w:b w:val="1"/>
          <w:bCs w:val="1"/>
          <w:sz w:val="24"/>
          <w:szCs w:val="24"/>
        </w:rPr>
      </w:pPr>
      <w:bookmarkStart w:colFirst="0" w:colLast="0" w:name="_apudwyh27m2n" w:id="8"/>
      <w:bookmarkEnd w:id="8"/>
      <w:r w:rsidDel="00000000" w:rsidR="00000000" w:rsidRPr="00000000">
        <w:rPr>
          <w:rtl w:val="0"/>
        </w:rPr>
      </w:r>
    </w:p>
    <w:p w:rsidR="00000000" w:rsidDel="00000000" w:rsidP="00000000" w:rsidRDefault="00000000" w:rsidRPr="00000000" w14:paraId="00000051">
      <w:pPr>
        <w:pStyle w:val="Heading2"/>
        <w:keepNext w:val="0"/>
        <w:keepLines w:val="0"/>
        <w:spacing w:after="80" w:line="360" w:lineRule="auto"/>
        <w:rPr>
          <w:b w:val="1"/>
          <w:bCs w:val="1"/>
          <w:sz w:val="24"/>
          <w:szCs w:val="24"/>
        </w:rPr>
      </w:pPr>
      <w:bookmarkStart w:colFirst="0" w:colLast="0" w:name="_atoq9d7kc1zp" w:id="9"/>
      <w:bookmarkEnd w:id="9"/>
      <w:r w:rsidDel="00000000" w:rsidR="00000000" w:rsidRPr="00000000">
        <w:rPr>
          <w:rtl w:val="0"/>
        </w:rPr>
      </w:r>
    </w:p>
    <w:p w:rsidR="00000000" w:rsidDel="00000000" w:rsidP="00000000" w:rsidRDefault="00000000" w:rsidRPr="00000000" w14:paraId="00000052">
      <w:pPr>
        <w:pStyle w:val="Heading2"/>
        <w:keepNext w:val="0"/>
        <w:keepLines w:val="0"/>
        <w:spacing w:after="80" w:line="360" w:lineRule="auto"/>
        <w:rPr>
          <w:b w:val="1"/>
          <w:bCs w:val="1"/>
          <w:sz w:val="24"/>
          <w:szCs w:val="24"/>
        </w:rPr>
      </w:pPr>
      <w:bookmarkStart w:colFirst="0" w:colLast="0" w:name="_50ehm9w3438f" w:id="10"/>
      <w:bookmarkEnd w:id="10"/>
      <w:r w:rsidDel="00000000" w:rsidR="00000000" w:rsidRPr="00000000">
        <w:rPr>
          <w:rtl w:val="0"/>
        </w:rPr>
      </w:r>
    </w:p>
    <w:p w:rsidR="00000000" w:rsidDel="00000000" w:rsidP="00000000" w:rsidRDefault="00000000" w:rsidRPr="00000000" w14:paraId="00000053">
      <w:pPr>
        <w:pStyle w:val="Heading2"/>
        <w:keepNext w:val="0"/>
        <w:keepLines w:val="0"/>
        <w:spacing w:after="80" w:line="360" w:lineRule="auto"/>
        <w:rPr>
          <w:b w:val="1"/>
          <w:bCs w:val="1"/>
          <w:sz w:val="24"/>
          <w:szCs w:val="24"/>
        </w:rPr>
      </w:pPr>
      <w:bookmarkStart w:colFirst="0" w:colLast="0" w:name="_9qqw36xnynbh" w:id="11"/>
      <w:bookmarkEnd w:id="11"/>
      <w:r w:rsidDel="00000000" w:rsidR="00000000" w:rsidRPr="00000000">
        <w:rPr>
          <w:rtl w:val="0"/>
        </w:rPr>
      </w:r>
    </w:p>
    <w:p w:rsidR="00000000" w:rsidDel="00000000" w:rsidP="00000000" w:rsidRDefault="00000000" w:rsidRPr="00000000" w14:paraId="00000054">
      <w:pPr>
        <w:pStyle w:val="Heading2"/>
        <w:keepNext w:val="0"/>
        <w:keepLines w:val="0"/>
        <w:spacing w:after="80" w:line="360" w:lineRule="auto"/>
        <w:rPr>
          <w:b w:val="1"/>
          <w:bCs w:val="1"/>
          <w:sz w:val="24"/>
          <w:szCs w:val="24"/>
        </w:rPr>
      </w:pPr>
      <w:bookmarkStart w:colFirst="0" w:colLast="0" w:name="_hp4m58vqt7rc" w:id="12"/>
      <w:bookmarkEnd w:id="12"/>
      <w:r w:rsidDel="00000000" w:rsidR="00000000" w:rsidRPr="00000000">
        <w:rPr>
          <w:rtl w:val="0"/>
        </w:rPr>
      </w:r>
    </w:p>
    <w:p w:rsidR="00000000" w:rsidDel="00000000" w:rsidP="00000000" w:rsidRDefault="00000000" w:rsidRPr="00000000" w14:paraId="00000055">
      <w:pPr>
        <w:pStyle w:val="Heading2"/>
        <w:keepNext w:val="0"/>
        <w:keepLines w:val="0"/>
        <w:spacing w:after="80" w:line="360" w:lineRule="auto"/>
        <w:rPr>
          <w:b w:val="1"/>
          <w:bCs w:val="1"/>
          <w:sz w:val="24"/>
          <w:szCs w:val="24"/>
        </w:rPr>
      </w:pPr>
      <w:bookmarkStart w:colFirst="0" w:colLast="0" w:name="_vtzoz5aqjdwn" w:id="13"/>
      <w:bookmarkEnd w:id="13"/>
      <w:r w:rsidDel="00000000" w:rsidR="00000000" w:rsidRPr="00000000">
        <w:rPr>
          <w:rtl w:val="0"/>
        </w:rPr>
      </w:r>
    </w:p>
    <w:p w:rsidR="00000000" w:rsidDel="00000000" w:rsidP="00000000" w:rsidRDefault="00000000" w:rsidRPr="00000000" w14:paraId="00000056">
      <w:pPr>
        <w:pStyle w:val="Heading2"/>
        <w:keepNext w:val="0"/>
        <w:keepLines w:val="0"/>
        <w:spacing w:after="80" w:line="360" w:lineRule="auto"/>
        <w:rPr>
          <w:b w:val="1"/>
          <w:bCs w:val="1"/>
          <w:sz w:val="24"/>
          <w:szCs w:val="24"/>
        </w:rPr>
      </w:pPr>
      <w:bookmarkStart w:colFirst="0" w:colLast="0" w:name="_oxhux6udqqcy" w:id="14"/>
      <w:bookmarkEnd w:id="14"/>
      <w:r w:rsidDel="00000000" w:rsidR="00000000" w:rsidRPr="00000000">
        <w:rPr>
          <w:rtl w:val="0"/>
        </w:rPr>
      </w:r>
    </w:p>
    <w:p w:rsidR="00000000" w:rsidDel="00000000" w:rsidP="00000000" w:rsidRDefault="00000000" w:rsidRPr="00000000" w14:paraId="00000057">
      <w:pPr>
        <w:pStyle w:val="Heading2"/>
        <w:keepNext w:val="0"/>
        <w:keepLines w:val="0"/>
        <w:spacing w:after="80" w:line="360" w:lineRule="auto"/>
        <w:rPr>
          <w:b w:val="1"/>
          <w:bCs w:val="1"/>
          <w:sz w:val="24"/>
          <w:szCs w:val="24"/>
        </w:rPr>
      </w:pPr>
      <w:bookmarkStart w:colFirst="0" w:colLast="0" w:name="_onrbmritlqqt" w:id="15"/>
      <w:bookmarkEnd w:id="15"/>
      <w:r w:rsidDel="00000000" w:rsidR="00000000" w:rsidRPr="00000000">
        <w:rPr>
          <w:rtl w:val="0"/>
        </w:rPr>
      </w:r>
    </w:p>
    <w:p w:rsidR="00000000" w:rsidDel="00000000" w:rsidP="00000000" w:rsidRDefault="00000000" w:rsidRPr="00000000" w14:paraId="00000058">
      <w:pPr>
        <w:pStyle w:val="Heading2"/>
        <w:keepNext w:val="0"/>
        <w:keepLines w:val="0"/>
        <w:spacing w:after="80" w:line="360" w:lineRule="auto"/>
        <w:rPr>
          <w:b w:val="1"/>
          <w:bCs w:val="1"/>
          <w:sz w:val="24"/>
          <w:szCs w:val="24"/>
        </w:rPr>
      </w:pPr>
      <w:bookmarkStart w:colFirst="0" w:colLast="0" w:name="_3dbwc52u8l8h" w:id="16"/>
      <w:bookmarkEnd w:id="16"/>
      <w:r w:rsidDel="00000000" w:rsidR="00000000" w:rsidRPr="00000000">
        <w:rPr>
          <w:rtl w:val="0"/>
        </w:rPr>
      </w:r>
    </w:p>
    <w:p w:rsidR="00000000" w:rsidDel="00000000" w:rsidP="00000000" w:rsidRDefault="00000000" w:rsidRPr="00000000" w14:paraId="00000059">
      <w:pPr>
        <w:pStyle w:val="Heading2"/>
        <w:keepNext w:val="0"/>
        <w:keepLines w:val="0"/>
        <w:spacing w:after="80" w:line="360" w:lineRule="auto"/>
        <w:rPr>
          <w:b w:val="1"/>
          <w:bCs w:val="1"/>
          <w:sz w:val="24"/>
          <w:szCs w:val="24"/>
        </w:rPr>
      </w:pPr>
      <w:bookmarkStart w:colFirst="0" w:colLast="0" w:name="_m1hlhrsxzy4a" w:id="17"/>
      <w:bookmarkEnd w:id="17"/>
      <w:r w:rsidDel="00000000" w:rsidR="00000000" w:rsidRPr="00000000">
        <w:rPr>
          <w:rtl w:val="0"/>
        </w:rPr>
      </w:r>
    </w:p>
    <w:p w:rsidR="00000000" w:rsidDel="00000000" w:rsidP="00000000" w:rsidRDefault="00000000" w:rsidRPr="00000000" w14:paraId="0000005A">
      <w:pPr>
        <w:pStyle w:val="Heading2"/>
        <w:keepNext w:val="0"/>
        <w:keepLines w:val="0"/>
        <w:spacing w:after="80" w:line="360" w:lineRule="auto"/>
        <w:rPr>
          <w:b w:val="1"/>
          <w:bCs w:val="1"/>
          <w:sz w:val="24"/>
          <w:szCs w:val="24"/>
        </w:rPr>
      </w:pPr>
      <w:bookmarkStart w:colFirst="0" w:colLast="0" w:name="_9fjck82us0h5" w:id="18"/>
      <w:bookmarkEnd w:id="18"/>
      <w:r w:rsidDel="00000000" w:rsidR="00000000" w:rsidRPr="00000000">
        <w:rPr>
          <w:rtl w:val="0"/>
        </w:rPr>
      </w:r>
    </w:p>
    <w:p w:rsidR="00000000" w:rsidDel="00000000" w:rsidP="00000000" w:rsidRDefault="00000000" w:rsidRPr="00000000" w14:paraId="0000005B">
      <w:pPr>
        <w:pStyle w:val="Heading2"/>
        <w:keepNext w:val="0"/>
        <w:keepLines w:val="0"/>
        <w:spacing w:after="80" w:line="360" w:lineRule="auto"/>
        <w:rPr>
          <w:b w:val="1"/>
          <w:bCs w:val="1"/>
          <w:sz w:val="24"/>
          <w:szCs w:val="24"/>
        </w:rPr>
      </w:pPr>
      <w:bookmarkStart w:colFirst="0" w:colLast="0" w:name="_xno6eoszs8j7" w:id="19"/>
      <w:bookmarkEnd w:id="19"/>
      <w:r w:rsidDel="00000000" w:rsidR="00000000" w:rsidRPr="00000000">
        <w:rPr>
          <w:rtl w:val="0"/>
        </w:rPr>
      </w:r>
    </w:p>
    <w:p w:rsidR="00000000" w:rsidDel="00000000" w:rsidP="00000000" w:rsidRDefault="00000000" w:rsidRPr="00000000" w14:paraId="0000005C">
      <w:pPr>
        <w:pStyle w:val="Heading2"/>
        <w:keepNext w:val="0"/>
        <w:keepLines w:val="0"/>
        <w:spacing w:after="80" w:line="360" w:lineRule="auto"/>
        <w:rPr>
          <w:b w:val="1"/>
          <w:bCs w:val="1"/>
          <w:sz w:val="24"/>
          <w:szCs w:val="24"/>
        </w:rPr>
      </w:pPr>
      <w:bookmarkStart w:colFirst="0" w:colLast="0" w:name="_2o6ltv1k9yn" w:id="20"/>
      <w:bookmarkEnd w:id="20"/>
      <w:r w:rsidDel="00000000" w:rsidR="00000000" w:rsidRPr="00000000">
        <w:rPr>
          <w:rtl w:val="0"/>
        </w:rPr>
      </w:r>
    </w:p>
    <w:p w:rsidR="00000000" w:rsidDel="00000000" w:rsidP="00000000" w:rsidRDefault="00000000" w:rsidRPr="00000000" w14:paraId="0000005D">
      <w:pPr>
        <w:pStyle w:val="Heading2"/>
        <w:keepNext w:val="0"/>
        <w:keepLines w:val="0"/>
        <w:spacing w:after="80" w:line="360" w:lineRule="auto"/>
        <w:rPr>
          <w:b w:val="1"/>
          <w:bCs w:val="1"/>
          <w:sz w:val="24"/>
          <w:szCs w:val="24"/>
        </w:rPr>
      </w:pPr>
      <w:bookmarkStart w:colFirst="0" w:colLast="0" w:name="_2xlc10tga5yw" w:id="21"/>
      <w:bookmarkEnd w:id="21"/>
      <w:r w:rsidDel="00000000" w:rsidR="00000000" w:rsidRPr="00000000">
        <w:rPr>
          <w:rtl w:val="0"/>
        </w:rPr>
      </w:r>
    </w:p>
    <w:p w:rsidR="00000000" w:rsidDel="00000000" w:rsidP="00000000" w:rsidRDefault="00000000" w:rsidRPr="00000000" w14:paraId="0000005E">
      <w:pPr>
        <w:pStyle w:val="Heading2"/>
        <w:keepNext w:val="0"/>
        <w:keepLines w:val="0"/>
        <w:spacing w:after="80" w:line="360" w:lineRule="auto"/>
        <w:rPr>
          <w:b w:val="1"/>
          <w:bCs w:val="1"/>
          <w:sz w:val="24"/>
          <w:szCs w:val="24"/>
        </w:rPr>
      </w:pPr>
      <w:bookmarkStart w:colFirst="0" w:colLast="0" w:name="_xjx533szbzp0" w:id="22"/>
      <w:bookmarkEnd w:id="22"/>
      <w:r w:rsidDel="00000000" w:rsidR="00000000" w:rsidRPr="00000000">
        <w:rPr>
          <w:rtl w:val="0"/>
        </w:rPr>
      </w:r>
    </w:p>
    <w:p w:rsidR="00000000" w:rsidDel="00000000" w:rsidP="00000000" w:rsidRDefault="00000000" w:rsidRPr="00000000" w14:paraId="0000005F">
      <w:pPr>
        <w:pStyle w:val="Heading2"/>
        <w:keepNext w:val="0"/>
        <w:keepLines w:val="0"/>
        <w:spacing w:after="80" w:line="360" w:lineRule="auto"/>
        <w:rPr>
          <w:b w:val="1"/>
          <w:bCs w:val="1"/>
          <w:sz w:val="24"/>
          <w:szCs w:val="24"/>
        </w:rPr>
      </w:pPr>
      <w:bookmarkStart w:colFirst="0" w:colLast="0" w:name="_m78y9c55etc8" w:id="23"/>
      <w:bookmarkEnd w:id="23"/>
      <w:r w:rsidDel="00000000" w:rsidR="00000000" w:rsidRPr="00000000">
        <w:rPr>
          <w:rtl w:val="0"/>
        </w:rPr>
      </w:r>
    </w:p>
    <w:p w:rsidR="00000000" w:rsidDel="00000000" w:rsidP="00000000" w:rsidRDefault="00000000" w:rsidRPr="00000000" w14:paraId="00000060">
      <w:pPr>
        <w:pStyle w:val="Heading2"/>
        <w:keepNext w:val="0"/>
        <w:keepLines w:val="0"/>
        <w:spacing w:after="80" w:line="360" w:lineRule="auto"/>
        <w:rPr>
          <w:b w:val="1"/>
          <w:bCs w:val="1"/>
          <w:sz w:val="24"/>
          <w:szCs w:val="24"/>
        </w:rPr>
      </w:pPr>
      <w:bookmarkStart w:colFirst="0" w:colLast="0" w:name="_i9jbhscnboyj" w:id="24"/>
      <w:bookmarkEnd w:id="24"/>
      <w:r w:rsidDel="00000000" w:rsidR="00000000" w:rsidRPr="00000000">
        <w:rPr>
          <w:rtl w:val="0"/>
        </w:rPr>
      </w:r>
    </w:p>
    <w:p w:rsidR="00000000" w:rsidDel="00000000" w:rsidP="00000000" w:rsidRDefault="00000000" w:rsidRPr="00000000" w14:paraId="00000061">
      <w:pPr>
        <w:pStyle w:val="Heading2"/>
        <w:keepNext w:val="0"/>
        <w:keepLines w:val="0"/>
        <w:spacing w:after="80" w:line="360" w:lineRule="auto"/>
        <w:rPr>
          <w:b w:val="1"/>
          <w:bCs w:val="1"/>
          <w:sz w:val="24"/>
          <w:szCs w:val="24"/>
        </w:rPr>
      </w:pPr>
      <w:bookmarkStart w:colFirst="0" w:colLast="0" w:name="_dghqqiji8e9k" w:id="25"/>
      <w:bookmarkEnd w:id="25"/>
      <w:r w:rsidDel="00000000" w:rsidR="00000000" w:rsidRPr="00000000">
        <w:rPr>
          <w:rtl w:val="0"/>
        </w:rPr>
      </w:r>
    </w:p>
    <w:p w:rsidR="00000000" w:rsidDel="00000000" w:rsidP="00000000" w:rsidRDefault="00000000" w:rsidRPr="00000000" w14:paraId="00000062">
      <w:pPr>
        <w:pStyle w:val="Heading2"/>
        <w:keepNext w:val="0"/>
        <w:keepLines w:val="0"/>
        <w:spacing w:after="80" w:line="360" w:lineRule="auto"/>
        <w:rPr>
          <w:b w:val="1"/>
          <w:bCs w:val="1"/>
          <w:sz w:val="24"/>
          <w:szCs w:val="24"/>
        </w:rPr>
      </w:pPr>
      <w:bookmarkStart w:colFirst="0" w:colLast="0" w:name="_pdeclggmm2fa" w:id="26"/>
      <w:bookmarkEnd w:id="26"/>
      <w:r w:rsidDel="00000000" w:rsidR="00000000" w:rsidRPr="00000000">
        <w:rPr>
          <w:rtl w:val="0"/>
        </w:rPr>
      </w:r>
    </w:p>
    <w:p w:rsidR="00000000" w:rsidDel="00000000" w:rsidP="00000000" w:rsidRDefault="00000000" w:rsidRPr="00000000" w14:paraId="00000063">
      <w:pPr>
        <w:pStyle w:val="Heading2"/>
        <w:keepNext w:val="0"/>
        <w:keepLines w:val="0"/>
        <w:spacing w:after="80" w:line="360" w:lineRule="auto"/>
        <w:rPr>
          <w:b w:val="1"/>
          <w:bCs w:val="1"/>
          <w:sz w:val="24"/>
          <w:szCs w:val="24"/>
        </w:rPr>
      </w:pPr>
      <w:bookmarkStart w:colFirst="0" w:colLast="0" w:name="_3rqruxsr07r4" w:id="27"/>
      <w:bookmarkEnd w:id="27"/>
      <w:r w:rsidDel="00000000" w:rsidR="00000000" w:rsidRPr="00000000">
        <w:rPr>
          <w:rtl w:val="0"/>
        </w:rPr>
      </w:r>
    </w:p>
    <w:p w:rsidR="00000000" w:rsidDel="00000000" w:rsidP="00000000" w:rsidRDefault="00000000" w:rsidRPr="00000000" w14:paraId="00000064">
      <w:pPr>
        <w:pStyle w:val="Heading2"/>
        <w:keepNext w:val="0"/>
        <w:keepLines w:val="0"/>
        <w:spacing w:after="80" w:line="360" w:lineRule="auto"/>
        <w:rPr>
          <w:b w:val="1"/>
          <w:bCs w:val="1"/>
          <w:sz w:val="24"/>
          <w:szCs w:val="24"/>
        </w:rPr>
      </w:pPr>
      <w:bookmarkStart w:colFirst="0" w:colLast="0" w:name="_swkxiz5fjp72" w:id="28"/>
      <w:bookmarkEnd w:id="28"/>
      <w:r w:rsidDel="00000000" w:rsidR="00000000" w:rsidRPr="00000000">
        <w:rPr>
          <w:rtl w:val="0"/>
        </w:rPr>
      </w:r>
    </w:p>
    <w:p w:rsidR="00000000" w:rsidDel="00000000" w:rsidP="00000000" w:rsidRDefault="00000000" w:rsidRPr="00000000" w14:paraId="00000065">
      <w:pPr>
        <w:pStyle w:val="Heading2"/>
        <w:keepNext w:val="0"/>
        <w:keepLines w:val="0"/>
        <w:spacing w:after="80" w:line="360" w:lineRule="auto"/>
        <w:rPr>
          <w:b w:val="1"/>
          <w:bCs w:val="1"/>
          <w:sz w:val="24"/>
          <w:szCs w:val="24"/>
        </w:rPr>
      </w:pPr>
      <w:bookmarkStart w:colFirst="0" w:colLast="0" w:name="_cp9ivflkjsrz" w:id="29"/>
      <w:bookmarkEnd w:id="29"/>
      <w:r w:rsidDel="00000000" w:rsidR="00000000" w:rsidRPr="00000000">
        <w:rPr>
          <w:rtl w:val="0"/>
        </w:rPr>
      </w:r>
    </w:p>
    <w:p w:rsidR="00000000" w:rsidDel="00000000" w:rsidP="00000000" w:rsidRDefault="00000000" w:rsidRPr="00000000" w14:paraId="00000066">
      <w:pPr>
        <w:pStyle w:val="Heading2"/>
        <w:keepNext w:val="0"/>
        <w:keepLines w:val="0"/>
        <w:spacing w:after="80" w:line="360" w:lineRule="auto"/>
        <w:rPr>
          <w:b w:val="1"/>
          <w:bCs w:val="1"/>
          <w:sz w:val="24"/>
          <w:szCs w:val="24"/>
        </w:rPr>
      </w:pPr>
      <w:bookmarkStart w:colFirst="0" w:colLast="0" w:name="_9gxqvveq4usi" w:id="30"/>
      <w:bookmarkEnd w:id="30"/>
      <w:r w:rsidDel="00000000" w:rsidR="00000000" w:rsidRPr="00000000">
        <w:rPr>
          <w:rtl w:val="0"/>
        </w:rPr>
      </w:r>
    </w:p>
    <w:p w:rsidR="00000000" w:rsidDel="00000000" w:rsidP="00000000" w:rsidRDefault="00000000" w:rsidRPr="00000000" w14:paraId="00000067">
      <w:pPr>
        <w:pStyle w:val="Heading2"/>
        <w:keepNext w:val="0"/>
        <w:keepLines w:val="0"/>
        <w:spacing w:after="80" w:line="360" w:lineRule="auto"/>
        <w:rPr>
          <w:b w:val="1"/>
          <w:bCs w:val="1"/>
          <w:sz w:val="24"/>
          <w:szCs w:val="24"/>
        </w:rPr>
      </w:pPr>
      <w:bookmarkStart w:colFirst="0" w:colLast="0" w:name="_92mtp0mkv6oe" w:id="31"/>
      <w:bookmarkEnd w:id="31"/>
      <w:r w:rsidDel="00000000" w:rsidR="00000000" w:rsidRPr="00000000">
        <w:rPr>
          <w:rtl w:val="0"/>
        </w:rPr>
      </w:r>
    </w:p>
    <w:p w:rsidR="00000000" w:rsidDel="00000000" w:rsidP="00000000" w:rsidRDefault="00000000" w:rsidRPr="00000000" w14:paraId="00000068">
      <w:pPr>
        <w:pStyle w:val="Heading2"/>
        <w:keepNext w:val="0"/>
        <w:keepLines w:val="0"/>
        <w:spacing w:after="80" w:line="360" w:lineRule="auto"/>
        <w:rPr>
          <w:b w:val="1"/>
          <w:bCs w:val="1"/>
          <w:sz w:val="24"/>
          <w:szCs w:val="24"/>
        </w:rPr>
      </w:pPr>
      <w:bookmarkStart w:colFirst="0" w:colLast="0" w:name="_cht6o6nffdre" w:id="32"/>
      <w:bookmarkEnd w:id="32"/>
      <w:r w:rsidDel="00000000" w:rsidR="00000000" w:rsidRPr="00000000">
        <w:rPr>
          <w:rtl w:val="0"/>
        </w:rPr>
      </w:r>
    </w:p>
    <w:p w:rsidR="00000000" w:rsidDel="00000000" w:rsidP="00000000" w:rsidRDefault="00000000" w:rsidRPr="00000000" w14:paraId="00000069">
      <w:pPr>
        <w:pStyle w:val="Heading2"/>
        <w:keepNext w:val="0"/>
        <w:keepLines w:val="0"/>
        <w:spacing w:after="80" w:line="360" w:lineRule="auto"/>
        <w:rPr>
          <w:b w:val="1"/>
          <w:bCs w:val="1"/>
          <w:sz w:val="24"/>
          <w:szCs w:val="24"/>
        </w:rPr>
      </w:pPr>
      <w:bookmarkStart w:colFirst="0" w:colLast="0" w:name="_msk2lu73yryj" w:id="33"/>
      <w:bookmarkEnd w:id="33"/>
      <w:r w:rsidDel="00000000" w:rsidR="00000000" w:rsidRPr="00000000">
        <w:rPr>
          <w:b w:val="1"/>
          <w:bCs w:val="1"/>
          <w:sz w:val="24"/>
          <w:szCs w:val="24"/>
          <w:rtl w:val="0"/>
        </w:rPr>
        <w:t xml:space="preserve">7) Reference List</w:t>
      </w:r>
    </w:p>
    <w:p w:rsidR="00000000" w:rsidDel="00000000" w:rsidP="00000000" w:rsidRDefault="00000000" w:rsidRPr="00000000" w14:paraId="0000006A">
      <w:pPr>
        <w:spacing w:after="240" w:before="240" w:line="360" w:lineRule="auto"/>
        <w:rPr>
          <w:sz w:val="24"/>
          <w:szCs w:val="24"/>
        </w:rPr>
      </w:pPr>
      <w:r w:rsidDel="00000000" w:rsidR="00000000" w:rsidRPr="00000000">
        <w:rPr>
          <w:sz w:val="24"/>
          <w:szCs w:val="24"/>
          <w:rtl w:val="0"/>
        </w:rPr>
        <w:t xml:space="preserve">ADA, 2023. Standards of Care in Diabetes—2023. American Diabetes Association. Available at:</w:t>
      </w:r>
      <w:hyperlink r:id="rId10">
        <w:r w:rsidDel="00000000" w:rsidR="00000000" w:rsidRPr="00000000">
          <w:rPr>
            <w:sz w:val="24"/>
            <w:szCs w:val="24"/>
            <w:rtl w:val="0"/>
          </w:rPr>
          <w:t xml:space="preserve"> </w:t>
        </w:r>
      </w:hyperlink>
      <w:hyperlink r:id="rId11">
        <w:r w:rsidDel="00000000" w:rsidR="00000000" w:rsidRPr="00000000">
          <w:rPr>
            <w:color w:val="1155cc"/>
            <w:sz w:val="24"/>
            <w:szCs w:val="24"/>
            <w:u w:val="single"/>
            <w:rtl w:val="0"/>
          </w:rPr>
          <w:t xml:space="preserve">https://diabetesjournals.org/care/article/46/Supplement_1/S1/152977/Standards-of-Care-in-Diabetes-2023</w:t>
        </w:r>
      </w:hyperlink>
      <w:r w:rsidDel="00000000" w:rsidR="00000000" w:rsidRPr="00000000">
        <w:rPr>
          <w:sz w:val="24"/>
          <w:szCs w:val="24"/>
          <w:rtl w:val="0"/>
        </w:rPr>
        <w:t xml:space="preserve"> [Accessed 7 Mar. 2026].</w:t>
        <w:br w:type="textWrapping"/>
        <w:t xml:space="preserve">IDF, 2022. IDF Diabetes Atlas, 10th edition. International Diabetes Federation.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https://www.idf.org/our-network/regions-members/north-america/diabetes-atlas.html</w:t>
        </w:r>
      </w:hyperlink>
      <w:r w:rsidDel="00000000" w:rsidR="00000000" w:rsidRPr="00000000">
        <w:rPr>
          <w:sz w:val="24"/>
          <w:szCs w:val="24"/>
          <w:rtl w:val="0"/>
        </w:rPr>
        <w:t xml:space="preserve"> [Accessed 10 Mar. 2026].</w:t>
        <w:br w:type="textWrapping"/>
        <w:t xml:space="preserve">DeFronzo, R.A., 2022. Pathophysiology of type 2 diabetes mellitus. Endocrine Reviews, 43(1), pp.25-52. [Accessed 12 Mar. 2026].</w:t>
        <w:br w:type="textWrapping"/>
        <w:t xml:space="preserve">Marathe, P.H., Gao, H.X. and Close, K.L., 2017. Physiology of Blood Glucose Regulation. Diabetes Spectrum, 30(3), pp.148-156. [Accessed 14 Mar. 2026].</w:t>
        <w:br w:type="textWrapping"/>
        <w:t xml:space="preserve">Colberg, S.R. et al., 2022. Exercise and Type 2 Diabetes: American College of Sports Medicine Position Statement. Medicine &amp; Science in Sports &amp; Exercise, 54(12), pp.2543-2565. [Accessed 16 Mar. 2026].</w:t>
        <w:br w:type="textWrapping"/>
        <w:t xml:space="preserve">Hu, E.A., Pan, A., Malik, V. and Sun, Q., 2021. Dietary carbohydrates and the risk of type 2 diabetes. The Lancet Diabetes &amp; Endocrinology, 9(12), pp.830-843. [Accessed 18 Mar. 2026].</w:t>
        <w:br w:type="textWrapping"/>
        <w:t xml:space="preserve">Muoio, D.M. and Newgard, C.B., 2022. Mechanisms of disease: Molecular and metabolic mechanisms of insulin resistance. Nature Reviews Molecular Cell Biology, 23(7), pp.465-480. [Accessed 20 Mar. 2026].</w:t>
        <w:br w:type="textWrapping"/>
        <w:t xml:space="preserve">Will, J.C., Galuska, D.A. and Vinicor, F., 2021. Smoking, Alcohol, and Diabetes: Risk Factors and Outcomes. Diabetes Care, 44(2), pp.345-356. [Accessed 22 Mar. 2026].</w:t>
        <w:br w:type="textWrapping"/>
        <w:t xml:space="preserve">PMC, 2023. Type 2 Diabetes Mellitus: A Pathophysiologic Perspective.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https://www.ncbi.nlm.nih.gov/pmc/articles/PMC8384107/</w:t>
        </w:r>
      </w:hyperlink>
      <w:r w:rsidDel="00000000" w:rsidR="00000000" w:rsidRPr="00000000">
        <w:rPr>
          <w:sz w:val="24"/>
          <w:szCs w:val="24"/>
          <w:rtl w:val="0"/>
        </w:rPr>
        <w:t xml:space="preserve"> [Accessed 25 Mar. 2026].</w:t>
        <w:br w:type="textWrapping"/>
        <w:t xml:space="preserve">Marieb, E.N. and Hoehn, K., 2022. Human Anatomy &amp; Physiology, 11th ed. Pearson. [Accessed 27 Mar. 2026].</w:t>
        <w:br w:type="textWrapping"/>
        <w:t xml:space="preserve">Cheng, P. et al., 2020. Sleep and stress impact on glucose metabolism. Journal of Diabetes Research, 2020: 5630105. [Accessed 29 Mar. 2026].</w:t>
        <w:br w:type="textWrapping"/>
        <w:t xml:space="preserve">OpenStax, 2023. Anatomy &amp; Physiology. OpenStax.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https://openstax.org/books/anatomy-and-physiology/pages/23-2-regulation-of-blood-glucose</w:t>
        </w:r>
      </w:hyperlink>
      <w:r w:rsidDel="00000000" w:rsidR="00000000" w:rsidRPr="00000000">
        <w:rPr>
          <w:sz w:val="24"/>
          <w:szCs w:val="24"/>
          <w:rtl w:val="0"/>
        </w:rPr>
        <w:t xml:space="preserve"> [Accessed 24 Mar. 2026].</w:t>
      </w:r>
    </w:p>
    <w:p w:rsidR="00000000" w:rsidDel="00000000" w:rsidP="00000000" w:rsidRDefault="00000000" w:rsidRPr="00000000" w14:paraId="0000006B">
      <w:pPr>
        <w:rPr/>
      </w:pPr>
      <w:r w:rsidDel="00000000" w:rsidR="00000000" w:rsidRPr="00000000">
        <w:rPr>
          <w:rtl w:val="0"/>
        </w:rPr>
      </w:r>
    </w:p>
    <w:sectPr>
      <w:headerReference r:id="rId18" w:type="first"/>
      <w:footerReference r:id="rId19" w:type="default"/>
      <w:footerReference r:id="rId2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jc w:val="right"/>
      <w:rPr/>
    </w:pPr>
    <w:r w:rsidDel="00000000" w:rsidR="00000000" w:rsidRPr="00000000">
      <w:rPr>
        <w:b w:val="1"/>
        <w:bCs w:val="1"/>
        <w:sz w:val="24"/>
        <w:szCs w:val="24"/>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hyperlink" Target="https://diabetesjournals.org/care/article/46/Supplement_1/S1/152977/Standards-of-Care-in-Diabetes-2023" TargetMode="External"/><Relationship Id="rId10" Type="http://schemas.openxmlformats.org/officeDocument/2006/relationships/hyperlink" Target="https://diabetesjournals.org/care/article/46/Supplement_1/S1/152977/Standards-of-Care-in-Diabetes-2023" TargetMode="External"/><Relationship Id="rId13" Type="http://schemas.openxmlformats.org/officeDocument/2006/relationships/hyperlink" Target="https://www.idf.org/our-network/regions-members/north-america/diabetes-atlas.html" TargetMode="External"/><Relationship Id="rId12" Type="http://schemas.openxmlformats.org/officeDocument/2006/relationships/hyperlink" Target="https://www.idf.org/our-network/regions-members/north-america/diabetes-atla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www.ncbi.nlm.nih.gov/pmc/articles/PMC8384107/" TargetMode="External"/><Relationship Id="rId14" Type="http://schemas.openxmlformats.org/officeDocument/2006/relationships/hyperlink" Target="https://www.ncbi.nlm.nih.gov/pmc/articles/PMC8384107/" TargetMode="External"/><Relationship Id="rId17" Type="http://schemas.openxmlformats.org/officeDocument/2006/relationships/hyperlink" Target="https://openstax.org/books/anatomy-and-physiology/pages/23-2-regulation-of-blood-glucose" TargetMode="External"/><Relationship Id="rId16" Type="http://schemas.openxmlformats.org/officeDocument/2006/relationships/hyperlink" Target="https://openstax.org/books/anatomy-and-physiology/pages/23-2-regulation-of-blood-glucose" TargetMode="External"/><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1.png"/><Relationship Id="rId18" Type="http://schemas.openxmlformats.org/officeDocument/2006/relationships/header" Target="header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