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72BB9" w14:textId="25F345E9" w:rsidR="00F14BE3" w:rsidRPr="00276076" w:rsidRDefault="00CE6CFE" w:rsidP="00CE6CFE">
      <w:pPr>
        <w:pStyle w:val="Nornal"/>
        <w:rPr>
          <w:rStyle w:val="ui-provider"/>
          <w:rFonts w:ascii="Trebuchet MS" w:hAnsi="Trebuchet MS"/>
          <w:b/>
          <w:bCs/>
        </w:rPr>
      </w:pPr>
      <w:r w:rsidRPr="00276076">
        <w:rPr>
          <w:rStyle w:val="ui-provider"/>
          <w:rFonts w:ascii="Trebuchet MS" w:hAnsi="Trebuchet MS"/>
          <w:b/>
          <w:bCs/>
        </w:rPr>
        <w:t>C</w:t>
      </w:r>
      <w:r w:rsidR="00973781" w:rsidRPr="00276076">
        <w:rPr>
          <w:rStyle w:val="ui-provider"/>
          <w:rFonts w:ascii="Trebuchet MS" w:hAnsi="Trebuchet MS"/>
          <w:b/>
          <w:bCs/>
        </w:rPr>
        <w:t xml:space="preserve">ompetitive </w:t>
      </w:r>
      <w:proofErr w:type="spellStart"/>
      <w:r w:rsidRPr="00276076">
        <w:rPr>
          <w:rStyle w:val="ui-provider"/>
          <w:rFonts w:ascii="Trebuchet MS" w:hAnsi="Trebuchet MS"/>
          <w:b/>
          <w:bCs/>
        </w:rPr>
        <w:t>L</w:t>
      </w:r>
      <w:r w:rsidR="00973781" w:rsidRPr="00276076">
        <w:rPr>
          <w:rStyle w:val="ui-provider"/>
          <w:rFonts w:ascii="Trebuchet MS" w:hAnsi="Trebuchet MS"/>
          <w:b/>
          <w:bCs/>
        </w:rPr>
        <w:t>abour</w:t>
      </w:r>
      <w:proofErr w:type="spellEnd"/>
      <w:r w:rsidR="00973781" w:rsidRPr="00276076">
        <w:rPr>
          <w:rStyle w:val="ui-provider"/>
          <w:rFonts w:ascii="Trebuchet MS" w:hAnsi="Trebuchet MS"/>
          <w:b/>
          <w:bCs/>
        </w:rPr>
        <w:t xml:space="preserve"> </w:t>
      </w:r>
      <w:r w:rsidRPr="00276076">
        <w:rPr>
          <w:rStyle w:val="ui-provider"/>
          <w:rFonts w:ascii="Trebuchet MS" w:hAnsi="Trebuchet MS"/>
          <w:b/>
          <w:bCs/>
        </w:rPr>
        <w:t>M</w:t>
      </w:r>
      <w:r w:rsidR="00973781" w:rsidRPr="00276076">
        <w:rPr>
          <w:rStyle w:val="ui-provider"/>
          <w:rFonts w:ascii="Trebuchet MS" w:hAnsi="Trebuchet MS"/>
          <w:b/>
          <w:bCs/>
        </w:rPr>
        <w:t>arkets (AC 1.1)</w:t>
      </w:r>
    </w:p>
    <w:p w14:paraId="36C1F67D" w14:textId="77777777" w:rsidR="00C77BF0" w:rsidRPr="00276076" w:rsidRDefault="00C77BF0" w:rsidP="00E375F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a long-established national parcel and package delivery service, is currently facing challenges in attracting, recruiting, and retaining staff due to increased competition in the labour market. To strategically position itself in this competitive environment,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can implement several key strategies. Enhancing its employer brand is crucial; by promoting a positive image that highlights employee benefits, career development opportunities, and a supportive work culture,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can attract top talent (Scott, 2024). Utilising social media platforms, employee testimonials, and professional networks can amplify this message and reach a broader audience. Additionally, offering competitive compensation packages that include not only salary but also benefits such as health insurance, retirement plans, and performance bonuses can make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a more attractive employer (CIPD, 2023).</w:t>
      </w:r>
    </w:p>
    <w:p w14:paraId="4A19FD5D" w14:textId="77777777" w:rsidR="00C77BF0" w:rsidRPr="00276076" w:rsidRDefault="00C77BF0" w:rsidP="00E375F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Implementing effective recruitment and retention strategies is essential. This includes streamlining the hiring process to reduce time-to-hire, providing comprehensive onboarding programmes to integrate new employees effectively, and offering continuous training and development opportunities to enhance skills and career progression (CIPD, 2024). Furthermore, fostering a positive work environment that encourages employee engagement and satisfaction can lead to higher retention rates (CIPD, 2022).</w:t>
      </w:r>
    </w:p>
    <w:p w14:paraId="6219BE76" w14:textId="77777777" w:rsidR="00C77BF0" w:rsidRPr="00276076" w:rsidRDefault="00C77BF0" w:rsidP="00E375F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Adopting strategic workforce planning can help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anticipate future staffing needs and address potential skill gaps. By forecasting labour requirements based on business growth and market trends,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can proactively recruit and train employees to meet these demands (CIPD, 2024). This approach not only ensures a steady talent pipeline but also reduces the risks associated with sudden staff shortages.</w:t>
      </w:r>
    </w:p>
    <w:p w14:paraId="10ACA15E" w14:textId="77777777" w:rsidR="00C77BF0" w:rsidRPr="00276076" w:rsidRDefault="00C77BF0" w:rsidP="00E375F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Lastly, embracing technological advancements can improve operational efficiency and attract tech-savvy employees. Investing in automation, data analytics, and digital tools can streamline processes and reduce manual workloads, making the company more appealing to potential candidates seeking innovative workplaces (Scott, 2024).</w:t>
      </w:r>
    </w:p>
    <w:p w14:paraId="49B74739" w14:textId="77777777" w:rsidR="00C77BF0" w:rsidRPr="00276076" w:rsidRDefault="00C77BF0" w:rsidP="00E375F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In conclusion, by enhancing its employer brand, implementing effective recruitment and retention strategies, adopting strategic workforce planning, and embracing technological advancements,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can strategically position itself to attract, recruit, and retain top talent in a competitive labour market.</w:t>
      </w:r>
    </w:p>
    <w:p w14:paraId="5C68B5C3" w14:textId="77777777" w:rsidR="00C77BF0" w:rsidRPr="00276076" w:rsidRDefault="00C77BF0" w:rsidP="00C77BF0">
      <w:pPr>
        <w:pStyle w:val="Nornal"/>
        <w:rPr>
          <w:rFonts w:ascii="Trebuchet MS" w:hAnsi="Trebuchet MS"/>
        </w:rPr>
      </w:pPr>
    </w:p>
    <w:p w14:paraId="17B53319" w14:textId="1798B992" w:rsidR="00F14BE3" w:rsidRPr="00276076" w:rsidRDefault="003C31C3" w:rsidP="0035023A">
      <w:pPr>
        <w:pStyle w:val="Nornal"/>
        <w:rPr>
          <w:rStyle w:val="ui-provider"/>
          <w:rFonts w:ascii="Trebuchet MS" w:hAnsi="Trebuchet MS"/>
          <w:b/>
          <w:bCs/>
        </w:rPr>
      </w:pPr>
      <w:r w:rsidRPr="00276076">
        <w:rPr>
          <w:rStyle w:val="ui-provider"/>
          <w:rFonts w:ascii="Trebuchet MS" w:hAnsi="Trebuchet MS"/>
          <w:b/>
          <w:bCs/>
        </w:rPr>
        <w:t>C</w:t>
      </w:r>
      <w:r w:rsidR="00973781" w:rsidRPr="00276076">
        <w:rPr>
          <w:rStyle w:val="ui-provider"/>
          <w:rFonts w:ascii="Trebuchet MS" w:hAnsi="Trebuchet MS"/>
          <w:b/>
          <w:bCs/>
        </w:rPr>
        <w:t xml:space="preserve">hanging </w:t>
      </w:r>
      <w:proofErr w:type="spellStart"/>
      <w:r w:rsidR="00973781" w:rsidRPr="00276076">
        <w:rPr>
          <w:rStyle w:val="ui-provider"/>
          <w:rFonts w:ascii="Trebuchet MS" w:hAnsi="Trebuchet MS"/>
          <w:b/>
          <w:bCs/>
        </w:rPr>
        <w:t>labour</w:t>
      </w:r>
      <w:proofErr w:type="spellEnd"/>
      <w:r w:rsidR="00973781" w:rsidRPr="00276076">
        <w:rPr>
          <w:rStyle w:val="ui-provider"/>
          <w:rFonts w:ascii="Trebuchet MS" w:hAnsi="Trebuchet MS"/>
          <w:b/>
          <w:bCs/>
        </w:rPr>
        <w:t xml:space="preserve"> market conditions </w:t>
      </w:r>
      <w:r w:rsidR="0035023A" w:rsidRPr="00276076">
        <w:rPr>
          <w:rStyle w:val="ui-provider"/>
          <w:rFonts w:ascii="Trebuchet MS" w:hAnsi="Trebuchet MS"/>
          <w:b/>
          <w:bCs/>
        </w:rPr>
        <w:t>and</w:t>
      </w:r>
      <w:r w:rsidR="00973781" w:rsidRPr="00276076">
        <w:rPr>
          <w:rStyle w:val="ui-provider"/>
          <w:rFonts w:ascii="Trebuchet MS" w:hAnsi="Trebuchet MS"/>
          <w:b/>
          <w:bCs/>
        </w:rPr>
        <w:t xml:space="preserve"> resourcing</w:t>
      </w:r>
      <w:r w:rsidR="0035023A" w:rsidRPr="00276076">
        <w:rPr>
          <w:rStyle w:val="ui-provider"/>
          <w:rFonts w:ascii="Trebuchet MS" w:hAnsi="Trebuchet MS"/>
          <w:b/>
          <w:bCs/>
        </w:rPr>
        <w:t xml:space="preserve"> </w:t>
      </w:r>
      <w:r w:rsidR="00973781" w:rsidRPr="00276076">
        <w:rPr>
          <w:rStyle w:val="ui-provider"/>
          <w:rFonts w:ascii="Trebuchet MS" w:hAnsi="Trebuchet MS"/>
          <w:b/>
          <w:bCs/>
        </w:rPr>
        <w:t>(AC 1.2)</w:t>
      </w:r>
    </w:p>
    <w:p w14:paraId="032B91BB" w14:textId="77777777" w:rsidR="0035023A" w:rsidRPr="00276076" w:rsidRDefault="0035023A" w:rsidP="0035023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Changing labour market conditions have a significant impact on resourcing decisions at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influencing how the organisation attracts, recruits, and retains employees. In recent years, the parcel delivery sector has experienced rapid growth, driven by increasing e-commerce demand, but this growth has also intensified competition for skilled labour. New entrants to the market, along with competing organisations offering flexible working arrangements, higher pay, or enhanced benefits, have placed pressure on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to adapt its resourcing strategies (CIPD, 2023). This competitive labour environment means that traditional recruitment approaches may no longer be sufficient, necessitating more strategic and proactive workforce planning.</w:t>
      </w:r>
    </w:p>
    <w:p w14:paraId="39826BCE" w14:textId="77777777" w:rsidR="0035023A" w:rsidRPr="00276076" w:rsidRDefault="0035023A" w:rsidP="0035023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One of the primary impacts of changing labour market conditions is the need for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to adjust compensation and benefits packages. Tight labour markets often lead to wage inflation, particularly for roles that are in high demand, such as delivery drivers, warehouse operatives, and logistics coordinators (Armstrong &amp; Taylor, 2020). Failure to offer competitive salaries risks losing candidates to rival organisations and increases staff turnover, which can disrupt operations and </w:t>
      </w:r>
      <w:r w:rsidRPr="00276076">
        <w:rPr>
          <w:rFonts w:ascii="Trebuchet MS" w:eastAsia="Times New Roman" w:hAnsi="Trebuchet MS"/>
          <w:sz w:val="22"/>
          <w:szCs w:val="22"/>
          <w:bdr w:val="none" w:sz="0" w:space="0" w:color="auto"/>
          <w:lang w:val="en-GB" w:eastAsia="en-GB"/>
        </w:rPr>
        <w:lastRenderedPageBreak/>
        <w:t>increase recruitment costs. Consequently, resourcing decisions must include regular benchmarking against industry standards to ensure that remuneration remains attractive.</w:t>
      </w:r>
    </w:p>
    <w:p w14:paraId="5B6E9282" w14:textId="77777777" w:rsidR="0035023A" w:rsidRPr="00276076" w:rsidRDefault="0035023A" w:rsidP="0035023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In addition, changes in workforce demographics and employee expectations require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to reconsider its recruitment and retention strategies. Younger employees increasingly value flexible working, career development opportunities, and organisational culture, while older workers may prioritise job security and pension benefits (CIPD, 2022). To respond effectively,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must integrate diversity and inclusion initiatives into its resourcing practices and develop tailored retention strategies that meet the needs of different employee segments.</w:t>
      </w:r>
    </w:p>
    <w:p w14:paraId="3BF75972" w14:textId="77777777" w:rsidR="0035023A" w:rsidRPr="00276076" w:rsidRDefault="0035023A" w:rsidP="0035023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Labour market volatility also affects strategic workforce planning. Economic uncertainty, seasonal fluctuations, and regional differences in labour supply necessitate agile recruitment practices.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may need to use temporary staffing solutions, partnerships with staffing agencies, and digital recruitment platforms to quickly meet fluctuating demand (CIPD, 2024). Data-driven insights into labour market trends can support informed decision-making, enabling the company to forecast staffing needs, anticipate skill shortages, and reduce the risk of operational disruption.</w:t>
      </w:r>
    </w:p>
    <w:p w14:paraId="1B2F4A8D" w14:textId="77777777" w:rsidR="0035023A" w:rsidRPr="00276076" w:rsidRDefault="0035023A" w:rsidP="0035023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In conclusion, changing labour market conditions directly influence resourcing decisions at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by shaping compensation strategies, recruitment practices, retention approaches, and workforce planning. By responding proactively to these changes, leveraging market intelligence, and adopting flexible and inclusive resourcing strategies,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can maintain a competitive edge in attracting and retaining the talent needed to support its growth and operational objectives.</w:t>
      </w:r>
    </w:p>
    <w:p w14:paraId="1B39B210" w14:textId="77777777" w:rsidR="0035023A" w:rsidRPr="00276076" w:rsidRDefault="0035023A" w:rsidP="0035023A">
      <w:pPr>
        <w:pStyle w:val="Nornal"/>
        <w:rPr>
          <w:rFonts w:ascii="Trebuchet MS" w:hAnsi="Trebuchet MS"/>
        </w:rPr>
      </w:pPr>
    </w:p>
    <w:p w14:paraId="7DA1491E" w14:textId="049ED7C7" w:rsidR="0089162E" w:rsidRPr="00276076" w:rsidRDefault="003C31C3" w:rsidP="003C31C3">
      <w:pPr>
        <w:pStyle w:val="Nornal"/>
        <w:rPr>
          <w:rStyle w:val="ui-provider"/>
          <w:rFonts w:ascii="Trebuchet MS" w:hAnsi="Trebuchet MS"/>
          <w:b/>
          <w:bCs/>
        </w:rPr>
      </w:pPr>
      <w:r w:rsidRPr="00276076">
        <w:rPr>
          <w:rStyle w:val="ui-provider"/>
          <w:rFonts w:ascii="Trebuchet MS" w:hAnsi="Trebuchet MS"/>
          <w:b/>
          <w:bCs/>
        </w:rPr>
        <w:t>Impact</w:t>
      </w:r>
      <w:r w:rsidR="00973781" w:rsidRPr="00276076">
        <w:rPr>
          <w:rStyle w:val="ui-provider"/>
          <w:rFonts w:ascii="Trebuchet MS" w:hAnsi="Trebuchet MS"/>
          <w:b/>
          <w:bCs/>
        </w:rPr>
        <w:t xml:space="preserve"> of effective workforce planning</w:t>
      </w:r>
      <w:r w:rsidRPr="00276076">
        <w:rPr>
          <w:rStyle w:val="ui-provider"/>
          <w:rFonts w:ascii="Trebuchet MS" w:hAnsi="Trebuchet MS"/>
          <w:b/>
          <w:bCs/>
        </w:rPr>
        <w:t xml:space="preserve"> </w:t>
      </w:r>
      <w:r w:rsidR="00973781" w:rsidRPr="00276076">
        <w:rPr>
          <w:rStyle w:val="ui-provider"/>
          <w:rFonts w:ascii="Trebuchet MS" w:hAnsi="Trebuchet MS"/>
          <w:b/>
          <w:bCs/>
        </w:rPr>
        <w:t>(AC 2.1)</w:t>
      </w:r>
    </w:p>
    <w:p w14:paraId="156A3308" w14:textId="77777777" w:rsidR="00AC1D66" w:rsidRPr="00276076" w:rsidRDefault="00AC1D66" w:rsidP="00AC1D6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Effective workforce planning is a strategic process that ensures an organisation has the right number of people, with the right skills, in the right roles at the right time. For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where operational efficiency depends heavily on maintaining adequate staffing levels across delivery, logistics, and administrative functions, implementing workforce planning could provide substantial benefits. The absence of structured workforce planning in the past may have contributed to current staffing challenges, including skills shortages, high turnover, and difficulties in meeting fluctuating demand. Introducing this activity would enable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to move from reactive to proactive management of its human resources (CIPD, 2024).</w:t>
      </w:r>
    </w:p>
    <w:p w14:paraId="2634758D" w14:textId="77777777" w:rsidR="00AC1D66" w:rsidRPr="00276076" w:rsidRDefault="00AC1D66" w:rsidP="00AC1D6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One of the key impacts of effective workforce planning is improved organisational agility. By forecasting future workforce requirements and identifying potential skills gaps,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can prepare for both short-term operational needs and long-term strategic growth (Reilly, 2018). For example, analysing delivery volume data could help anticipate peak demand periods, ensuring sufficient staff availability without excessive reliance on costly agency workers. This not only improves productivity but also enhances service reliability, supporting the company’s reputation in a competitive parcel delivery market.</w:t>
      </w:r>
    </w:p>
    <w:p w14:paraId="458E6C2D" w14:textId="77777777" w:rsidR="00AC1D66" w:rsidRPr="00276076" w:rsidRDefault="00AC1D66" w:rsidP="00AC1D6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Workforce planning also enhances talent management by aligning people strategies with business objectives. Through skills mapping and succession planning,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can identify critical roles and develop internal pipelines to fill them. This approach supports employee engagement and career development, helping reduce turnover and recruitment costs (Armstrong &amp; Taylor, 2020). In a labour market where retaining experienced logistics and delivery staff is increasingly difficult, having a clear strategy for internal progression and development is essential for maintaining operational continuity.</w:t>
      </w:r>
    </w:p>
    <w:p w14:paraId="03D8DEE8" w14:textId="77777777" w:rsidR="00AC1D66" w:rsidRPr="00276076" w:rsidRDefault="00AC1D66" w:rsidP="00AC1D6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Moreover, effective workforce planning enables better financial and resource allocation. By aligning staffing levels with workload forecasts,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can optimise labour costs and avoid </w:t>
      </w:r>
      <w:r w:rsidRPr="00276076">
        <w:rPr>
          <w:rFonts w:ascii="Trebuchet MS" w:eastAsia="Times New Roman" w:hAnsi="Trebuchet MS"/>
          <w:sz w:val="22"/>
          <w:szCs w:val="22"/>
          <w:bdr w:val="none" w:sz="0" w:space="0" w:color="auto"/>
          <w:lang w:val="en-GB" w:eastAsia="en-GB"/>
        </w:rPr>
        <w:lastRenderedPageBreak/>
        <w:t>the inefficiencies associated with both understaffing and overstaffing (CIPD, 2022). The ability to make data-driven resourcing decisions can also improve budget accuracy and strengthen the business case for investments in recruitment, training, or automation.</w:t>
      </w:r>
    </w:p>
    <w:p w14:paraId="31EC149E" w14:textId="334788B0" w:rsidR="00AC1D66" w:rsidRPr="00276076" w:rsidRDefault="00AC1D66" w:rsidP="00AC1D6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Finally, workforce planning promotes diversity and inclusion by using data to ensure fair recruitment and development opportunities across all demographic groups. A diverse workforce enhances innovation, decision-making, and customer satisfaction</w:t>
      </w:r>
      <w:r w:rsidR="008D3B1B">
        <w:rPr>
          <w:rFonts w:ascii="Trebuchet MS" w:eastAsia="Times New Roman" w:hAnsi="Trebuchet MS"/>
          <w:sz w:val="22"/>
          <w:szCs w:val="22"/>
          <w:bdr w:val="none" w:sz="0" w:space="0" w:color="auto"/>
          <w:lang w:val="en-GB" w:eastAsia="en-GB"/>
        </w:rPr>
        <w:t xml:space="preserve"> - </w:t>
      </w:r>
      <w:r w:rsidRPr="00276076">
        <w:rPr>
          <w:rFonts w:ascii="Trebuchet MS" w:eastAsia="Times New Roman" w:hAnsi="Trebuchet MS"/>
          <w:sz w:val="22"/>
          <w:szCs w:val="22"/>
          <w:bdr w:val="none" w:sz="0" w:space="0" w:color="auto"/>
          <w:lang w:val="en-GB" w:eastAsia="en-GB"/>
        </w:rPr>
        <w:t>key competitive advantages in a customer-focused service industry (CIPD, 2023).</w:t>
      </w:r>
    </w:p>
    <w:p w14:paraId="48DFBCED" w14:textId="77777777" w:rsidR="00AC1D66" w:rsidRPr="00276076" w:rsidRDefault="00AC1D66" w:rsidP="00AC1D6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In conclusion, effective workforce planning would provide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with greater agility, financial efficiency, and workforce stability. By anticipating future needs, aligning resources strategically, and fostering internal talent,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can build a sustainable and resilient workforce capable of supporting its long-term success.</w:t>
      </w:r>
    </w:p>
    <w:p w14:paraId="55A4463C" w14:textId="77777777" w:rsidR="00AC1D66" w:rsidRPr="00276076" w:rsidRDefault="00AC1D66" w:rsidP="00AC1D66">
      <w:pPr>
        <w:pStyle w:val="Nornal"/>
        <w:rPr>
          <w:rFonts w:ascii="Trebuchet MS" w:hAnsi="Trebuchet MS"/>
        </w:rPr>
      </w:pPr>
    </w:p>
    <w:p w14:paraId="53D97EC4" w14:textId="5B9939F6" w:rsidR="00F14BE3" w:rsidRPr="00276076" w:rsidRDefault="00EB3907" w:rsidP="00EB3907">
      <w:pPr>
        <w:pStyle w:val="Nornal"/>
        <w:rPr>
          <w:rStyle w:val="ui-provider"/>
          <w:rFonts w:ascii="Trebuchet MS" w:hAnsi="Trebuchet MS"/>
          <w:b/>
          <w:bCs/>
        </w:rPr>
      </w:pPr>
      <w:r w:rsidRPr="00276076">
        <w:rPr>
          <w:rStyle w:val="ui-provider"/>
          <w:rFonts w:ascii="Trebuchet MS" w:hAnsi="Trebuchet MS"/>
          <w:b/>
          <w:bCs/>
        </w:rPr>
        <w:t>T</w:t>
      </w:r>
      <w:r w:rsidR="00973781" w:rsidRPr="00276076">
        <w:rPr>
          <w:rStyle w:val="ui-provider"/>
          <w:rFonts w:ascii="Trebuchet MS" w:hAnsi="Trebuchet MS"/>
          <w:b/>
          <w:bCs/>
        </w:rPr>
        <w:t>echniques to support workforce planning (AC 2.2)</w:t>
      </w:r>
    </w:p>
    <w:p w14:paraId="146F86C9" w14:textId="77777777" w:rsidR="0094146A" w:rsidRPr="00664AD5" w:rsidRDefault="0094146A" w:rsidP="0094146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trike/>
          <w:sz w:val="22"/>
          <w:szCs w:val="22"/>
          <w:bdr w:val="none" w:sz="0" w:space="0" w:color="auto"/>
          <w:lang w:val="en-GB" w:eastAsia="en-GB"/>
        </w:rPr>
      </w:pPr>
      <w:r w:rsidRPr="00664AD5">
        <w:rPr>
          <w:rFonts w:ascii="Trebuchet MS" w:eastAsia="Times New Roman" w:hAnsi="Trebuchet MS"/>
          <w:strike/>
          <w:sz w:val="22"/>
          <w:szCs w:val="22"/>
          <w:bdr w:val="none" w:sz="0" w:space="0" w:color="auto"/>
          <w:lang w:val="en-GB" w:eastAsia="en-GB"/>
        </w:rPr>
        <w:t xml:space="preserve">To effectively introduce workforce planning at </w:t>
      </w:r>
      <w:proofErr w:type="spellStart"/>
      <w:r w:rsidRPr="00664AD5">
        <w:rPr>
          <w:rFonts w:ascii="Trebuchet MS" w:eastAsia="Times New Roman" w:hAnsi="Trebuchet MS"/>
          <w:strike/>
          <w:sz w:val="22"/>
          <w:szCs w:val="22"/>
          <w:bdr w:val="none" w:sz="0" w:space="0" w:color="auto"/>
          <w:lang w:val="en-GB" w:eastAsia="en-GB"/>
        </w:rPr>
        <w:t>ParcelCare</w:t>
      </w:r>
      <w:proofErr w:type="spellEnd"/>
      <w:r w:rsidRPr="00664AD5">
        <w:rPr>
          <w:rFonts w:ascii="Trebuchet MS" w:eastAsia="Times New Roman" w:hAnsi="Trebuchet MS"/>
          <w:strike/>
          <w:sz w:val="22"/>
          <w:szCs w:val="22"/>
          <w:bdr w:val="none" w:sz="0" w:space="0" w:color="auto"/>
          <w:lang w:val="en-GB" w:eastAsia="en-GB"/>
        </w:rPr>
        <w:t>, it is essential to evaluate the techniques that can support the process and ensure it delivers measurable outcomes. Workforce planning involves analysing current workforce capabilities, forecasting future needs, and implementing strategies to bridge any gaps. A range of analytical and strategic techniques can be used to make this process systematic, data-driven, and aligned with business objectives.</w:t>
      </w:r>
    </w:p>
    <w:p w14:paraId="15927B67" w14:textId="77777777" w:rsidR="0094146A" w:rsidRPr="00664AD5" w:rsidRDefault="0094146A" w:rsidP="0094146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trike/>
          <w:sz w:val="22"/>
          <w:szCs w:val="22"/>
          <w:bdr w:val="none" w:sz="0" w:space="0" w:color="auto"/>
          <w:lang w:val="en-GB" w:eastAsia="en-GB"/>
        </w:rPr>
      </w:pPr>
      <w:r w:rsidRPr="00664AD5">
        <w:rPr>
          <w:rFonts w:ascii="Trebuchet MS" w:eastAsia="Times New Roman" w:hAnsi="Trebuchet MS"/>
          <w:strike/>
          <w:sz w:val="22"/>
          <w:szCs w:val="22"/>
          <w:bdr w:val="none" w:sz="0" w:space="0" w:color="auto"/>
          <w:lang w:val="en-GB" w:eastAsia="en-GB"/>
        </w:rPr>
        <w:t xml:space="preserve">One of the most fundamental techniques is workforce supply and demand forecasting, which compares the existing workforce (supply) with future organisational needs (demand). Using historical data on staff turnover, retirement rates, and business growth, </w:t>
      </w:r>
      <w:proofErr w:type="spellStart"/>
      <w:r w:rsidRPr="00664AD5">
        <w:rPr>
          <w:rFonts w:ascii="Trebuchet MS" w:eastAsia="Times New Roman" w:hAnsi="Trebuchet MS"/>
          <w:strike/>
          <w:sz w:val="22"/>
          <w:szCs w:val="22"/>
          <w:bdr w:val="none" w:sz="0" w:space="0" w:color="auto"/>
          <w:lang w:val="en-GB" w:eastAsia="en-GB"/>
        </w:rPr>
        <w:t>ParcelCare</w:t>
      </w:r>
      <w:proofErr w:type="spellEnd"/>
      <w:r w:rsidRPr="00664AD5">
        <w:rPr>
          <w:rFonts w:ascii="Trebuchet MS" w:eastAsia="Times New Roman" w:hAnsi="Trebuchet MS"/>
          <w:strike/>
          <w:sz w:val="22"/>
          <w:szCs w:val="22"/>
          <w:bdr w:val="none" w:sz="0" w:space="0" w:color="auto"/>
          <w:lang w:val="en-GB" w:eastAsia="en-GB"/>
        </w:rPr>
        <w:t xml:space="preserve"> can predict workforce shortages or surpluses (CIPD, 2024). This technique allows HR and operational leaders to make evidence-based decisions regarding recruitment, redeployment, or upskilling. For instance, during seasonal peaks in parcel delivery, demand forecasting can help determine how many additional delivery drivers will be required, reducing reliance on last-minute agency hires and associated costs.</w:t>
      </w:r>
    </w:p>
    <w:p w14:paraId="2F94E29B" w14:textId="77777777" w:rsidR="0094146A" w:rsidRPr="00664AD5" w:rsidRDefault="0094146A" w:rsidP="0094146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trike/>
          <w:sz w:val="22"/>
          <w:szCs w:val="22"/>
          <w:bdr w:val="none" w:sz="0" w:space="0" w:color="auto"/>
          <w:lang w:val="en-GB" w:eastAsia="en-GB"/>
        </w:rPr>
      </w:pPr>
      <w:r w:rsidRPr="00664AD5">
        <w:rPr>
          <w:rFonts w:ascii="Trebuchet MS" w:eastAsia="Times New Roman" w:hAnsi="Trebuchet MS"/>
          <w:strike/>
          <w:sz w:val="22"/>
          <w:szCs w:val="22"/>
          <w:bdr w:val="none" w:sz="0" w:space="0" w:color="auto"/>
          <w:lang w:val="en-GB" w:eastAsia="en-GB"/>
        </w:rPr>
        <w:t xml:space="preserve">Skills audits and gap analysis are also essential tools in workforce planning. By assessing current employee skills and comparing them with those needed for future roles, </w:t>
      </w:r>
      <w:proofErr w:type="spellStart"/>
      <w:r w:rsidRPr="00664AD5">
        <w:rPr>
          <w:rFonts w:ascii="Trebuchet MS" w:eastAsia="Times New Roman" w:hAnsi="Trebuchet MS"/>
          <w:strike/>
          <w:sz w:val="22"/>
          <w:szCs w:val="22"/>
          <w:bdr w:val="none" w:sz="0" w:space="0" w:color="auto"/>
          <w:lang w:val="en-GB" w:eastAsia="en-GB"/>
        </w:rPr>
        <w:t>ParcelCare</w:t>
      </w:r>
      <w:proofErr w:type="spellEnd"/>
      <w:r w:rsidRPr="00664AD5">
        <w:rPr>
          <w:rFonts w:ascii="Trebuchet MS" w:eastAsia="Times New Roman" w:hAnsi="Trebuchet MS"/>
          <w:strike/>
          <w:sz w:val="22"/>
          <w:szCs w:val="22"/>
          <w:bdr w:val="none" w:sz="0" w:space="0" w:color="auto"/>
          <w:lang w:val="en-GB" w:eastAsia="en-GB"/>
        </w:rPr>
        <w:t xml:space="preserve"> can identify critical capability gaps (Reilly, 2018). Conducting regular skills audits will help the organisation prioritise training and development investments, ensuring employees are prepared for technological and operational changes, such as automation and digital logistics systems.</w:t>
      </w:r>
    </w:p>
    <w:p w14:paraId="7DC61305" w14:textId="1F056433" w:rsidR="0094146A" w:rsidRPr="00664AD5" w:rsidRDefault="0094146A" w:rsidP="0094146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trike/>
          <w:sz w:val="22"/>
          <w:szCs w:val="22"/>
          <w:bdr w:val="none" w:sz="0" w:space="0" w:color="auto"/>
          <w:lang w:val="en-GB" w:eastAsia="en-GB"/>
        </w:rPr>
      </w:pPr>
      <w:r w:rsidRPr="00664AD5">
        <w:rPr>
          <w:rFonts w:ascii="Trebuchet MS" w:eastAsia="Times New Roman" w:hAnsi="Trebuchet MS"/>
          <w:strike/>
          <w:sz w:val="22"/>
          <w:szCs w:val="22"/>
          <w:bdr w:val="none" w:sz="0" w:space="0" w:color="auto"/>
          <w:lang w:val="en-GB" w:eastAsia="en-GB"/>
        </w:rPr>
        <w:t xml:space="preserve">Another valuable technique is scenario planning, which explores multiple possible futures based on external factors like economic shifts, technological advancements, or labour market trends (Armstrong &amp; Taylor, 2020). For </w:t>
      </w:r>
      <w:proofErr w:type="spellStart"/>
      <w:r w:rsidRPr="00664AD5">
        <w:rPr>
          <w:rFonts w:ascii="Trebuchet MS" w:eastAsia="Times New Roman" w:hAnsi="Trebuchet MS"/>
          <w:strike/>
          <w:sz w:val="22"/>
          <w:szCs w:val="22"/>
          <w:bdr w:val="none" w:sz="0" w:space="0" w:color="auto"/>
          <w:lang w:val="en-GB" w:eastAsia="en-GB"/>
        </w:rPr>
        <w:t>ParcelCare</w:t>
      </w:r>
      <w:proofErr w:type="spellEnd"/>
      <w:r w:rsidRPr="00664AD5">
        <w:rPr>
          <w:rFonts w:ascii="Trebuchet MS" w:eastAsia="Times New Roman" w:hAnsi="Trebuchet MS"/>
          <w:strike/>
          <w:sz w:val="22"/>
          <w:szCs w:val="22"/>
          <w:bdr w:val="none" w:sz="0" w:space="0" w:color="auto"/>
          <w:lang w:val="en-GB" w:eastAsia="en-GB"/>
        </w:rPr>
        <w:t>, this could mean modelling how different scenarios</w:t>
      </w:r>
      <w:r w:rsidR="00D47FA0" w:rsidRPr="00664AD5">
        <w:rPr>
          <w:rFonts w:ascii="Trebuchet MS" w:eastAsia="Times New Roman" w:hAnsi="Trebuchet MS"/>
          <w:strike/>
          <w:sz w:val="22"/>
          <w:szCs w:val="22"/>
          <w:bdr w:val="none" w:sz="0" w:space="0" w:color="auto"/>
          <w:lang w:val="en-GB" w:eastAsia="en-GB"/>
        </w:rPr>
        <w:t xml:space="preserve"> - </w:t>
      </w:r>
      <w:r w:rsidRPr="00664AD5">
        <w:rPr>
          <w:rFonts w:ascii="Trebuchet MS" w:eastAsia="Times New Roman" w:hAnsi="Trebuchet MS"/>
          <w:strike/>
          <w:sz w:val="22"/>
          <w:szCs w:val="22"/>
          <w:bdr w:val="none" w:sz="0" w:space="0" w:color="auto"/>
          <w:lang w:val="en-GB" w:eastAsia="en-GB"/>
        </w:rPr>
        <w:t>such as increased automation or labour shortages</w:t>
      </w:r>
      <w:r w:rsidR="00D47FA0" w:rsidRPr="00664AD5">
        <w:rPr>
          <w:rFonts w:ascii="Trebuchet MS" w:eastAsia="Times New Roman" w:hAnsi="Trebuchet MS"/>
          <w:strike/>
          <w:sz w:val="22"/>
          <w:szCs w:val="22"/>
          <w:bdr w:val="none" w:sz="0" w:space="0" w:color="auto"/>
          <w:lang w:val="en-GB" w:eastAsia="en-GB"/>
        </w:rPr>
        <w:t xml:space="preserve"> - </w:t>
      </w:r>
      <w:r w:rsidRPr="00664AD5">
        <w:rPr>
          <w:rFonts w:ascii="Trebuchet MS" w:eastAsia="Times New Roman" w:hAnsi="Trebuchet MS"/>
          <w:strike/>
          <w:sz w:val="22"/>
          <w:szCs w:val="22"/>
          <w:bdr w:val="none" w:sz="0" w:space="0" w:color="auto"/>
          <w:lang w:val="en-GB" w:eastAsia="en-GB"/>
        </w:rPr>
        <w:t>might impact staffing needs. This proactive approach supports long-term resilience and helps leadership develop contingency plans for potential workforce disruptions.</w:t>
      </w:r>
    </w:p>
    <w:p w14:paraId="32D4A84B" w14:textId="77777777" w:rsidR="0094146A" w:rsidRPr="00664AD5" w:rsidRDefault="0094146A" w:rsidP="0094146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trike/>
          <w:sz w:val="22"/>
          <w:szCs w:val="22"/>
          <w:bdr w:val="none" w:sz="0" w:space="0" w:color="auto"/>
          <w:lang w:val="en-GB" w:eastAsia="en-GB"/>
        </w:rPr>
      </w:pPr>
      <w:r w:rsidRPr="00664AD5">
        <w:rPr>
          <w:rFonts w:ascii="Trebuchet MS" w:eastAsia="Times New Roman" w:hAnsi="Trebuchet MS"/>
          <w:strike/>
          <w:sz w:val="22"/>
          <w:szCs w:val="22"/>
          <w:bdr w:val="none" w:sz="0" w:space="0" w:color="auto"/>
          <w:lang w:val="en-GB" w:eastAsia="en-GB"/>
        </w:rPr>
        <w:t xml:space="preserve">Succession planning also supports workforce planning by ensuring business continuity in critical roles. Identifying and developing internal talent to step into key positions reduces the risks associated with turnover and helps retain high-performing employees (CIPD, 2023). At </w:t>
      </w:r>
      <w:proofErr w:type="spellStart"/>
      <w:r w:rsidRPr="00664AD5">
        <w:rPr>
          <w:rFonts w:ascii="Trebuchet MS" w:eastAsia="Times New Roman" w:hAnsi="Trebuchet MS"/>
          <w:strike/>
          <w:sz w:val="22"/>
          <w:szCs w:val="22"/>
          <w:bdr w:val="none" w:sz="0" w:space="0" w:color="auto"/>
          <w:lang w:val="en-GB" w:eastAsia="en-GB"/>
        </w:rPr>
        <w:t>ParcelCare</w:t>
      </w:r>
      <w:proofErr w:type="spellEnd"/>
      <w:r w:rsidRPr="00664AD5">
        <w:rPr>
          <w:rFonts w:ascii="Trebuchet MS" w:eastAsia="Times New Roman" w:hAnsi="Trebuchet MS"/>
          <w:strike/>
          <w:sz w:val="22"/>
          <w:szCs w:val="22"/>
          <w:bdr w:val="none" w:sz="0" w:space="0" w:color="auto"/>
          <w:lang w:val="en-GB" w:eastAsia="en-GB"/>
        </w:rPr>
        <w:t>, structured succession planning for logistics managers and team leaders could improve retention by providing clear career pathways.</w:t>
      </w:r>
    </w:p>
    <w:p w14:paraId="23491A4B" w14:textId="77777777" w:rsidR="0094146A" w:rsidRPr="00664AD5" w:rsidRDefault="0094146A" w:rsidP="0094146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trike/>
          <w:sz w:val="22"/>
          <w:szCs w:val="22"/>
          <w:bdr w:val="none" w:sz="0" w:space="0" w:color="auto"/>
          <w:lang w:val="en-GB" w:eastAsia="en-GB"/>
        </w:rPr>
      </w:pPr>
      <w:r w:rsidRPr="00664AD5">
        <w:rPr>
          <w:rFonts w:ascii="Trebuchet MS" w:eastAsia="Times New Roman" w:hAnsi="Trebuchet MS"/>
          <w:strike/>
          <w:sz w:val="22"/>
          <w:szCs w:val="22"/>
          <w:bdr w:val="none" w:sz="0" w:space="0" w:color="auto"/>
          <w:lang w:val="en-GB" w:eastAsia="en-GB"/>
        </w:rPr>
        <w:t xml:space="preserve">Finally, HR analytics and technology play an increasingly important role. Using HR information systems (HRIS) and predictive analytics, </w:t>
      </w:r>
      <w:proofErr w:type="spellStart"/>
      <w:r w:rsidRPr="00664AD5">
        <w:rPr>
          <w:rFonts w:ascii="Trebuchet MS" w:eastAsia="Times New Roman" w:hAnsi="Trebuchet MS"/>
          <w:strike/>
          <w:sz w:val="22"/>
          <w:szCs w:val="22"/>
          <w:bdr w:val="none" w:sz="0" w:space="0" w:color="auto"/>
          <w:lang w:val="en-GB" w:eastAsia="en-GB"/>
        </w:rPr>
        <w:t>ParcelCare</w:t>
      </w:r>
      <w:proofErr w:type="spellEnd"/>
      <w:r w:rsidRPr="00664AD5">
        <w:rPr>
          <w:rFonts w:ascii="Trebuchet MS" w:eastAsia="Times New Roman" w:hAnsi="Trebuchet MS"/>
          <w:strike/>
          <w:sz w:val="22"/>
          <w:szCs w:val="22"/>
          <w:bdr w:val="none" w:sz="0" w:space="0" w:color="auto"/>
          <w:lang w:val="en-GB" w:eastAsia="en-GB"/>
        </w:rPr>
        <w:t xml:space="preserve"> can monitor workforce trends, measure </w:t>
      </w:r>
      <w:r w:rsidRPr="00664AD5">
        <w:rPr>
          <w:rFonts w:ascii="Trebuchet MS" w:eastAsia="Times New Roman" w:hAnsi="Trebuchet MS"/>
          <w:strike/>
          <w:sz w:val="22"/>
          <w:szCs w:val="22"/>
          <w:bdr w:val="none" w:sz="0" w:space="0" w:color="auto"/>
          <w:lang w:val="en-GB" w:eastAsia="en-GB"/>
        </w:rPr>
        <w:lastRenderedPageBreak/>
        <w:t>turnover, and track training effectiveness (CIPD, 2022). These insights enable data-driven decisions that align people planning with business goals.</w:t>
      </w:r>
    </w:p>
    <w:p w14:paraId="468268F1" w14:textId="77777777" w:rsidR="0094146A" w:rsidRDefault="0094146A" w:rsidP="0094146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trike/>
          <w:sz w:val="22"/>
          <w:szCs w:val="22"/>
          <w:bdr w:val="none" w:sz="0" w:space="0" w:color="auto"/>
          <w:lang w:val="en-GB" w:eastAsia="en-GB"/>
        </w:rPr>
      </w:pPr>
      <w:r w:rsidRPr="00664AD5">
        <w:rPr>
          <w:rFonts w:ascii="Trebuchet MS" w:eastAsia="Times New Roman" w:hAnsi="Trebuchet MS"/>
          <w:strike/>
          <w:sz w:val="22"/>
          <w:szCs w:val="22"/>
          <w:bdr w:val="none" w:sz="0" w:space="0" w:color="auto"/>
          <w:lang w:val="en-GB" w:eastAsia="en-GB"/>
        </w:rPr>
        <w:t xml:space="preserve">In conclusion, by adopting techniques such as demand forecasting, skills gap analysis, scenario planning, succession planning, and HR analytics, </w:t>
      </w:r>
      <w:proofErr w:type="spellStart"/>
      <w:r w:rsidRPr="00664AD5">
        <w:rPr>
          <w:rFonts w:ascii="Trebuchet MS" w:eastAsia="Times New Roman" w:hAnsi="Trebuchet MS"/>
          <w:strike/>
          <w:sz w:val="22"/>
          <w:szCs w:val="22"/>
          <w:bdr w:val="none" w:sz="0" w:space="0" w:color="auto"/>
          <w:lang w:val="en-GB" w:eastAsia="en-GB"/>
        </w:rPr>
        <w:t>ParcelCare</w:t>
      </w:r>
      <w:proofErr w:type="spellEnd"/>
      <w:r w:rsidRPr="00664AD5">
        <w:rPr>
          <w:rFonts w:ascii="Trebuchet MS" w:eastAsia="Times New Roman" w:hAnsi="Trebuchet MS"/>
          <w:strike/>
          <w:sz w:val="22"/>
          <w:szCs w:val="22"/>
          <w:bdr w:val="none" w:sz="0" w:space="0" w:color="auto"/>
          <w:lang w:val="en-GB" w:eastAsia="en-GB"/>
        </w:rPr>
        <w:t xml:space="preserve"> can create a robust and proactive workforce planning process. These methods will enable the company to anticipate change, optimise talent utilisation, and strengthen organisational agility in a competitive market.</w:t>
      </w:r>
    </w:p>
    <w:p w14:paraId="249899A4" w14:textId="77777777" w:rsidR="00172E6B" w:rsidRPr="00172E6B" w:rsidRDefault="00172E6B" w:rsidP="00172E6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color w:val="FF0000"/>
          <w:sz w:val="22"/>
          <w:szCs w:val="22"/>
          <w:bdr w:val="none" w:sz="0" w:space="0" w:color="auto"/>
          <w:lang w:val="en-GB" w:eastAsia="en-GB"/>
        </w:rPr>
      </w:pPr>
      <w:r w:rsidRPr="00172E6B">
        <w:rPr>
          <w:rFonts w:ascii="Trebuchet MS" w:eastAsia="Times New Roman" w:hAnsi="Trebuchet MS"/>
          <w:color w:val="FF0000"/>
          <w:sz w:val="22"/>
          <w:szCs w:val="22"/>
          <w:bdr w:val="none" w:sz="0" w:space="0" w:color="auto"/>
          <w:lang w:val="en-GB" w:eastAsia="en-GB"/>
        </w:rPr>
        <w:t xml:space="preserve">To effectively introduce workforce planning at </w:t>
      </w:r>
      <w:proofErr w:type="spellStart"/>
      <w:r w:rsidRPr="00172E6B">
        <w:rPr>
          <w:rFonts w:ascii="Trebuchet MS" w:eastAsia="Times New Roman" w:hAnsi="Trebuchet MS"/>
          <w:color w:val="FF0000"/>
          <w:sz w:val="22"/>
          <w:szCs w:val="22"/>
          <w:bdr w:val="none" w:sz="0" w:space="0" w:color="auto"/>
          <w:lang w:val="en-GB" w:eastAsia="en-GB"/>
        </w:rPr>
        <w:t>ParcelCare</w:t>
      </w:r>
      <w:proofErr w:type="spellEnd"/>
      <w:r w:rsidRPr="00172E6B">
        <w:rPr>
          <w:rFonts w:ascii="Trebuchet MS" w:eastAsia="Times New Roman" w:hAnsi="Trebuchet MS"/>
          <w:color w:val="FF0000"/>
          <w:sz w:val="22"/>
          <w:szCs w:val="22"/>
          <w:bdr w:val="none" w:sz="0" w:space="0" w:color="auto"/>
          <w:lang w:val="en-GB" w:eastAsia="en-GB"/>
        </w:rPr>
        <w:t xml:space="preserve">, it is essential to evaluate the techniques that can support the process and ensure it delivers measurable outcomes. Workforce planning involves analysing current workforce capabilities, forecasting future needs, and implementing strategies to address any gaps. While a range of analytical and strategic techniques can be applied, their effectiveness depends on how well they are implemented within </w:t>
      </w:r>
      <w:proofErr w:type="spellStart"/>
      <w:r w:rsidRPr="00172E6B">
        <w:rPr>
          <w:rFonts w:ascii="Trebuchet MS" w:eastAsia="Times New Roman" w:hAnsi="Trebuchet MS"/>
          <w:color w:val="FF0000"/>
          <w:sz w:val="22"/>
          <w:szCs w:val="22"/>
          <w:bdr w:val="none" w:sz="0" w:space="0" w:color="auto"/>
          <w:lang w:val="en-GB" w:eastAsia="en-GB"/>
        </w:rPr>
        <w:t>ParcelCare’s</w:t>
      </w:r>
      <w:proofErr w:type="spellEnd"/>
      <w:r w:rsidRPr="00172E6B">
        <w:rPr>
          <w:rFonts w:ascii="Trebuchet MS" w:eastAsia="Times New Roman" w:hAnsi="Trebuchet MS"/>
          <w:color w:val="FF0000"/>
          <w:sz w:val="22"/>
          <w:szCs w:val="22"/>
          <w:bdr w:val="none" w:sz="0" w:space="0" w:color="auto"/>
          <w:lang w:val="en-GB" w:eastAsia="en-GB"/>
        </w:rPr>
        <w:t xml:space="preserve"> operational context.</w:t>
      </w:r>
    </w:p>
    <w:p w14:paraId="0D4AED4A" w14:textId="77777777" w:rsidR="00172E6B" w:rsidRPr="00172E6B" w:rsidRDefault="00172E6B" w:rsidP="00172E6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color w:val="FF0000"/>
          <w:sz w:val="22"/>
          <w:szCs w:val="22"/>
          <w:bdr w:val="none" w:sz="0" w:space="0" w:color="auto"/>
          <w:lang w:val="en-GB" w:eastAsia="en-GB"/>
        </w:rPr>
      </w:pPr>
      <w:r w:rsidRPr="00172E6B">
        <w:rPr>
          <w:rFonts w:ascii="Trebuchet MS" w:eastAsia="Times New Roman" w:hAnsi="Trebuchet MS"/>
          <w:color w:val="FF0000"/>
          <w:sz w:val="22"/>
          <w:szCs w:val="22"/>
          <w:bdr w:val="none" w:sz="0" w:space="0" w:color="auto"/>
          <w:lang w:val="en-GB" w:eastAsia="en-GB"/>
        </w:rPr>
        <w:t xml:space="preserve">One of the most widely used techniques is workforce supply and demand forecasting, which compares the existing workforce with predicted future requirements. By analysing historical data on turnover, retirement rates, and business growth, </w:t>
      </w:r>
      <w:proofErr w:type="spellStart"/>
      <w:r w:rsidRPr="00172E6B">
        <w:rPr>
          <w:rFonts w:ascii="Trebuchet MS" w:eastAsia="Times New Roman" w:hAnsi="Trebuchet MS"/>
          <w:color w:val="FF0000"/>
          <w:sz w:val="22"/>
          <w:szCs w:val="22"/>
          <w:bdr w:val="none" w:sz="0" w:space="0" w:color="auto"/>
          <w:lang w:val="en-GB" w:eastAsia="en-GB"/>
        </w:rPr>
        <w:t>ParcelCare</w:t>
      </w:r>
      <w:proofErr w:type="spellEnd"/>
      <w:r w:rsidRPr="00172E6B">
        <w:rPr>
          <w:rFonts w:ascii="Trebuchet MS" w:eastAsia="Times New Roman" w:hAnsi="Trebuchet MS"/>
          <w:color w:val="FF0000"/>
          <w:sz w:val="22"/>
          <w:szCs w:val="22"/>
          <w:bdr w:val="none" w:sz="0" w:space="0" w:color="auto"/>
          <w:lang w:val="en-GB" w:eastAsia="en-GB"/>
        </w:rPr>
        <w:t xml:space="preserve"> can anticipate workforce shortages or surpluses (CIPD, 2024). This technique is particularly effective in a parcel delivery environment where seasonal demand is relatively predictable, enabling proactive recruitment and reducing reliance on costly agency staff. However, forecasting accuracy is limited by the quality of historical data and may be less reliable during periods of rapid change, such as unexpected spikes in online demand or labour market disruption. Regular review is therefore essential.</w:t>
      </w:r>
    </w:p>
    <w:p w14:paraId="0E7DF904" w14:textId="77777777" w:rsidR="00172E6B" w:rsidRPr="00172E6B" w:rsidRDefault="00172E6B" w:rsidP="00172E6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color w:val="FF0000"/>
          <w:sz w:val="22"/>
          <w:szCs w:val="22"/>
          <w:bdr w:val="none" w:sz="0" w:space="0" w:color="auto"/>
          <w:lang w:val="en-GB" w:eastAsia="en-GB"/>
        </w:rPr>
      </w:pPr>
      <w:r w:rsidRPr="00172E6B">
        <w:rPr>
          <w:rFonts w:ascii="Trebuchet MS" w:eastAsia="Times New Roman" w:hAnsi="Trebuchet MS"/>
          <w:color w:val="FF0000"/>
          <w:sz w:val="22"/>
          <w:szCs w:val="22"/>
          <w:bdr w:val="none" w:sz="0" w:space="0" w:color="auto"/>
          <w:lang w:val="en-GB" w:eastAsia="en-GB"/>
        </w:rPr>
        <w:t xml:space="preserve">Skills audits and gap analysis also support workforce planning by assessing whether current employee capabilities align with future organisational needs (Reilly, 2018). For </w:t>
      </w:r>
      <w:proofErr w:type="spellStart"/>
      <w:r w:rsidRPr="00172E6B">
        <w:rPr>
          <w:rFonts w:ascii="Trebuchet MS" w:eastAsia="Times New Roman" w:hAnsi="Trebuchet MS"/>
          <w:color w:val="FF0000"/>
          <w:sz w:val="22"/>
          <w:szCs w:val="22"/>
          <w:bdr w:val="none" w:sz="0" w:space="0" w:color="auto"/>
          <w:lang w:val="en-GB" w:eastAsia="en-GB"/>
        </w:rPr>
        <w:t>ParcelCare</w:t>
      </w:r>
      <w:proofErr w:type="spellEnd"/>
      <w:r w:rsidRPr="00172E6B">
        <w:rPr>
          <w:rFonts w:ascii="Trebuchet MS" w:eastAsia="Times New Roman" w:hAnsi="Trebuchet MS"/>
          <w:color w:val="FF0000"/>
          <w:sz w:val="22"/>
          <w:szCs w:val="22"/>
          <w:bdr w:val="none" w:sz="0" w:space="0" w:color="auto"/>
          <w:lang w:val="en-GB" w:eastAsia="en-GB"/>
        </w:rPr>
        <w:t>, this technique enables targeted investment in training and development, particularly in response to automation and digital logistics systems. While skills audits provide valuable insight, they often rely on employee self-assessment, which can result in inaccuracies. In addition, skills data can quickly become outdated in fast-changing operational environments, limiting their long-term effectiveness unless reviewed and validated by line managers.</w:t>
      </w:r>
    </w:p>
    <w:p w14:paraId="11C6CCB9" w14:textId="77777777" w:rsidR="00172E6B" w:rsidRPr="00172E6B" w:rsidRDefault="00172E6B" w:rsidP="00172E6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color w:val="FF0000"/>
          <w:sz w:val="22"/>
          <w:szCs w:val="22"/>
          <w:bdr w:val="none" w:sz="0" w:space="0" w:color="auto"/>
          <w:lang w:val="en-GB" w:eastAsia="en-GB"/>
        </w:rPr>
      </w:pPr>
      <w:r w:rsidRPr="00172E6B">
        <w:rPr>
          <w:rFonts w:ascii="Trebuchet MS" w:eastAsia="Times New Roman" w:hAnsi="Trebuchet MS"/>
          <w:color w:val="FF0000"/>
          <w:sz w:val="22"/>
          <w:szCs w:val="22"/>
          <w:bdr w:val="none" w:sz="0" w:space="0" w:color="auto"/>
          <w:lang w:val="en-GB" w:eastAsia="en-GB"/>
        </w:rPr>
        <w:t xml:space="preserve">Scenario planning allows organisations to explore multiple potential futures by considering external influences such as economic change, technological advancement, and labour market trends (Armstrong &amp; Taylor, 2020). For </w:t>
      </w:r>
      <w:proofErr w:type="spellStart"/>
      <w:r w:rsidRPr="00172E6B">
        <w:rPr>
          <w:rFonts w:ascii="Trebuchet MS" w:eastAsia="Times New Roman" w:hAnsi="Trebuchet MS"/>
          <w:color w:val="FF0000"/>
          <w:sz w:val="22"/>
          <w:szCs w:val="22"/>
          <w:bdr w:val="none" w:sz="0" w:space="0" w:color="auto"/>
          <w:lang w:val="en-GB" w:eastAsia="en-GB"/>
        </w:rPr>
        <w:t>ParcelCare</w:t>
      </w:r>
      <w:proofErr w:type="spellEnd"/>
      <w:r w:rsidRPr="00172E6B">
        <w:rPr>
          <w:rFonts w:ascii="Trebuchet MS" w:eastAsia="Times New Roman" w:hAnsi="Trebuchet MS"/>
          <w:color w:val="FF0000"/>
          <w:sz w:val="22"/>
          <w:szCs w:val="22"/>
          <w:bdr w:val="none" w:sz="0" w:space="0" w:color="auto"/>
          <w:lang w:val="en-GB" w:eastAsia="en-GB"/>
        </w:rPr>
        <w:t>, this technique supports long-term resilience by helping leaders prepare for workforce challenges such as labour shortages or increased automation. However, scenario planning can be time-consuming and resource-intensive, and its outputs are based on assumptions that may not materialise. As a result, it is most effective when used alongside short-term workforce forecasting.</w:t>
      </w:r>
    </w:p>
    <w:p w14:paraId="12A88683" w14:textId="77777777" w:rsidR="00172E6B" w:rsidRPr="00172E6B" w:rsidRDefault="00172E6B" w:rsidP="00172E6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color w:val="FF0000"/>
          <w:sz w:val="22"/>
          <w:szCs w:val="22"/>
          <w:bdr w:val="none" w:sz="0" w:space="0" w:color="auto"/>
          <w:lang w:val="en-GB" w:eastAsia="en-GB"/>
        </w:rPr>
      </w:pPr>
      <w:r w:rsidRPr="00172E6B">
        <w:rPr>
          <w:rFonts w:ascii="Trebuchet MS" w:eastAsia="Times New Roman" w:hAnsi="Trebuchet MS"/>
          <w:color w:val="FF0000"/>
          <w:sz w:val="22"/>
          <w:szCs w:val="22"/>
          <w:bdr w:val="none" w:sz="0" w:space="0" w:color="auto"/>
          <w:lang w:val="en-GB" w:eastAsia="en-GB"/>
        </w:rPr>
        <w:t xml:space="preserve">Succession planning contributes to workforce planning by ensuring continuity in critical roles and supporting internal talent development (CIPD, 2023). At </w:t>
      </w:r>
      <w:proofErr w:type="spellStart"/>
      <w:r w:rsidRPr="00172E6B">
        <w:rPr>
          <w:rFonts w:ascii="Trebuchet MS" w:eastAsia="Times New Roman" w:hAnsi="Trebuchet MS"/>
          <w:color w:val="FF0000"/>
          <w:sz w:val="22"/>
          <w:szCs w:val="22"/>
          <w:bdr w:val="none" w:sz="0" w:space="0" w:color="auto"/>
          <w:lang w:val="en-GB" w:eastAsia="en-GB"/>
        </w:rPr>
        <w:t>ParcelCare</w:t>
      </w:r>
      <w:proofErr w:type="spellEnd"/>
      <w:r w:rsidRPr="00172E6B">
        <w:rPr>
          <w:rFonts w:ascii="Trebuchet MS" w:eastAsia="Times New Roman" w:hAnsi="Trebuchet MS"/>
          <w:color w:val="FF0000"/>
          <w:sz w:val="22"/>
          <w:szCs w:val="22"/>
          <w:bdr w:val="none" w:sz="0" w:space="0" w:color="auto"/>
          <w:lang w:val="en-GB" w:eastAsia="en-GB"/>
        </w:rPr>
        <w:t>, structured succession planning for logistics managers and team leaders can improve retention by providing clear career pathways. However, an overemphasis on internal progression may limit external talent attraction and diversity if not carefully managed, reducing its overall effectiveness.</w:t>
      </w:r>
    </w:p>
    <w:p w14:paraId="663D16FF" w14:textId="77777777" w:rsidR="00172E6B" w:rsidRPr="00172E6B" w:rsidRDefault="00172E6B" w:rsidP="00172E6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color w:val="FF0000"/>
          <w:sz w:val="22"/>
          <w:szCs w:val="22"/>
          <w:bdr w:val="none" w:sz="0" w:space="0" w:color="auto"/>
          <w:lang w:val="en-GB" w:eastAsia="en-GB"/>
        </w:rPr>
      </w:pPr>
      <w:r w:rsidRPr="00172E6B">
        <w:rPr>
          <w:rFonts w:ascii="Trebuchet MS" w:eastAsia="Times New Roman" w:hAnsi="Trebuchet MS"/>
          <w:color w:val="FF0000"/>
          <w:sz w:val="22"/>
          <w:szCs w:val="22"/>
          <w:bdr w:val="none" w:sz="0" w:space="0" w:color="auto"/>
          <w:lang w:val="en-GB" w:eastAsia="en-GB"/>
        </w:rPr>
        <w:t xml:space="preserve">Finally, HR analytics and technology enhance workforce planning by enabling data-driven decision-making through HR information systems and predictive analytics (CIPD, 2022). These tools allow </w:t>
      </w:r>
      <w:proofErr w:type="spellStart"/>
      <w:r w:rsidRPr="00172E6B">
        <w:rPr>
          <w:rFonts w:ascii="Trebuchet MS" w:eastAsia="Times New Roman" w:hAnsi="Trebuchet MS"/>
          <w:color w:val="FF0000"/>
          <w:sz w:val="22"/>
          <w:szCs w:val="22"/>
          <w:bdr w:val="none" w:sz="0" w:space="0" w:color="auto"/>
          <w:lang w:val="en-GB" w:eastAsia="en-GB"/>
        </w:rPr>
        <w:t>ParcelCare</w:t>
      </w:r>
      <w:proofErr w:type="spellEnd"/>
      <w:r w:rsidRPr="00172E6B">
        <w:rPr>
          <w:rFonts w:ascii="Trebuchet MS" w:eastAsia="Times New Roman" w:hAnsi="Trebuchet MS"/>
          <w:color w:val="FF0000"/>
          <w:sz w:val="22"/>
          <w:szCs w:val="22"/>
          <w:bdr w:val="none" w:sz="0" w:space="0" w:color="auto"/>
          <w:lang w:val="en-GB" w:eastAsia="en-GB"/>
        </w:rPr>
        <w:t xml:space="preserve"> to monitor workforce trends, measure turnover, and evaluate training effectiveness. While HR analytics improves insight, its value depends on data accuracy, system capability, and analytical skills within HR.</w:t>
      </w:r>
    </w:p>
    <w:p w14:paraId="50A81272" w14:textId="77777777" w:rsidR="00172E6B" w:rsidRPr="00172E6B" w:rsidRDefault="00172E6B" w:rsidP="00172E6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color w:val="FF0000"/>
          <w:sz w:val="22"/>
          <w:szCs w:val="22"/>
          <w:bdr w:val="none" w:sz="0" w:space="0" w:color="auto"/>
          <w:lang w:val="en-GB" w:eastAsia="en-GB"/>
        </w:rPr>
      </w:pPr>
      <w:r w:rsidRPr="00172E6B">
        <w:rPr>
          <w:rFonts w:ascii="Trebuchet MS" w:eastAsia="Times New Roman" w:hAnsi="Trebuchet MS"/>
          <w:color w:val="FF0000"/>
          <w:sz w:val="22"/>
          <w:szCs w:val="22"/>
          <w:bdr w:val="none" w:sz="0" w:space="0" w:color="auto"/>
          <w:lang w:val="en-GB" w:eastAsia="en-GB"/>
        </w:rPr>
        <w:t xml:space="preserve">In conclusion, techniques such as workforce forecasting, skills gap analysis, scenario planning, succession planning, and HR analytics can collectively support an effective workforce planning </w:t>
      </w:r>
      <w:r w:rsidRPr="00172E6B">
        <w:rPr>
          <w:rFonts w:ascii="Trebuchet MS" w:eastAsia="Times New Roman" w:hAnsi="Trebuchet MS"/>
          <w:color w:val="FF0000"/>
          <w:sz w:val="22"/>
          <w:szCs w:val="22"/>
          <w:bdr w:val="none" w:sz="0" w:space="0" w:color="auto"/>
          <w:lang w:val="en-GB" w:eastAsia="en-GB"/>
        </w:rPr>
        <w:lastRenderedPageBreak/>
        <w:t xml:space="preserve">approach at </w:t>
      </w:r>
      <w:proofErr w:type="spellStart"/>
      <w:r w:rsidRPr="00172E6B">
        <w:rPr>
          <w:rFonts w:ascii="Trebuchet MS" w:eastAsia="Times New Roman" w:hAnsi="Trebuchet MS"/>
          <w:color w:val="FF0000"/>
          <w:sz w:val="22"/>
          <w:szCs w:val="22"/>
          <w:bdr w:val="none" w:sz="0" w:space="0" w:color="auto"/>
          <w:lang w:val="en-GB" w:eastAsia="en-GB"/>
        </w:rPr>
        <w:t>ParcelCare</w:t>
      </w:r>
      <w:proofErr w:type="spellEnd"/>
      <w:r w:rsidRPr="00172E6B">
        <w:rPr>
          <w:rFonts w:ascii="Trebuchet MS" w:eastAsia="Times New Roman" w:hAnsi="Trebuchet MS"/>
          <w:color w:val="FF0000"/>
          <w:sz w:val="22"/>
          <w:szCs w:val="22"/>
          <w:bdr w:val="none" w:sz="0" w:space="0" w:color="auto"/>
          <w:lang w:val="en-GB" w:eastAsia="en-GB"/>
        </w:rPr>
        <w:t>. However, their success depends on regular review, data quality, and alignment with operational and strategic priorities.</w:t>
      </w:r>
    </w:p>
    <w:p w14:paraId="5FBD710B" w14:textId="77777777" w:rsidR="002724FE" w:rsidRPr="002724FE" w:rsidRDefault="002724FE" w:rsidP="002724FE">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color w:val="FF0000"/>
          <w:sz w:val="22"/>
          <w:szCs w:val="22"/>
          <w:bdr w:val="none" w:sz="0" w:space="0" w:color="auto"/>
          <w:lang w:val="en-GB" w:eastAsia="en-GB"/>
        </w:rPr>
      </w:pPr>
    </w:p>
    <w:p w14:paraId="59E0F8AC" w14:textId="16EAEA37" w:rsidR="00F14BE3" w:rsidRPr="00276076" w:rsidRDefault="00A21825" w:rsidP="00A21825">
      <w:pPr>
        <w:pStyle w:val="Nornal"/>
        <w:rPr>
          <w:rStyle w:val="ui-provider"/>
          <w:rFonts w:ascii="Trebuchet MS" w:hAnsi="Trebuchet MS"/>
          <w:b/>
          <w:bCs/>
        </w:rPr>
      </w:pPr>
      <w:r w:rsidRPr="00276076">
        <w:rPr>
          <w:rStyle w:val="ui-provider"/>
          <w:rFonts w:ascii="Trebuchet MS" w:hAnsi="Trebuchet MS"/>
          <w:b/>
          <w:bCs/>
        </w:rPr>
        <w:t>R</w:t>
      </w:r>
      <w:r w:rsidR="00973781" w:rsidRPr="00276076">
        <w:rPr>
          <w:rStyle w:val="ui-provider"/>
          <w:rFonts w:ascii="Trebuchet MS" w:hAnsi="Trebuchet MS"/>
          <w:b/>
          <w:bCs/>
        </w:rPr>
        <w:t xml:space="preserve">ecruitment </w:t>
      </w:r>
      <w:r w:rsidRPr="00276076">
        <w:rPr>
          <w:rStyle w:val="ui-provider"/>
          <w:rFonts w:ascii="Trebuchet MS" w:hAnsi="Trebuchet MS"/>
          <w:b/>
          <w:bCs/>
        </w:rPr>
        <w:t xml:space="preserve">and selection </w:t>
      </w:r>
      <w:r w:rsidR="00973781" w:rsidRPr="00276076">
        <w:rPr>
          <w:rStyle w:val="ui-provider"/>
          <w:rFonts w:ascii="Trebuchet MS" w:hAnsi="Trebuchet MS"/>
          <w:b/>
          <w:bCs/>
        </w:rPr>
        <w:t>methods (AC 2.3)</w:t>
      </w:r>
    </w:p>
    <w:p w14:paraId="7F257169" w14:textId="439E42CD" w:rsidR="00A21825" w:rsidRPr="00276076" w:rsidRDefault="00A21825" w:rsidP="00A21825">
      <w:pPr>
        <w:pStyle w:val="NormalWeb"/>
        <w:rPr>
          <w:rFonts w:ascii="Trebuchet MS" w:hAnsi="Trebuchet MS"/>
        </w:rPr>
      </w:pPr>
      <w:proofErr w:type="spellStart"/>
      <w:r w:rsidRPr="00276076">
        <w:rPr>
          <w:rFonts w:ascii="Trebuchet MS" w:hAnsi="Trebuchet MS"/>
        </w:rPr>
        <w:t>ParcelCare’s</w:t>
      </w:r>
      <w:proofErr w:type="spellEnd"/>
      <w:r w:rsidRPr="00276076">
        <w:rPr>
          <w:rFonts w:ascii="Trebuchet MS" w:hAnsi="Trebuchet MS"/>
        </w:rPr>
        <w:t xml:space="preserve"> current recruitment and selection methods</w:t>
      </w:r>
      <w:r w:rsidR="00D47FA0">
        <w:rPr>
          <w:rFonts w:ascii="Trebuchet MS" w:hAnsi="Trebuchet MS"/>
        </w:rPr>
        <w:t xml:space="preserve"> - </w:t>
      </w:r>
      <w:r w:rsidRPr="00276076">
        <w:rPr>
          <w:rFonts w:ascii="Trebuchet MS" w:hAnsi="Trebuchet MS"/>
        </w:rPr>
        <w:t>website job postings and line manager-led interviews</w:t>
      </w:r>
      <w:r w:rsidR="00D47FA0">
        <w:rPr>
          <w:rFonts w:ascii="Trebuchet MS" w:hAnsi="Trebuchet MS"/>
        </w:rPr>
        <w:t xml:space="preserve"> - </w:t>
      </w:r>
      <w:r w:rsidRPr="00276076">
        <w:rPr>
          <w:rFonts w:ascii="Trebuchet MS" w:hAnsi="Trebuchet MS"/>
        </w:rPr>
        <w:t>provide a sound foundation but could be enhanced by adopting additional approaches to reach a wider talent pool and ensure fairer, more effective selection. Evaluating alternative methods helps identify opportunities to improve both the quality and diversity of hires.</w:t>
      </w:r>
    </w:p>
    <w:p w14:paraId="5A7CB38B" w14:textId="77777777" w:rsidR="00A21825" w:rsidRPr="00276076" w:rsidRDefault="00A21825" w:rsidP="00A21825">
      <w:pPr>
        <w:pStyle w:val="NormalWeb"/>
        <w:rPr>
          <w:rFonts w:ascii="Trebuchet MS" w:hAnsi="Trebuchet MS"/>
        </w:rPr>
      </w:pPr>
      <w:r w:rsidRPr="00276076">
        <w:rPr>
          <w:rFonts w:ascii="Trebuchet MS" w:hAnsi="Trebuchet MS"/>
        </w:rPr>
        <w:t xml:space="preserve">One effective </w:t>
      </w:r>
      <w:r w:rsidRPr="00276076">
        <w:rPr>
          <w:rStyle w:val="Strong"/>
          <w:rFonts w:ascii="Trebuchet MS" w:hAnsi="Trebuchet MS"/>
          <w:b w:val="0"/>
          <w:bCs w:val="0"/>
        </w:rPr>
        <w:t>recruitment method</w:t>
      </w:r>
      <w:r w:rsidRPr="00276076">
        <w:rPr>
          <w:rFonts w:ascii="Trebuchet MS" w:hAnsi="Trebuchet MS"/>
          <w:b/>
          <w:bCs/>
        </w:rPr>
        <w:t xml:space="preserve"> is </w:t>
      </w:r>
      <w:r w:rsidRPr="00276076">
        <w:rPr>
          <w:rStyle w:val="Strong"/>
          <w:rFonts w:ascii="Trebuchet MS" w:hAnsi="Trebuchet MS"/>
          <w:b w:val="0"/>
          <w:bCs w:val="0"/>
        </w:rPr>
        <w:t>social media recruitment</w:t>
      </w:r>
      <w:r w:rsidRPr="00276076">
        <w:rPr>
          <w:rFonts w:ascii="Trebuchet MS" w:hAnsi="Trebuchet MS"/>
        </w:rPr>
        <w:t xml:space="preserve">, which uses platforms such as LinkedIn, Facebook, and X (formerly Twitter) to attract candidates. The key strength of this method lies in its reach and speed; social media enables </w:t>
      </w:r>
      <w:proofErr w:type="spellStart"/>
      <w:r w:rsidRPr="00276076">
        <w:rPr>
          <w:rFonts w:ascii="Trebuchet MS" w:hAnsi="Trebuchet MS"/>
        </w:rPr>
        <w:t>organisations</w:t>
      </w:r>
      <w:proofErr w:type="spellEnd"/>
      <w:r w:rsidRPr="00276076">
        <w:rPr>
          <w:rFonts w:ascii="Trebuchet MS" w:hAnsi="Trebuchet MS"/>
        </w:rPr>
        <w:t xml:space="preserve"> to engage with passive candidates and build their employer brand at relatively low cost (CIPD, 2023). For </w:t>
      </w:r>
      <w:proofErr w:type="spellStart"/>
      <w:r w:rsidRPr="00276076">
        <w:rPr>
          <w:rFonts w:ascii="Trebuchet MS" w:hAnsi="Trebuchet MS"/>
        </w:rPr>
        <w:t>ParcelCare</w:t>
      </w:r>
      <w:proofErr w:type="spellEnd"/>
      <w:r w:rsidRPr="00276076">
        <w:rPr>
          <w:rFonts w:ascii="Trebuchet MS" w:hAnsi="Trebuchet MS"/>
        </w:rPr>
        <w:t xml:space="preserve">, this could help attract younger, tech-savvy applicants who may not actively search company websites. Social media also allows targeted advertising based on location, skills, or interests, increasing recruitment efficiency. However, its weaknesses include the potential for bias, as algorithms may </w:t>
      </w:r>
      <w:proofErr w:type="spellStart"/>
      <w:r w:rsidRPr="00276076">
        <w:rPr>
          <w:rFonts w:ascii="Trebuchet MS" w:hAnsi="Trebuchet MS"/>
        </w:rPr>
        <w:t>favour</w:t>
      </w:r>
      <w:proofErr w:type="spellEnd"/>
      <w:r w:rsidRPr="00276076">
        <w:rPr>
          <w:rFonts w:ascii="Trebuchet MS" w:hAnsi="Trebuchet MS"/>
        </w:rPr>
        <w:t xml:space="preserve"> certain demographics, and the risk of damaging the company’s reputation if communication is not managed professionally (Armstrong &amp; Taylor, 2020). Additionally, it may lead to a high volume of unsuitable applicants, increasing administrative workload.</w:t>
      </w:r>
    </w:p>
    <w:p w14:paraId="7D00B2A2" w14:textId="77777777" w:rsidR="00A21825" w:rsidRPr="00276076" w:rsidRDefault="00A21825" w:rsidP="00A21825">
      <w:pPr>
        <w:pStyle w:val="NormalWeb"/>
        <w:rPr>
          <w:rFonts w:ascii="Trebuchet MS" w:hAnsi="Trebuchet MS"/>
        </w:rPr>
      </w:pPr>
      <w:proofErr w:type="gramStart"/>
      <w:r w:rsidRPr="00276076">
        <w:rPr>
          <w:rFonts w:ascii="Trebuchet MS" w:hAnsi="Trebuchet MS"/>
        </w:rPr>
        <w:t>Another recruitment</w:t>
      </w:r>
      <w:proofErr w:type="gramEnd"/>
      <w:r w:rsidRPr="00276076">
        <w:rPr>
          <w:rFonts w:ascii="Trebuchet MS" w:hAnsi="Trebuchet MS"/>
        </w:rPr>
        <w:t xml:space="preserve"> method to consider is </w:t>
      </w:r>
      <w:r w:rsidRPr="00276076">
        <w:rPr>
          <w:rStyle w:val="Strong"/>
          <w:rFonts w:ascii="Trebuchet MS" w:hAnsi="Trebuchet MS"/>
          <w:b w:val="0"/>
          <w:bCs w:val="0"/>
        </w:rPr>
        <w:t>employee referral schemes</w:t>
      </w:r>
      <w:r w:rsidRPr="00276076">
        <w:rPr>
          <w:rFonts w:ascii="Trebuchet MS" w:hAnsi="Trebuchet MS"/>
        </w:rPr>
        <w:t xml:space="preserve">, where existing staff recommend potential candidates. This approach often leads to faster hires and higher retention, as referred candidates tend to fit better with company culture (Kaur, 2015). For </w:t>
      </w:r>
      <w:proofErr w:type="spellStart"/>
      <w:r w:rsidRPr="00276076">
        <w:rPr>
          <w:rFonts w:ascii="Trebuchet MS" w:hAnsi="Trebuchet MS"/>
        </w:rPr>
        <w:t>ParcelCare</w:t>
      </w:r>
      <w:proofErr w:type="spellEnd"/>
      <w:r w:rsidRPr="00276076">
        <w:rPr>
          <w:rFonts w:ascii="Trebuchet MS" w:hAnsi="Trebuchet MS"/>
        </w:rPr>
        <w:t xml:space="preserve">, this could reduce recruitment costs and attract applicants who already understand the nature of delivery and logistics work through their contacts. However, referral schemes can reinforce a lack of diversity if employees tend to refer </w:t>
      </w:r>
      <w:proofErr w:type="gramStart"/>
      <w:r w:rsidRPr="00276076">
        <w:rPr>
          <w:rFonts w:ascii="Trebuchet MS" w:hAnsi="Trebuchet MS"/>
        </w:rPr>
        <w:t>people</w:t>
      </w:r>
      <w:proofErr w:type="gramEnd"/>
      <w:r w:rsidRPr="00276076">
        <w:rPr>
          <w:rFonts w:ascii="Trebuchet MS" w:hAnsi="Trebuchet MS"/>
        </w:rPr>
        <w:t xml:space="preserve"> </w:t>
      </w:r>
      <w:proofErr w:type="gramStart"/>
      <w:r w:rsidRPr="00276076">
        <w:rPr>
          <w:rFonts w:ascii="Trebuchet MS" w:hAnsi="Trebuchet MS"/>
        </w:rPr>
        <w:t>similar to</w:t>
      </w:r>
      <w:proofErr w:type="gramEnd"/>
      <w:r w:rsidRPr="00276076">
        <w:rPr>
          <w:rFonts w:ascii="Trebuchet MS" w:hAnsi="Trebuchet MS"/>
        </w:rPr>
        <w:t xml:space="preserve"> themselves, and they may unintentionally perpetuate existing biases or limit innovation (CIPD, 2022).</w:t>
      </w:r>
    </w:p>
    <w:p w14:paraId="1ED1FA92" w14:textId="77777777" w:rsidR="00A21825" w:rsidRPr="00276076" w:rsidRDefault="00A21825" w:rsidP="00A21825">
      <w:pPr>
        <w:pStyle w:val="NormalWeb"/>
        <w:rPr>
          <w:rFonts w:ascii="Trebuchet MS" w:hAnsi="Trebuchet MS"/>
        </w:rPr>
      </w:pPr>
      <w:r w:rsidRPr="00276076">
        <w:rPr>
          <w:rFonts w:ascii="Trebuchet MS" w:hAnsi="Trebuchet MS"/>
        </w:rPr>
        <w:t xml:space="preserve">In terms of </w:t>
      </w:r>
      <w:r w:rsidRPr="00276076">
        <w:rPr>
          <w:rStyle w:val="Strong"/>
          <w:rFonts w:ascii="Trebuchet MS" w:hAnsi="Trebuchet MS"/>
          <w:b w:val="0"/>
          <w:bCs w:val="0"/>
        </w:rPr>
        <w:t>selection methods</w:t>
      </w:r>
      <w:r w:rsidRPr="00276076">
        <w:rPr>
          <w:rFonts w:ascii="Trebuchet MS" w:hAnsi="Trebuchet MS"/>
          <w:b/>
          <w:bCs/>
        </w:rPr>
        <w:t xml:space="preserve">, </w:t>
      </w:r>
      <w:r w:rsidRPr="00276076">
        <w:rPr>
          <w:rStyle w:val="Strong"/>
          <w:rFonts w:ascii="Trebuchet MS" w:hAnsi="Trebuchet MS"/>
          <w:b w:val="0"/>
          <w:bCs w:val="0"/>
        </w:rPr>
        <w:t>psychometric testing</w:t>
      </w:r>
      <w:r w:rsidRPr="00276076">
        <w:rPr>
          <w:rFonts w:ascii="Trebuchet MS" w:hAnsi="Trebuchet MS"/>
        </w:rPr>
        <w:t xml:space="preserve"> is a useful tool to assess personality traits, cognitive ability, and job </w:t>
      </w:r>
      <w:proofErr w:type="gramStart"/>
      <w:r w:rsidRPr="00276076">
        <w:rPr>
          <w:rFonts w:ascii="Trebuchet MS" w:hAnsi="Trebuchet MS"/>
        </w:rPr>
        <w:t>fit</w:t>
      </w:r>
      <w:proofErr w:type="gramEnd"/>
      <w:r w:rsidRPr="00276076">
        <w:rPr>
          <w:rFonts w:ascii="Trebuchet MS" w:hAnsi="Trebuchet MS"/>
        </w:rPr>
        <w:t xml:space="preserve">. Its strength lies in providing objective, </w:t>
      </w:r>
      <w:proofErr w:type="spellStart"/>
      <w:r w:rsidRPr="00276076">
        <w:rPr>
          <w:rFonts w:ascii="Trebuchet MS" w:hAnsi="Trebuchet MS"/>
        </w:rPr>
        <w:t>standardised</w:t>
      </w:r>
      <w:proofErr w:type="spellEnd"/>
      <w:r w:rsidRPr="00276076">
        <w:rPr>
          <w:rFonts w:ascii="Trebuchet MS" w:hAnsi="Trebuchet MS"/>
        </w:rPr>
        <w:t xml:space="preserve"> data that helps predict future job performance (Anderson, 2011). For operational roles at </w:t>
      </w:r>
      <w:proofErr w:type="spellStart"/>
      <w:r w:rsidRPr="00276076">
        <w:rPr>
          <w:rFonts w:ascii="Trebuchet MS" w:hAnsi="Trebuchet MS"/>
        </w:rPr>
        <w:t>ParcelCare</w:t>
      </w:r>
      <w:proofErr w:type="spellEnd"/>
      <w:r w:rsidRPr="00276076">
        <w:rPr>
          <w:rFonts w:ascii="Trebuchet MS" w:hAnsi="Trebuchet MS"/>
        </w:rPr>
        <w:t>, aptitude tests could identify candidates with problem-solving and attention-to-detail skills. However, weaknesses include the potential for cultural bias and the cost of implementing tests reliably. Furthermore, psychometric results should complement, not replace, human judgment in selection decisions.</w:t>
      </w:r>
    </w:p>
    <w:p w14:paraId="7886877B" w14:textId="77777777" w:rsidR="00A21825" w:rsidRPr="00276076" w:rsidRDefault="00A21825" w:rsidP="00A21825">
      <w:pPr>
        <w:pStyle w:val="NormalWeb"/>
        <w:rPr>
          <w:rFonts w:ascii="Trebuchet MS" w:hAnsi="Trebuchet MS"/>
        </w:rPr>
      </w:pPr>
      <w:r w:rsidRPr="00276076">
        <w:rPr>
          <w:rFonts w:ascii="Trebuchet MS" w:hAnsi="Trebuchet MS"/>
        </w:rPr>
        <w:t xml:space="preserve">Another valuable method is </w:t>
      </w:r>
      <w:r w:rsidRPr="00276076">
        <w:rPr>
          <w:rStyle w:val="Strong"/>
          <w:rFonts w:ascii="Trebuchet MS" w:hAnsi="Trebuchet MS"/>
          <w:b w:val="0"/>
          <w:bCs w:val="0"/>
        </w:rPr>
        <w:t xml:space="preserve">assessment </w:t>
      </w:r>
      <w:proofErr w:type="spellStart"/>
      <w:r w:rsidRPr="00276076">
        <w:rPr>
          <w:rStyle w:val="Strong"/>
          <w:rFonts w:ascii="Trebuchet MS" w:hAnsi="Trebuchet MS"/>
          <w:b w:val="0"/>
          <w:bCs w:val="0"/>
        </w:rPr>
        <w:t>centres</w:t>
      </w:r>
      <w:proofErr w:type="spellEnd"/>
      <w:r w:rsidRPr="00276076">
        <w:rPr>
          <w:rFonts w:ascii="Trebuchet MS" w:hAnsi="Trebuchet MS"/>
        </w:rPr>
        <w:t xml:space="preserve">, which combine multiple exercises such as role plays, group discussions, and case studies. This holistic approach allows employers to evaluate a range of skills and </w:t>
      </w:r>
      <w:proofErr w:type="spellStart"/>
      <w:r w:rsidRPr="00276076">
        <w:rPr>
          <w:rFonts w:ascii="Trebuchet MS" w:hAnsi="Trebuchet MS"/>
        </w:rPr>
        <w:t>behaviours</w:t>
      </w:r>
      <w:proofErr w:type="spellEnd"/>
      <w:r w:rsidRPr="00276076">
        <w:rPr>
          <w:rFonts w:ascii="Trebuchet MS" w:hAnsi="Trebuchet MS"/>
        </w:rPr>
        <w:t xml:space="preserve"> in realistic scenarios (CIPD, 2024). For </w:t>
      </w:r>
      <w:proofErr w:type="spellStart"/>
      <w:r w:rsidRPr="00276076">
        <w:rPr>
          <w:rFonts w:ascii="Trebuchet MS" w:hAnsi="Trebuchet MS"/>
        </w:rPr>
        <w:t>ParcelCare</w:t>
      </w:r>
      <w:proofErr w:type="spellEnd"/>
      <w:r w:rsidRPr="00276076">
        <w:rPr>
          <w:rFonts w:ascii="Trebuchet MS" w:hAnsi="Trebuchet MS"/>
        </w:rPr>
        <w:t xml:space="preserve">, assessment </w:t>
      </w:r>
      <w:proofErr w:type="spellStart"/>
      <w:r w:rsidRPr="00276076">
        <w:rPr>
          <w:rFonts w:ascii="Trebuchet MS" w:hAnsi="Trebuchet MS"/>
        </w:rPr>
        <w:t>centres</w:t>
      </w:r>
      <w:proofErr w:type="spellEnd"/>
      <w:r w:rsidRPr="00276076">
        <w:rPr>
          <w:rFonts w:ascii="Trebuchet MS" w:hAnsi="Trebuchet MS"/>
        </w:rPr>
        <w:t xml:space="preserve"> could help identify leadership potential in team leader or supervisor roles. Their main weaknesses are cost and time; they require trained assessors and significant planning, making them less practical for high-volume recruitment.</w:t>
      </w:r>
    </w:p>
    <w:p w14:paraId="5C086EB8" w14:textId="77777777" w:rsidR="00A21825" w:rsidRPr="00276076" w:rsidRDefault="00A21825" w:rsidP="00A21825">
      <w:pPr>
        <w:pStyle w:val="NormalWeb"/>
        <w:rPr>
          <w:rFonts w:ascii="Trebuchet MS" w:hAnsi="Trebuchet MS"/>
        </w:rPr>
      </w:pPr>
      <w:r w:rsidRPr="00276076">
        <w:rPr>
          <w:rFonts w:ascii="Trebuchet MS" w:hAnsi="Trebuchet MS"/>
        </w:rPr>
        <w:t xml:space="preserve">In summary, by incorporating social media and employee referrals into recruitment, and psychometric testing and assessment </w:t>
      </w:r>
      <w:proofErr w:type="spellStart"/>
      <w:r w:rsidRPr="00276076">
        <w:rPr>
          <w:rFonts w:ascii="Trebuchet MS" w:hAnsi="Trebuchet MS"/>
        </w:rPr>
        <w:t>centres</w:t>
      </w:r>
      <w:proofErr w:type="spellEnd"/>
      <w:r w:rsidRPr="00276076">
        <w:rPr>
          <w:rFonts w:ascii="Trebuchet MS" w:hAnsi="Trebuchet MS"/>
        </w:rPr>
        <w:t xml:space="preserve"> into selection, </w:t>
      </w:r>
      <w:proofErr w:type="spellStart"/>
      <w:r w:rsidRPr="00276076">
        <w:rPr>
          <w:rFonts w:ascii="Trebuchet MS" w:hAnsi="Trebuchet MS"/>
        </w:rPr>
        <w:t>ParcelCare</w:t>
      </w:r>
      <w:proofErr w:type="spellEnd"/>
      <w:r w:rsidRPr="00276076">
        <w:rPr>
          <w:rFonts w:ascii="Trebuchet MS" w:hAnsi="Trebuchet MS"/>
        </w:rPr>
        <w:t xml:space="preserve"> can improve candidate quality, fairness, and long-term retention.</w:t>
      </w:r>
    </w:p>
    <w:p w14:paraId="23116D9E" w14:textId="77777777" w:rsidR="00A21825" w:rsidRPr="00276076" w:rsidRDefault="00A21825" w:rsidP="00A21825">
      <w:pPr>
        <w:pStyle w:val="Nornal"/>
        <w:rPr>
          <w:rFonts w:ascii="Trebuchet MS" w:hAnsi="Trebuchet MS"/>
        </w:rPr>
      </w:pPr>
    </w:p>
    <w:p w14:paraId="7A7ABC8C" w14:textId="77777777" w:rsidR="00135502" w:rsidRPr="00276076" w:rsidRDefault="00135502" w:rsidP="00A21825">
      <w:pPr>
        <w:pStyle w:val="Nornal"/>
        <w:rPr>
          <w:rFonts w:ascii="Trebuchet MS" w:hAnsi="Trebuchet MS"/>
        </w:rPr>
      </w:pPr>
    </w:p>
    <w:p w14:paraId="26B0C5AA" w14:textId="493C0233" w:rsidR="00F14BE3" w:rsidRPr="00276076" w:rsidRDefault="0005054B" w:rsidP="0005054B">
      <w:pPr>
        <w:pStyle w:val="Nornal"/>
        <w:rPr>
          <w:rStyle w:val="ui-provider"/>
          <w:rFonts w:ascii="Trebuchet MS" w:hAnsi="Trebuchet MS"/>
          <w:b/>
          <w:bCs/>
        </w:rPr>
      </w:pPr>
      <w:r w:rsidRPr="00276076">
        <w:rPr>
          <w:rStyle w:val="ui-provider"/>
          <w:rFonts w:ascii="Trebuchet MS" w:hAnsi="Trebuchet MS"/>
          <w:b/>
          <w:bCs/>
        </w:rPr>
        <w:t>A</w:t>
      </w:r>
      <w:r w:rsidR="00973781" w:rsidRPr="00276076">
        <w:rPr>
          <w:rStyle w:val="ui-provider"/>
          <w:rFonts w:ascii="Trebuchet MS" w:hAnsi="Trebuchet MS"/>
          <w:b/>
          <w:bCs/>
        </w:rPr>
        <w:t>voidable and unavoidable turnover and push and pull factor</w:t>
      </w:r>
      <w:r w:rsidRPr="00276076">
        <w:rPr>
          <w:rStyle w:val="ui-provider"/>
          <w:rFonts w:ascii="Trebuchet MS" w:hAnsi="Trebuchet MS"/>
          <w:b/>
          <w:bCs/>
        </w:rPr>
        <w:t>s</w:t>
      </w:r>
      <w:r w:rsidR="00973781" w:rsidRPr="00276076">
        <w:rPr>
          <w:rStyle w:val="ui-provider"/>
          <w:rFonts w:ascii="Trebuchet MS" w:hAnsi="Trebuchet MS"/>
          <w:b/>
          <w:bCs/>
        </w:rPr>
        <w:t xml:space="preserve"> (AC 3.1)</w:t>
      </w:r>
    </w:p>
    <w:p w14:paraId="22D6768F" w14:textId="77777777" w:rsidR="00216C8E" w:rsidRPr="00276076" w:rsidRDefault="00216C8E" w:rsidP="0005054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lastRenderedPageBreak/>
        <w:t xml:space="preserve">Employee turnover is a key indicator of organisational health, and understanding its underlying causes is essential for effective people management. At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turnover rates exceeding internal targets suggest underlying issues that need investigation. Differentiating between avoidable and unavoidable turnover, as well as push and pull factors, provides valuable insight into employee behaviour and supports targeted retention strategies.</w:t>
      </w:r>
    </w:p>
    <w:p w14:paraId="188EFE14" w14:textId="77777777" w:rsidR="00216C8E" w:rsidRPr="00276076" w:rsidRDefault="00216C8E" w:rsidP="0005054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Avoidable turnover refers to employee departures that could have been prevented through organisational action, such as improving working conditions, management practices, or career development opportunities. Examples include employees leaving due to low pay, poor management, or limited progression (Armstrong &amp; Taylor, 2020). For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where frontline delivery and logistics roles can be demanding, avoidable turnover might stem from job dissatisfaction, lack of recognition, or insufficient support during peak workload periods. Addressing these issues through enhanced engagement initiatives, career pathways, and competitive pay structures could help reduce turnover rates.</w:t>
      </w:r>
    </w:p>
    <w:p w14:paraId="40B60C99" w14:textId="22A5ACC2" w:rsidR="00216C8E" w:rsidRPr="00276076" w:rsidRDefault="00216C8E" w:rsidP="0005054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In contrast, unavoidable turnover occurs when employees leave for reasons outside the employer’s control</w:t>
      </w:r>
      <w:r w:rsidR="00710D22">
        <w:rPr>
          <w:rFonts w:ascii="Trebuchet MS" w:eastAsia="Times New Roman" w:hAnsi="Trebuchet MS"/>
          <w:sz w:val="22"/>
          <w:szCs w:val="22"/>
          <w:bdr w:val="none" w:sz="0" w:space="0" w:color="auto"/>
          <w:lang w:val="en-GB" w:eastAsia="en-GB"/>
        </w:rPr>
        <w:t xml:space="preserve"> - </w:t>
      </w:r>
      <w:r w:rsidRPr="00276076">
        <w:rPr>
          <w:rFonts w:ascii="Trebuchet MS" w:eastAsia="Times New Roman" w:hAnsi="Trebuchet MS"/>
          <w:sz w:val="22"/>
          <w:szCs w:val="22"/>
          <w:bdr w:val="none" w:sz="0" w:space="0" w:color="auto"/>
          <w:lang w:val="en-GB" w:eastAsia="en-GB"/>
        </w:rPr>
        <w:t xml:space="preserve">such as retirement, relocation, or health issues (CIPD, 2023). While these departures are inevitable, analysing patterns in unavoidable turnover can still help with workforce planning. For instance, forecasting retirements or long-term absences allows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to anticipate skills shortages and plan recruitment or training accordingly. Though unavoidable turnover cannot be fully prevented, its impact can be mitigated through proactive succession and talent planning.</w:t>
      </w:r>
    </w:p>
    <w:p w14:paraId="230E206D" w14:textId="77777777" w:rsidR="00216C8E" w:rsidRPr="00276076" w:rsidRDefault="00216C8E" w:rsidP="0005054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The concepts of push and pull factors provide further insight into why employees leave. Push factors are internal organisational issues that drive employees away, such as poor leadership, lack of career opportunities, excessive workloads, or unsupportive workplace culture (Taylor, 2018). In </w:t>
      </w:r>
      <w:proofErr w:type="spellStart"/>
      <w:r w:rsidRPr="00276076">
        <w:rPr>
          <w:rFonts w:ascii="Trebuchet MS" w:eastAsia="Times New Roman" w:hAnsi="Trebuchet MS"/>
          <w:sz w:val="22"/>
          <w:szCs w:val="22"/>
          <w:bdr w:val="none" w:sz="0" w:space="0" w:color="auto"/>
          <w:lang w:val="en-GB" w:eastAsia="en-GB"/>
        </w:rPr>
        <w:t>ParcelCare’s</w:t>
      </w:r>
      <w:proofErr w:type="spellEnd"/>
      <w:r w:rsidRPr="00276076">
        <w:rPr>
          <w:rFonts w:ascii="Trebuchet MS" w:eastAsia="Times New Roman" w:hAnsi="Trebuchet MS"/>
          <w:sz w:val="22"/>
          <w:szCs w:val="22"/>
          <w:bdr w:val="none" w:sz="0" w:space="0" w:color="auto"/>
          <w:lang w:val="en-GB" w:eastAsia="en-GB"/>
        </w:rPr>
        <w:t xml:space="preserve"> context, high workloads during seasonal peaks or limited flexibility in shift patterns may contribute to employees feeling undervalued or burned out. Reducing push factors requires leadership development, fair workload distribution, and improved communication between managers and staff.</w:t>
      </w:r>
    </w:p>
    <w:p w14:paraId="6FFEBD14" w14:textId="77777777" w:rsidR="00216C8E" w:rsidRPr="00276076" w:rsidRDefault="00216C8E" w:rsidP="0005054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Conversely, pull factors are external attractions drawing employees toward other opportunities. These might include higher pay, better benefits, improved work-life balance, or opportunities for advancement elsewhere (CIPD, 2022). The logistics sector is highly competitive, and rival employers may offer more flexible working arrangements or performance incentives. While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cannot control pull factors, it can counteract them by strengthening its employee value proposition—emphasising development, wellbeing, and belonging as key reasons to stay.</w:t>
      </w:r>
    </w:p>
    <w:p w14:paraId="1AA88D0C" w14:textId="77777777" w:rsidR="00216C8E" w:rsidRPr="00276076" w:rsidRDefault="00216C8E" w:rsidP="0005054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In summary, distinguishing between avoidable and unavoidable turnover helps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identify where interventions can make the most difference, while analysing push and pull factors clarifies what drives employees to leave or stay. A data-driven understanding of these factors will enable targeted retention strategies, ultimately </w:t>
      </w:r>
      <w:proofErr w:type="gramStart"/>
      <w:r w:rsidRPr="00276076">
        <w:rPr>
          <w:rFonts w:ascii="Trebuchet MS" w:eastAsia="Times New Roman" w:hAnsi="Trebuchet MS"/>
          <w:sz w:val="22"/>
          <w:szCs w:val="22"/>
          <w:bdr w:val="none" w:sz="0" w:space="0" w:color="auto"/>
          <w:lang w:val="en-GB" w:eastAsia="en-GB"/>
        </w:rPr>
        <w:t>reducing</w:t>
      </w:r>
      <w:proofErr w:type="gramEnd"/>
      <w:r w:rsidRPr="00276076">
        <w:rPr>
          <w:rFonts w:ascii="Trebuchet MS" w:eastAsia="Times New Roman" w:hAnsi="Trebuchet MS"/>
          <w:sz w:val="22"/>
          <w:szCs w:val="22"/>
          <w:bdr w:val="none" w:sz="0" w:space="0" w:color="auto"/>
          <w:lang w:val="en-GB" w:eastAsia="en-GB"/>
        </w:rPr>
        <w:t xml:space="preserve"> turnover and supporting workforce stability.</w:t>
      </w:r>
    </w:p>
    <w:p w14:paraId="5366AD21" w14:textId="77777777" w:rsidR="00216C8E" w:rsidRPr="00276076" w:rsidRDefault="00216C8E" w:rsidP="00216C8E">
      <w:pPr>
        <w:pStyle w:val="Nornal"/>
        <w:rPr>
          <w:rFonts w:ascii="Trebuchet MS" w:hAnsi="Trebuchet MS"/>
        </w:rPr>
      </w:pPr>
    </w:p>
    <w:p w14:paraId="669BC2CD" w14:textId="6BABC0EE" w:rsidR="00F14BE3" w:rsidRPr="00276076" w:rsidRDefault="0036565C" w:rsidP="00D13AAF">
      <w:pPr>
        <w:pStyle w:val="Nornal"/>
        <w:rPr>
          <w:rStyle w:val="ui-provider"/>
          <w:rFonts w:ascii="Trebuchet MS" w:hAnsi="Trebuchet MS"/>
          <w:b/>
          <w:bCs/>
        </w:rPr>
      </w:pPr>
      <w:r w:rsidRPr="00276076">
        <w:rPr>
          <w:rStyle w:val="ui-provider"/>
          <w:rFonts w:ascii="Trebuchet MS" w:hAnsi="Trebuchet MS"/>
          <w:b/>
          <w:bCs/>
        </w:rPr>
        <w:t>Comparison of</w:t>
      </w:r>
      <w:r w:rsidR="00973781" w:rsidRPr="00276076">
        <w:rPr>
          <w:rStyle w:val="ui-provider"/>
          <w:rFonts w:ascii="Trebuchet MS" w:hAnsi="Trebuchet MS"/>
          <w:b/>
          <w:bCs/>
        </w:rPr>
        <w:t xml:space="preserve"> retention approaches (AC 3.2)</w:t>
      </w:r>
    </w:p>
    <w:p w14:paraId="5762810C" w14:textId="55C4CDEC" w:rsidR="00D13AAF" w:rsidRPr="00276076" w:rsidRDefault="00D13AAF" w:rsidP="00D13AA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Retention of warehouse staff is a significant challenge for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particularly given the high competition within the logistics and delivery sector. To address this issue, the organisation should adopt evidence-based retention approaches that improve employee engagement, satisfaction, and commitment. Four key methods</w:t>
      </w:r>
      <w:r w:rsidR="00AC52D8">
        <w:rPr>
          <w:rFonts w:ascii="Trebuchet MS" w:eastAsia="Times New Roman" w:hAnsi="Trebuchet MS"/>
          <w:sz w:val="22"/>
          <w:szCs w:val="22"/>
          <w:bdr w:val="none" w:sz="0" w:space="0" w:color="auto"/>
          <w:lang w:val="en-GB" w:eastAsia="en-GB"/>
        </w:rPr>
        <w:t xml:space="preserve"> - </w:t>
      </w:r>
      <w:r w:rsidRPr="00276076">
        <w:rPr>
          <w:rFonts w:ascii="Trebuchet MS" w:eastAsia="Times New Roman" w:hAnsi="Trebuchet MS"/>
          <w:sz w:val="22"/>
          <w:szCs w:val="22"/>
          <w:bdr w:val="none" w:sz="0" w:space="0" w:color="auto"/>
          <w:lang w:val="en-GB" w:eastAsia="en-GB"/>
        </w:rPr>
        <w:t>realistic job previews, induction, job enrichment, and reward</w:t>
      </w:r>
      <w:r w:rsidR="00AC52D8">
        <w:rPr>
          <w:rFonts w:ascii="Trebuchet MS" w:eastAsia="Times New Roman" w:hAnsi="Trebuchet MS"/>
          <w:sz w:val="22"/>
          <w:szCs w:val="22"/>
          <w:bdr w:val="none" w:sz="0" w:space="0" w:color="auto"/>
          <w:lang w:val="en-GB" w:eastAsia="en-GB"/>
        </w:rPr>
        <w:t xml:space="preserve"> - </w:t>
      </w:r>
      <w:r w:rsidRPr="00276076">
        <w:rPr>
          <w:rFonts w:ascii="Trebuchet MS" w:eastAsia="Times New Roman" w:hAnsi="Trebuchet MS"/>
          <w:sz w:val="22"/>
          <w:szCs w:val="22"/>
          <w:bdr w:val="none" w:sz="0" w:space="0" w:color="auto"/>
          <w:lang w:val="en-GB" w:eastAsia="en-GB"/>
        </w:rPr>
        <w:t>each offer different benefits and limitations when applied to improving staff retention.</w:t>
      </w:r>
    </w:p>
    <w:p w14:paraId="78FD94CE" w14:textId="77777777" w:rsidR="00D13AAF" w:rsidRPr="00276076" w:rsidRDefault="00D13AAF" w:rsidP="00D13AA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A realistic job preview (RJP) involves providing potential employees with an accurate depiction of the job before they accept an offer. This includes both the positive and challenging aspects of the role, such as shift work, physical demands, and performance expectations (Phillips and Gully, </w:t>
      </w:r>
      <w:r w:rsidRPr="00276076">
        <w:rPr>
          <w:rFonts w:ascii="Trebuchet MS" w:eastAsia="Times New Roman" w:hAnsi="Trebuchet MS"/>
          <w:sz w:val="22"/>
          <w:szCs w:val="22"/>
          <w:bdr w:val="none" w:sz="0" w:space="0" w:color="auto"/>
          <w:lang w:val="en-GB" w:eastAsia="en-GB"/>
        </w:rPr>
        <w:lastRenderedPageBreak/>
        <w:t xml:space="preserve">2015). The main strength of RJPs lies in managing candidate expectations and reducing early turnover by ensuring that employees know what to expect (CIPD, 2022). For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this could involve offering job-shadowing opportunities or realistic videos of warehouse operations during recruitment. However, a potential weakness is that some candidates may be deterred by the honesty of the preview, potentially reducing applicant numbers. Despite this, those who do accept offers are likely to be more committed and resilient, leading to better long-term retention.</w:t>
      </w:r>
    </w:p>
    <w:p w14:paraId="33428ECF" w14:textId="77777777" w:rsidR="00D13AAF" w:rsidRPr="00276076" w:rsidRDefault="00D13AAF" w:rsidP="00D13AA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Induction is another essential retention tool that supports employees during their transition into the organisation. A structured and engaging induction programme helps new hires feel welcomed, confident, and connected to the company’s culture (Armstrong and Taylor, 2020). For warehouse staff, this could include safety training, mentoring by experienced colleagues, and early performance feedback. Strong induction processes reduce anxiety, increase engagement, and can significantly lower turnover in the first six months of employment (CIPD, 2023). However, weak or inconsistent induction can lead to confusion, poor morale, and early resignations. Therefore, investment in standardised induction practices is essential for building workforce stability.</w:t>
      </w:r>
    </w:p>
    <w:p w14:paraId="1B6D6B4D" w14:textId="71D62330" w:rsidR="00D13AAF" w:rsidRPr="00276076" w:rsidRDefault="00D13AAF" w:rsidP="00D13AA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Job enrichment focuses on increasing job satisfaction by enhancing the scope, responsibility, and variety within a role (Herzberg, 1968). Applying job enrichment in a warehouse environment could involve introducing multi-skilling opportunities, allowing staff to rotate between tasks, or involving them in process improvement projects. This approach can enhance motivation, autonomy, and a sense of purpose, reducing boredom and turnover (Hackman and Oldham, 1976). The challenge, however, lies in balancing enrichment with operational efficiency</w:t>
      </w:r>
      <w:r w:rsidR="00AC52D8">
        <w:rPr>
          <w:rFonts w:ascii="Trebuchet MS" w:eastAsia="Times New Roman" w:hAnsi="Trebuchet MS"/>
          <w:sz w:val="22"/>
          <w:szCs w:val="22"/>
          <w:bdr w:val="none" w:sz="0" w:space="0" w:color="auto"/>
          <w:lang w:val="en-GB" w:eastAsia="en-GB"/>
        </w:rPr>
        <w:t xml:space="preserve"> - </w:t>
      </w:r>
      <w:r w:rsidRPr="00276076">
        <w:rPr>
          <w:rFonts w:ascii="Trebuchet MS" w:eastAsia="Times New Roman" w:hAnsi="Trebuchet MS"/>
          <w:sz w:val="22"/>
          <w:szCs w:val="22"/>
          <w:bdr w:val="none" w:sz="0" w:space="0" w:color="auto"/>
          <w:lang w:val="en-GB" w:eastAsia="en-GB"/>
        </w:rPr>
        <w:t>too much variety without adequate training could lead to inconsistencies in performance.</w:t>
      </w:r>
    </w:p>
    <w:p w14:paraId="4FBA231E" w14:textId="77777777" w:rsidR="00D13AAF" w:rsidRPr="00276076" w:rsidRDefault="00D13AAF" w:rsidP="00D13AA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Finally, reward systems play a critical role in retention by recognising and reinforcing positive performance. Competitive pay, performance bonuses, and non-financial rewards such as recognition programmes or wellbeing initiatives can increase employee satisfaction and loyalty (Armstrong and Taylor, 2020). For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introducing attendance bonuses or employee-of-the-month schemes could enhance morale and demonstrate appreciation. However, over-reliance on financial incentives can reduce intrinsic motivation if not complemented by broader engagement strategies (Taylor, 2018).</w:t>
      </w:r>
    </w:p>
    <w:p w14:paraId="32E20DF1" w14:textId="67702CA0" w:rsidR="00D13AAF" w:rsidRPr="00276076" w:rsidRDefault="00D13AAF" w:rsidP="00D13AAF">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In summary, while each approach</w:t>
      </w:r>
      <w:r w:rsidR="000F2929">
        <w:rPr>
          <w:rFonts w:ascii="Trebuchet MS" w:eastAsia="Times New Roman" w:hAnsi="Trebuchet MS"/>
          <w:sz w:val="22"/>
          <w:szCs w:val="22"/>
          <w:bdr w:val="none" w:sz="0" w:space="0" w:color="auto"/>
          <w:lang w:val="en-GB" w:eastAsia="en-GB"/>
        </w:rPr>
        <w:t xml:space="preserve"> - </w:t>
      </w:r>
      <w:r w:rsidRPr="00276076">
        <w:rPr>
          <w:rFonts w:ascii="Trebuchet MS" w:eastAsia="Times New Roman" w:hAnsi="Trebuchet MS"/>
          <w:sz w:val="22"/>
          <w:szCs w:val="22"/>
          <w:bdr w:val="none" w:sz="0" w:space="0" w:color="auto"/>
          <w:lang w:val="en-GB" w:eastAsia="en-GB"/>
        </w:rPr>
        <w:t>realistic job previews, induction, job enrichment, and reward</w:t>
      </w:r>
      <w:r w:rsidR="000F2929">
        <w:rPr>
          <w:rFonts w:ascii="Trebuchet MS" w:eastAsia="Times New Roman" w:hAnsi="Trebuchet MS"/>
          <w:sz w:val="22"/>
          <w:szCs w:val="22"/>
          <w:bdr w:val="none" w:sz="0" w:space="0" w:color="auto"/>
          <w:lang w:val="en-GB" w:eastAsia="en-GB"/>
        </w:rPr>
        <w:t xml:space="preserve"> - </w:t>
      </w:r>
      <w:r w:rsidRPr="00276076">
        <w:rPr>
          <w:rFonts w:ascii="Trebuchet MS" w:eastAsia="Times New Roman" w:hAnsi="Trebuchet MS"/>
          <w:sz w:val="22"/>
          <w:szCs w:val="22"/>
          <w:bdr w:val="none" w:sz="0" w:space="0" w:color="auto"/>
          <w:lang w:val="en-GB" w:eastAsia="en-GB"/>
        </w:rPr>
        <w:t xml:space="preserve">has distinct advantages, the greatest retention impact occurs when they are integrated. A combination of transparent recruitment, supportive onboarding, engaging work design, and fair rewards will help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build a loyal and stable warehouse workforce.</w:t>
      </w:r>
    </w:p>
    <w:p w14:paraId="53AB0B47" w14:textId="77777777" w:rsidR="00D13AAF" w:rsidRPr="00276076" w:rsidRDefault="00D13AAF" w:rsidP="00D13AAF">
      <w:pPr>
        <w:pStyle w:val="Nornal"/>
        <w:rPr>
          <w:rFonts w:ascii="Trebuchet MS" w:hAnsi="Trebuchet MS"/>
        </w:rPr>
      </w:pPr>
    </w:p>
    <w:p w14:paraId="008D2D96" w14:textId="62BAFC4D" w:rsidR="00F14BE3" w:rsidRPr="00276076" w:rsidRDefault="009B2AE9" w:rsidP="009B2AE9">
      <w:pPr>
        <w:pStyle w:val="Nornal"/>
        <w:rPr>
          <w:rStyle w:val="ui-provider"/>
          <w:rFonts w:ascii="Trebuchet MS" w:hAnsi="Trebuchet MS"/>
          <w:b/>
          <w:bCs/>
        </w:rPr>
      </w:pPr>
      <w:r w:rsidRPr="00276076">
        <w:rPr>
          <w:rStyle w:val="ui-provider"/>
          <w:rFonts w:ascii="Trebuchet MS" w:hAnsi="Trebuchet MS"/>
          <w:b/>
          <w:bCs/>
        </w:rPr>
        <w:t>I</w:t>
      </w:r>
      <w:r w:rsidR="00973781" w:rsidRPr="00276076">
        <w:rPr>
          <w:rStyle w:val="ui-provider"/>
          <w:rFonts w:ascii="Trebuchet MS" w:hAnsi="Trebuchet MS"/>
          <w:b/>
          <w:bCs/>
        </w:rPr>
        <w:t>mpact of dysfunctional employee turnover (AC 3.3)</w:t>
      </w:r>
    </w:p>
    <w:p w14:paraId="1260C74D" w14:textId="77777777" w:rsidR="00411919" w:rsidRPr="00276076" w:rsidRDefault="00411919" w:rsidP="00411919">
      <w:pPr>
        <w:pStyle w:val="NormalWeb"/>
        <w:rPr>
          <w:rFonts w:ascii="Trebuchet MS" w:hAnsi="Trebuchet MS"/>
        </w:rPr>
      </w:pPr>
      <w:r w:rsidRPr="00276076">
        <w:rPr>
          <w:rFonts w:ascii="Trebuchet MS" w:hAnsi="Trebuchet MS"/>
        </w:rPr>
        <w:t xml:space="preserve">Dysfunctional employee turnover occurs when high-performing or experienced employees leave an </w:t>
      </w:r>
      <w:proofErr w:type="spellStart"/>
      <w:r w:rsidRPr="00276076">
        <w:rPr>
          <w:rFonts w:ascii="Trebuchet MS" w:hAnsi="Trebuchet MS"/>
        </w:rPr>
        <w:t>organisation</w:t>
      </w:r>
      <w:proofErr w:type="spellEnd"/>
      <w:r w:rsidRPr="00276076">
        <w:rPr>
          <w:rFonts w:ascii="Trebuchet MS" w:hAnsi="Trebuchet MS"/>
        </w:rPr>
        <w:t xml:space="preserve">, resulting in negative consequences for performance, morale, and profitability. For </w:t>
      </w:r>
      <w:proofErr w:type="spellStart"/>
      <w:r w:rsidRPr="00276076">
        <w:rPr>
          <w:rFonts w:ascii="Trebuchet MS" w:hAnsi="Trebuchet MS"/>
        </w:rPr>
        <w:t>ParcelCare</w:t>
      </w:r>
      <w:proofErr w:type="spellEnd"/>
      <w:r w:rsidRPr="00276076">
        <w:rPr>
          <w:rFonts w:ascii="Trebuchet MS" w:hAnsi="Trebuchet MS"/>
        </w:rPr>
        <w:t>, where operational efficiency depends on experienced warehouse and delivery staff, high levels of dysfunctional turnover can significantly disrupt service quality and increase costs. Understanding its impact is essential to persuading senior leaders to address this issue strategically.</w:t>
      </w:r>
    </w:p>
    <w:p w14:paraId="25CA82AE" w14:textId="77777777" w:rsidR="00411919" w:rsidRPr="00276076" w:rsidRDefault="00411919" w:rsidP="00411919">
      <w:pPr>
        <w:pStyle w:val="NormalWeb"/>
        <w:rPr>
          <w:rFonts w:ascii="Trebuchet MS" w:hAnsi="Trebuchet MS"/>
        </w:rPr>
      </w:pPr>
      <w:r w:rsidRPr="00276076">
        <w:rPr>
          <w:rFonts w:ascii="Trebuchet MS" w:hAnsi="Trebuchet MS"/>
        </w:rPr>
        <w:t xml:space="preserve">One major impact of dysfunctional turnover is the </w:t>
      </w:r>
      <w:r w:rsidRPr="00276076">
        <w:rPr>
          <w:rStyle w:val="Strong"/>
          <w:rFonts w:ascii="Trebuchet MS" w:hAnsi="Trebuchet MS"/>
          <w:b w:val="0"/>
          <w:bCs w:val="0"/>
        </w:rPr>
        <w:t xml:space="preserve">loss of critical skills and </w:t>
      </w:r>
      <w:proofErr w:type="spellStart"/>
      <w:r w:rsidRPr="00276076">
        <w:rPr>
          <w:rStyle w:val="Strong"/>
          <w:rFonts w:ascii="Trebuchet MS" w:hAnsi="Trebuchet MS"/>
          <w:b w:val="0"/>
          <w:bCs w:val="0"/>
        </w:rPr>
        <w:t>organisational</w:t>
      </w:r>
      <w:proofErr w:type="spellEnd"/>
      <w:r w:rsidRPr="00276076">
        <w:rPr>
          <w:rStyle w:val="Strong"/>
          <w:rFonts w:ascii="Trebuchet MS" w:hAnsi="Trebuchet MS"/>
          <w:b w:val="0"/>
          <w:bCs w:val="0"/>
        </w:rPr>
        <w:t xml:space="preserve"> knowledge</w:t>
      </w:r>
      <w:r w:rsidRPr="00276076">
        <w:rPr>
          <w:rFonts w:ascii="Trebuchet MS" w:hAnsi="Trebuchet MS"/>
          <w:b/>
          <w:bCs/>
        </w:rPr>
        <w:t>.</w:t>
      </w:r>
      <w:r w:rsidRPr="00276076">
        <w:rPr>
          <w:rFonts w:ascii="Trebuchet MS" w:hAnsi="Trebuchet MS"/>
        </w:rPr>
        <w:t xml:space="preserve"> When skilled employees leave, their experience, technical expertise, and understanding of operational processes are lost, which can reduce productivity and service reliability (Armstrong and Taylor, 2020). In </w:t>
      </w:r>
      <w:proofErr w:type="spellStart"/>
      <w:r w:rsidRPr="00276076">
        <w:rPr>
          <w:rFonts w:ascii="Trebuchet MS" w:hAnsi="Trebuchet MS"/>
        </w:rPr>
        <w:t>ParcelCare’s</w:t>
      </w:r>
      <w:proofErr w:type="spellEnd"/>
      <w:r w:rsidRPr="00276076">
        <w:rPr>
          <w:rFonts w:ascii="Trebuchet MS" w:hAnsi="Trebuchet MS"/>
        </w:rPr>
        <w:t xml:space="preserve"> context, the departure of experienced drivers or warehouse supervisors can lead to errors, delivery delays, and reduced safety compliance. Replacing such staff often requires extensive training, which diverts resources and time from other business priorities.</w:t>
      </w:r>
    </w:p>
    <w:p w14:paraId="65041F68" w14:textId="77777777" w:rsidR="00411919" w:rsidRPr="00276076" w:rsidRDefault="00411919" w:rsidP="00411919">
      <w:pPr>
        <w:pStyle w:val="NormalWeb"/>
        <w:rPr>
          <w:rFonts w:ascii="Trebuchet MS" w:hAnsi="Trebuchet MS"/>
        </w:rPr>
      </w:pPr>
      <w:r w:rsidRPr="00276076">
        <w:rPr>
          <w:rFonts w:ascii="Trebuchet MS" w:hAnsi="Trebuchet MS"/>
        </w:rPr>
        <w:lastRenderedPageBreak/>
        <w:t xml:space="preserve">Another significant impact is the </w:t>
      </w:r>
      <w:r w:rsidRPr="00276076">
        <w:rPr>
          <w:rStyle w:val="Strong"/>
          <w:rFonts w:ascii="Trebuchet MS" w:hAnsi="Trebuchet MS"/>
          <w:b w:val="0"/>
          <w:bCs w:val="0"/>
        </w:rPr>
        <w:t>increased financial cost</w:t>
      </w:r>
      <w:r w:rsidRPr="00276076">
        <w:rPr>
          <w:rFonts w:ascii="Trebuchet MS" w:hAnsi="Trebuchet MS"/>
        </w:rPr>
        <w:t xml:space="preserve"> associated with recruitment, onboarding, and training new employees. The Chartered Institute of Personnel and Development (CIPD, 2023) estimates that turnover can cost between </w:t>
      </w:r>
      <w:proofErr w:type="gramStart"/>
      <w:r w:rsidRPr="00276076">
        <w:rPr>
          <w:rFonts w:ascii="Trebuchet MS" w:hAnsi="Trebuchet MS"/>
        </w:rPr>
        <w:t>six and nine months’</w:t>
      </w:r>
      <w:proofErr w:type="gramEnd"/>
      <w:r w:rsidRPr="00276076">
        <w:rPr>
          <w:rFonts w:ascii="Trebuchet MS" w:hAnsi="Trebuchet MS"/>
        </w:rPr>
        <w:t xml:space="preserve"> salary per employee when accounting for recruitment expenses and productivity loss. For a high-volume employer such as </w:t>
      </w:r>
      <w:proofErr w:type="spellStart"/>
      <w:r w:rsidRPr="00276076">
        <w:rPr>
          <w:rFonts w:ascii="Trebuchet MS" w:hAnsi="Trebuchet MS"/>
        </w:rPr>
        <w:t>ParcelCare</w:t>
      </w:r>
      <w:proofErr w:type="spellEnd"/>
      <w:r w:rsidRPr="00276076">
        <w:rPr>
          <w:rFonts w:ascii="Trebuchet MS" w:hAnsi="Trebuchet MS"/>
        </w:rPr>
        <w:t>, where workforce churn is common, these costs can accumulate rapidly, affecting overall profitability. In addition, constant recruitment cycles can place pressure on HR teams and line managers, reducing their capacity to focus on strategic initiatives.</w:t>
      </w:r>
    </w:p>
    <w:p w14:paraId="6A35BC95" w14:textId="185041B8" w:rsidR="00411919" w:rsidRPr="00276076" w:rsidRDefault="00411919" w:rsidP="00411919">
      <w:pPr>
        <w:pStyle w:val="NormalWeb"/>
        <w:rPr>
          <w:rFonts w:ascii="Trebuchet MS" w:hAnsi="Trebuchet MS"/>
        </w:rPr>
      </w:pPr>
      <w:r w:rsidRPr="00276076">
        <w:rPr>
          <w:rFonts w:ascii="Trebuchet MS" w:hAnsi="Trebuchet MS"/>
        </w:rPr>
        <w:t xml:space="preserve">Dysfunctional turnover also </w:t>
      </w:r>
      <w:r w:rsidRPr="00276076">
        <w:rPr>
          <w:rStyle w:val="Strong"/>
          <w:rFonts w:ascii="Trebuchet MS" w:hAnsi="Trebuchet MS"/>
          <w:b w:val="0"/>
          <w:bCs w:val="0"/>
        </w:rPr>
        <w:t>undermines team cohesion and morale</w:t>
      </w:r>
      <w:r w:rsidRPr="00276076">
        <w:rPr>
          <w:rFonts w:ascii="Trebuchet MS" w:hAnsi="Trebuchet MS"/>
        </w:rPr>
        <w:t>. When valued colleagues leave, remaining employees may experience lower motivation and increased workloads, leading to burnout and further resignations</w:t>
      </w:r>
      <w:r w:rsidR="00710141">
        <w:rPr>
          <w:rFonts w:ascii="Trebuchet MS" w:hAnsi="Trebuchet MS"/>
        </w:rPr>
        <w:t xml:space="preserve"> - </w:t>
      </w:r>
      <w:r w:rsidRPr="00276076">
        <w:rPr>
          <w:rFonts w:ascii="Trebuchet MS" w:hAnsi="Trebuchet MS"/>
        </w:rPr>
        <w:t>a phenomenon often described as the “turnover contagion effect” (Hom et al., 2017). This cycle can erode trust in leadership and damage the psychological contract between employer and employee, making retention increasingly difficult.</w:t>
      </w:r>
    </w:p>
    <w:p w14:paraId="2A909E3C" w14:textId="77777777" w:rsidR="00411919" w:rsidRPr="00276076" w:rsidRDefault="00411919" w:rsidP="00411919">
      <w:pPr>
        <w:pStyle w:val="NormalWeb"/>
        <w:rPr>
          <w:rFonts w:ascii="Trebuchet MS" w:hAnsi="Trebuchet MS"/>
        </w:rPr>
      </w:pPr>
      <w:r w:rsidRPr="00276076">
        <w:rPr>
          <w:rFonts w:ascii="Trebuchet MS" w:hAnsi="Trebuchet MS"/>
        </w:rPr>
        <w:t xml:space="preserve">Furthermore, persistent turnover can </w:t>
      </w:r>
      <w:r w:rsidRPr="00276076">
        <w:rPr>
          <w:rStyle w:val="Strong"/>
          <w:rFonts w:ascii="Trebuchet MS" w:hAnsi="Trebuchet MS"/>
          <w:b w:val="0"/>
          <w:bCs w:val="0"/>
        </w:rPr>
        <w:t>damage employer brand and customer satisfaction</w:t>
      </w:r>
      <w:r w:rsidRPr="00276076">
        <w:rPr>
          <w:rFonts w:ascii="Trebuchet MS" w:hAnsi="Trebuchet MS"/>
        </w:rPr>
        <w:t>. High attrition rates often signal instability, making it harder to attract quality candidates (CIPD, 2022). Customers may also experience inconsistent service, particularly if new or temporary staff lack the same level of competence as experienced workers. In service-based industries like logistics, where reliability is critical, the reputational cost of turnover can be substantial.</w:t>
      </w:r>
    </w:p>
    <w:p w14:paraId="0913322D" w14:textId="77777777" w:rsidR="00411919" w:rsidRPr="00276076" w:rsidRDefault="00411919" w:rsidP="00411919">
      <w:pPr>
        <w:pStyle w:val="NormalWeb"/>
        <w:rPr>
          <w:rFonts w:ascii="Trebuchet MS" w:hAnsi="Trebuchet MS"/>
        </w:rPr>
      </w:pPr>
      <w:r w:rsidRPr="00276076">
        <w:rPr>
          <w:rFonts w:ascii="Trebuchet MS" w:hAnsi="Trebuchet MS"/>
        </w:rPr>
        <w:t xml:space="preserve">In summary, dysfunctional turnover at </w:t>
      </w:r>
      <w:proofErr w:type="spellStart"/>
      <w:r w:rsidRPr="00276076">
        <w:rPr>
          <w:rFonts w:ascii="Trebuchet MS" w:hAnsi="Trebuchet MS"/>
        </w:rPr>
        <w:t>ParcelCare</w:t>
      </w:r>
      <w:proofErr w:type="spellEnd"/>
      <w:r w:rsidRPr="00276076">
        <w:rPr>
          <w:rFonts w:ascii="Trebuchet MS" w:hAnsi="Trebuchet MS"/>
        </w:rPr>
        <w:t xml:space="preserve"> leads to knowledge loss, financial strain, reduced morale, and reputational risk. Addressing it through improved engagement, development opportunities, and retention strategies will not only enhance performance but also strengthen </w:t>
      </w:r>
      <w:proofErr w:type="spellStart"/>
      <w:r w:rsidRPr="00276076">
        <w:rPr>
          <w:rFonts w:ascii="Trebuchet MS" w:hAnsi="Trebuchet MS"/>
        </w:rPr>
        <w:t>organisational</w:t>
      </w:r>
      <w:proofErr w:type="spellEnd"/>
      <w:r w:rsidRPr="00276076">
        <w:rPr>
          <w:rFonts w:ascii="Trebuchet MS" w:hAnsi="Trebuchet MS"/>
        </w:rPr>
        <w:t xml:space="preserve"> resilience and competitive advantage.</w:t>
      </w:r>
    </w:p>
    <w:p w14:paraId="776B4244" w14:textId="77777777" w:rsidR="00411919" w:rsidRPr="00276076" w:rsidRDefault="00411919" w:rsidP="00411919">
      <w:pPr>
        <w:pStyle w:val="Nornal"/>
        <w:rPr>
          <w:rFonts w:ascii="Trebuchet MS" w:hAnsi="Trebuchet MS"/>
        </w:rPr>
      </w:pPr>
    </w:p>
    <w:p w14:paraId="431A7150" w14:textId="26E711DE" w:rsidR="00F14BE3" w:rsidRPr="00276076" w:rsidRDefault="000F499F" w:rsidP="00A42716">
      <w:pPr>
        <w:rPr>
          <w:rStyle w:val="ui-provider"/>
          <w:rFonts w:ascii="Trebuchet MS" w:hAnsi="Trebuchet MS"/>
          <w:b/>
          <w:bCs/>
          <w:sz w:val="22"/>
          <w:szCs w:val="22"/>
        </w:rPr>
      </w:pPr>
      <w:r w:rsidRPr="00276076">
        <w:rPr>
          <w:rStyle w:val="ui-provider"/>
          <w:rFonts w:ascii="Trebuchet MS" w:hAnsi="Trebuchet MS"/>
          <w:b/>
          <w:bCs/>
          <w:sz w:val="22"/>
          <w:szCs w:val="22"/>
        </w:rPr>
        <w:t>Employment contracts</w:t>
      </w:r>
      <w:r w:rsidR="00973781" w:rsidRPr="00276076">
        <w:rPr>
          <w:rStyle w:val="ui-provider"/>
          <w:rFonts w:ascii="Trebuchet MS" w:hAnsi="Trebuchet MS"/>
          <w:b/>
          <w:bCs/>
          <w:sz w:val="22"/>
          <w:szCs w:val="22"/>
        </w:rPr>
        <w:t xml:space="preserve"> (AC 4.1)</w:t>
      </w:r>
    </w:p>
    <w:p w14:paraId="3FDAB305" w14:textId="77777777" w:rsidR="00A42716" w:rsidRPr="00276076" w:rsidRDefault="00A42716" w:rsidP="00A4271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Permanent, full-time contracts remain the backbone of many logistics organisations and are highly suitable for </w:t>
      </w:r>
      <w:proofErr w:type="spellStart"/>
      <w:r w:rsidRPr="00276076">
        <w:rPr>
          <w:rFonts w:ascii="Trebuchet MS" w:eastAsia="Times New Roman" w:hAnsi="Trebuchet MS"/>
          <w:sz w:val="22"/>
          <w:szCs w:val="22"/>
          <w:bdr w:val="none" w:sz="0" w:space="0" w:color="auto"/>
          <w:lang w:val="en-GB" w:eastAsia="en-GB"/>
        </w:rPr>
        <w:t>ParcelCare’s</w:t>
      </w:r>
      <w:proofErr w:type="spellEnd"/>
      <w:r w:rsidRPr="00276076">
        <w:rPr>
          <w:rFonts w:ascii="Trebuchet MS" w:eastAsia="Times New Roman" w:hAnsi="Trebuchet MS"/>
          <w:sz w:val="22"/>
          <w:szCs w:val="22"/>
          <w:bdr w:val="none" w:sz="0" w:space="0" w:color="auto"/>
          <w:lang w:val="en-GB" w:eastAsia="en-GB"/>
        </w:rPr>
        <w:t xml:space="preserve"> delivery drivers, particularly in ensuring reliability, consistency, and workforce stability. These contracts typically include guaranteed hours, employee benefits, and job security, which can foster commitment, reduce turnover, and improve performance quality (Redman and Wilkinson, 2019). For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maintaining a core team of full-time drivers ensures operational continuity, particularly for regular routes and service standards that rely on customer familiarity and trust. According to Marchington et al. (2021), such employment relationships strengthen organisational culture and encourage drivers to invest in their roles, promoting better health and safety compliance and long-term productivity. However, these contracts also limit flexibility; when delivery volumes fluctuate seasonally, the company may face higher labour costs and inefficiencies if full-time staff are underutilised.</w:t>
      </w:r>
    </w:p>
    <w:p w14:paraId="44129F02" w14:textId="77777777" w:rsidR="00A42716" w:rsidRPr="00276076" w:rsidRDefault="00A42716" w:rsidP="00A4271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To address this, part-time contracts could be introduced as a supplementary arrangement. Part-time employment allows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to balance operational needs and cost management more effectively by employing drivers for fewer hours or specific shifts (Brewster et al., 2020). This approach can widen the organisation’s talent pool, attracting groups such as students, parents, or semi-retired workers seeking flexible employment. Furthermore, part-time contracts can help the organisation remain compliant with fair working practices while still adapting to periods of lower demand. However, potential drawbacks include challenges in scheduling, inconsistent workforce availability, and the need for additional administrative oversight. Employees on part-time contracts may also feel excluded from organisational communication or progression opportunities, potentially affecting engagement (Gennard and Judge, 2021).</w:t>
      </w:r>
    </w:p>
    <w:p w14:paraId="196AE18D" w14:textId="77777777" w:rsidR="00A42716" w:rsidRPr="00276076" w:rsidRDefault="00A42716" w:rsidP="00A4271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Another option is agency contracts, where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could use external staffing agencies to supply drivers during peak demand periods. This can provide immediate workforce flexibility, reduce recruitment lead times, and help the organisation respond swiftly to unpredictable surges in parcel volumes (Rees and Smith, 2021). Using agency drivers also allows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to trial </w:t>
      </w:r>
      <w:r w:rsidRPr="00276076">
        <w:rPr>
          <w:rFonts w:ascii="Trebuchet MS" w:eastAsia="Times New Roman" w:hAnsi="Trebuchet MS"/>
          <w:sz w:val="22"/>
          <w:szCs w:val="22"/>
          <w:bdr w:val="none" w:sz="0" w:space="0" w:color="auto"/>
          <w:lang w:val="en-GB" w:eastAsia="en-GB"/>
        </w:rPr>
        <w:lastRenderedPageBreak/>
        <w:t>potential recruits before offering permanent positions, reducing hiring risks. However, agency contracts can increase overall costs due to agency fees and may lead to inconsistencies in service quality, as agency drivers might lack full familiarity with company processes or values. Furthermore, reliance on temporary labour could affect team cohesion and customer experience if turnover among agency staff is high.</w:t>
      </w:r>
    </w:p>
    <w:p w14:paraId="345B9F30" w14:textId="0B19A7DA" w:rsidR="00A42716" w:rsidRPr="00276076" w:rsidRDefault="00A42716" w:rsidP="00A4271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ascii="Trebuchet MS" w:eastAsia="Times New Roman" w:hAnsi="Trebuchet MS"/>
          <w:sz w:val="22"/>
          <w:szCs w:val="22"/>
          <w:bdr w:val="none" w:sz="0" w:space="0" w:color="auto"/>
          <w:lang w:val="en-GB" w:eastAsia="en-GB"/>
        </w:rPr>
      </w:pPr>
      <w:r w:rsidRPr="00276076">
        <w:rPr>
          <w:rFonts w:ascii="Trebuchet MS" w:eastAsia="Times New Roman" w:hAnsi="Trebuchet MS"/>
          <w:sz w:val="22"/>
          <w:szCs w:val="22"/>
          <w:bdr w:val="none" w:sz="0" w:space="0" w:color="auto"/>
          <w:lang w:val="en-GB" w:eastAsia="en-GB"/>
        </w:rPr>
        <w:t xml:space="preserve">In summary, while permanent, full-time contracts are crucial for operational consistency and workforce stability, incorporating part-time and agency contracts can provide </w:t>
      </w:r>
      <w:proofErr w:type="spellStart"/>
      <w:r w:rsidRPr="00276076">
        <w:rPr>
          <w:rFonts w:ascii="Trebuchet MS" w:eastAsia="Times New Roman" w:hAnsi="Trebuchet MS"/>
          <w:sz w:val="22"/>
          <w:szCs w:val="22"/>
          <w:bdr w:val="none" w:sz="0" w:space="0" w:color="auto"/>
          <w:lang w:val="en-GB" w:eastAsia="en-GB"/>
        </w:rPr>
        <w:t>ParcelCare</w:t>
      </w:r>
      <w:proofErr w:type="spellEnd"/>
      <w:r w:rsidRPr="00276076">
        <w:rPr>
          <w:rFonts w:ascii="Trebuchet MS" w:eastAsia="Times New Roman" w:hAnsi="Trebuchet MS"/>
          <w:sz w:val="22"/>
          <w:szCs w:val="22"/>
          <w:bdr w:val="none" w:sz="0" w:space="0" w:color="auto"/>
          <w:lang w:val="en-GB" w:eastAsia="en-GB"/>
        </w:rPr>
        <w:t xml:space="preserve"> with valuable flexibility to manage fluctuating demand. A blended approach</w:t>
      </w:r>
      <w:r w:rsidR="00B65515">
        <w:rPr>
          <w:rFonts w:ascii="Trebuchet MS" w:eastAsia="Times New Roman" w:hAnsi="Trebuchet MS"/>
          <w:sz w:val="22"/>
          <w:szCs w:val="22"/>
          <w:bdr w:val="none" w:sz="0" w:space="0" w:color="auto"/>
          <w:lang w:val="en-GB" w:eastAsia="en-GB"/>
        </w:rPr>
        <w:t xml:space="preserve"> - </w:t>
      </w:r>
      <w:r w:rsidRPr="00276076">
        <w:rPr>
          <w:rFonts w:ascii="Trebuchet MS" w:eastAsia="Times New Roman" w:hAnsi="Trebuchet MS"/>
          <w:sz w:val="22"/>
          <w:szCs w:val="22"/>
          <w:bdr w:val="none" w:sz="0" w:space="0" w:color="auto"/>
          <w:lang w:val="en-GB" w:eastAsia="en-GB"/>
        </w:rPr>
        <w:t>maintaining a full-time core workforce supported by part-time and agency drivers</w:t>
      </w:r>
      <w:r w:rsidR="00B65515">
        <w:rPr>
          <w:rFonts w:ascii="Trebuchet MS" w:eastAsia="Times New Roman" w:hAnsi="Trebuchet MS"/>
          <w:sz w:val="22"/>
          <w:szCs w:val="22"/>
          <w:bdr w:val="none" w:sz="0" w:space="0" w:color="auto"/>
          <w:lang w:val="en-GB" w:eastAsia="en-GB"/>
        </w:rPr>
        <w:t xml:space="preserve"> - </w:t>
      </w:r>
      <w:r w:rsidRPr="00276076">
        <w:rPr>
          <w:rFonts w:ascii="Trebuchet MS" w:eastAsia="Times New Roman" w:hAnsi="Trebuchet MS"/>
          <w:sz w:val="22"/>
          <w:szCs w:val="22"/>
          <w:bdr w:val="none" w:sz="0" w:space="0" w:color="auto"/>
          <w:lang w:val="en-GB" w:eastAsia="en-GB"/>
        </w:rPr>
        <w:t>could enhance efficiency, responsiveness, and cost-effectiveness.</w:t>
      </w:r>
    </w:p>
    <w:p w14:paraId="1EC2D5E5" w14:textId="77777777" w:rsidR="00A42716" w:rsidRPr="00276076" w:rsidRDefault="00A42716" w:rsidP="00A42716">
      <w:pPr>
        <w:rPr>
          <w:rFonts w:ascii="Trebuchet MS" w:hAnsi="Trebuchet MS"/>
          <w:sz w:val="22"/>
          <w:szCs w:val="22"/>
        </w:rPr>
      </w:pPr>
    </w:p>
    <w:p w14:paraId="6879EF24" w14:textId="77777777" w:rsidR="00F14BE3" w:rsidRPr="00276076" w:rsidRDefault="00F14BE3">
      <w:pPr>
        <w:pStyle w:val="Body"/>
        <w:rPr>
          <w:rFonts w:ascii="Trebuchet MS" w:eastAsia="Trebuchet MS" w:hAnsi="Trebuchet MS" w:cs="Trebuchet MS"/>
        </w:rPr>
      </w:pPr>
    </w:p>
    <w:p w14:paraId="13A0FEB8" w14:textId="6D8FF441" w:rsidR="00F77873" w:rsidRPr="00276076" w:rsidRDefault="00A62B1B" w:rsidP="002B63C6">
      <w:pPr>
        <w:pStyle w:val="Nornal"/>
        <w:rPr>
          <w:rFonts w:ascii="Trebuchet MS" w:hAnsi="Trebuchet MS"/>
          <w:b/>
          <w:bCs/>
        </w:rPr>
      </w:pPr>
      <w:r w:rsidRPr="00276076">
        <w:rPr>
          <w:rStyle w:val="ui-provider"/>
          <w:rFonts w:ascii="Trebuchet MS" w:hAnsi="Trebuchet MS"/>
          <w:b/>
          <w:bCs/>
        </w:rPr>
        <w:t>B</w:t>
      </w:r>
      <w:r w:rsidR="00973781" w:rsidRPr="00276076">
        <w:rPr>
          <w:rStyle w:val="ui-provider"/>
          <w:rFonts w:ascii="Trebuchet MS" w:hAnsi="Trebuchet MS"/>
          <w:b/>
          <w:bCs/>
        </w:rPr>
        <w:t>enefits of effective onboarding (AC 4.2)</w:t>
      </w:r>
    </w:p>
    <w:p w14:paraId="22588521" w14:textId="5EED9B2F" w:rsidR="00F77873" w:rsidRPr="00276076" w:rsidRDefault="00F77873" w:rsidP="00F77873">
      <w:pPr>
        <w:pStyle w:val="NormalWeb"/>
        <w:rPr>
          <w:rFonts w:ascii="Trebuchet MS" w:hAnsi="Trebuchet MS"/>
        </w:rPr>
      </w:pPr>
      <w:r w:rsidRPr="00276076">
        <w:rPr>
          <w:rFonts w:ascii="Trebuchet MS" w:hAnsi="Trebuchet MS"/>
        </w:rPr>
        <w:t xml:space="preserve">Effective onboarding is a critical component of human resource management that directly influences employee engagement, retention, and productivity. For </w:t>
      </w:r>
      <w:proofErr w:type="spellStart"/>
      <w:r w:rsidRPr="00276076">
        <w:rPr>
          <w:rFonts w:ascii="Trebuchet MS" w:hAnsi="Trebuchet MS"/>
        </w:rPr>
        <w:t>ParcelCare</w:t>
      </w:r>
      <w:proofErr w:type="spellEnd"/>
      <w:r w:rsidRPr="00276076">
        <w:rPr>
          <w:rFonts w:ascii="Trebuchet MS" w:hAnsi="Trebuchet MS"/>
        </w:rPr>
        <w:t xml:space="preserve">, investing in a structured onboarding </w:t>
      </w:r>
      <w:proofErr w:type="spellStart"/>
      <w:r w:rsidRPr="00276076">
        <w:rPr>
          <w:rFonts w:ascii="Trebuchet MS" w:hAnsi="Trebuchet MS"/>
        </w:rPr>
        <w:t>programme</w:t>
      </w:r>
      <w:proofErr w:type="spellEnd"/>
      <w:r w:rsidRPr="00276076">
        <w:rPr>
          <w:rFonts w:ascii="Trebuchet MS" w:hAnsi="Trebuchet MS"/>
        </w:rPr>
        <w:t xml:space="preserve"> would help new employees integrate smoothly into the </w:t>
      </w:r>
      <w:proofErr w:type="spellStart"/>
      <w:r w:rsidRPr="00276076">
        <w:rPr>
          <w:rFonts w:ascii="Trebuchet MS" w:hAnsi="Trebuchet MS"/>
        </w:rPr>
        <w:t>organisation’s</w:t>
      </w:r>
      <w:proofErr w:type="spellEnd"/>
      <w:r w:rsidRPr="00276076">
        <w:rPr>
          <w:rFonts w:ascii="Trebuchet MS" w:hAnsi="Trebuchet MS"/>
        </w:rPr>
        <w:t xml:space="preserve"> culture, understand their roles, and perform effectively from the outset. According to Bauer (2019), onboarding goes beyond basic orientation</w:t>
      </w:r>
      <w:r w:rsidR="00BC5BD6">
        <w:rPr>
          <w:rFonts w:ascii="Trebuchet MS" w:hAnsi="Trebuchet MS"/>
        </w:rPr>
        <w:t xml:space="preserve"> - </w:t>
      </w:r>
      <w:r w:rsidRPr="00276076">
        <w:rPr>
          <w:rFonts w:ascii="Trebuchet MS" w:hAnsi="Trebuchet MS"/>
        </w:rPr>
        <w:t xml:space="preserve">it provides new hires with the knowledge, resources, and support needed to succeed, shaping their long-term relationship with the </w:t>
      </w:r>
      <w:proofErr w:type="spellStart"/>
      <w:r w:rsidRPr="00276076">
        <w:rPr>
          <w:rFonts w:ascii="Trebuchet MS" w:hAnsi="Trebuchet MS"/>
        </w:rPr>
        <w:t>organisation</w:t>
      </w:r>
      <w:proofErr w:type="spellEnd"/>
      <w:r w:rsidRPr="00276076">
        <w:rPr>
          <w:rFonts w:ascii="Trebuchet MS" w:hAnsi="Trebuchet MS"/>
        </w:rPr>
        <w:t>.</w:t>
      </w:r>
    </w:p>
    <w:p w14:paraId="38F803E0" w14:textId="77777777" w:rsidR="00F77873" w:rsidRPr="00276076" w:rsidRDefault="00F77873" w:rsidP="00F77873">
      <w:pPr>
        <w:pStyle w:val="NormalWeb"/>
        <w:rPr>
          <w:rFonts w:ascii="Trebuchet MS" w:hAnsi="Trebuchet MS"/>
        </w:rPr>
      </w:pPr>
      <w:r w:rsidRPr="00276076">
        <w:rPr>
          <w:rFonts w:ascii="Trebuchet MS" w:hAnsi="Trebuchet MS"/>
        </w:rPr>
        <w:t xml:space="preserve">One of the main benefits of effective onboarding is improved </w:t>
      </w:r>
      <w:r w:rsidRPr="00276076">
        <w:rPr>
          <w:rStyle w:val="Strong"/>
          <w:rFonts w:ascii="Trebuchet MS" w:hAnsi="Trebuchet MS"/>
          <w:b w:val="0"/>
          <w:bCs w:val="0"/>
        </w:rPr>
        <w:t>employee retention</w:t>
      </w:r>
      <w:r w:rsidRPr="00276076">
        <w:rPr>
          <w:rFonts w:ascii="Trebuchet MS" w:hAnsi="Trebuchet MS"/>
        </w:rPr>
        <w:t xml:space="preserve">. New employees who experience structured and supportive onboarding are more likely to feel valued and committed to the </w:t>
      </w:r>
      <w:proofErr w:type="spellStart"/>
      <w:r w:rsidRPr="00276076">
        <w:rPr>
          <w:rFonts w:ascii="Trebuchet MS" w:hAnsi="Trebuchet MS"/>
        </w:rPr>
        <w:t>organisation</w:t>
      </w:r>
      <w:proofErr w:type="spellEnd"/>
      <w:r w:rsidRPr="00276076">
        <w:rPr>
          <w:rFonts w:ascii="Trebuchet MS" w:hAnsi="Trebuchet MS"/>
        </w:rPr>
        <w:t xml:space="preserve">. Research by the Society for Human Resource Management (SHRM, 2022) indicates that </w:t>
      </w:r>
      <w:proofErr w:type="spellStart"/>
      <w:r w:rsidRPr="00276076">
        <w:rPr>
          <w:rFonts w:ascii="Trebuchet MS" w:hAnsi="Trebuchet MS"/>
        </w:rPr>
        <w:t>organisations</w:t>
      </w:r>
      <w:proofErr w:type="spellEnd"/>
      <w:r w:rsidRPr="00276076">
        <w:rPr>
          <w:rFonts w:ascii="Trebuchet MS" w:hAnsi="Trebuchet MS"/>
        </w:rPr>
        <w:t xml:space="preserve"> with strong onboarding processes improve new hire retention by over 80%. For </w:t>
      </w:r>
      <w:proofErr w:type="spellStart"/>
      <w:r w:rsidRPr="00276076">
        <w:rPr>
          <w:rFonts w:ascii="Trebuchet MS" w:hAnsi="Trebuchet MS"/>
        </w:rPr>
        <w:t>ParcelCare</w:t>
      </w:r>
      <w:proofErr w:type="spellEnd"/>
      <w:r w:rsidRPr="00276076">
        <w:rPr>
          <w:rFonts w:ascii="Trebuchet MS" w:hAnsi="Trebuchet MS"/>
        </w:rPr>
        <w:t xml:space="preserve">, where turnover among delivery and warehouse staff has been high, a consistent onboarding </w:t>
      </w:r>
      <w:proofErr w:type="spellStart"/>
      <w:r w:rsidRPr="00276076">
        <w:rPr>
          <w:rFonts w:ascii="Trebuchet MS" w:hAnsi="Trebuchet MS"/>
        </w:rPr>
        <w:t>programme</w:t>
      </w:r>
      <w:proofErr w:type="spellEnd"/>
      <w:r w:rsidRPr="00276076">
        <w:rPr>
          <w:rFonts w:ascii="Trebuchet MS" w:hAnsi="Trebuchet MS"/>
        </w:rPr>
        <w:t xml:space="preserve"> could help reduce early attrition by ensuring employees feel prepared, connected, and supported in their roles.</w:t>
      </w:r>
    </w:p>
    <w:p w14:paraId="1DB98DC1" w14:textId="62F13588" w:rsidR="00F77873" w:rsidRPr="00276076" w:rsidRDefault="00F77873" w:rsidP="00F77873">
      <w:pPr>
        <w:pStyle w:val="NormalWeb"/>
        <w:rPr>
          <w:rFonts w:ascii="Trebuchet MS" w:hAnsi="Trebuchet MS"/>
        </w:rPr>
      </w:pPr>
      <w:r w:rsidRPr="00276076">
        <w:rPr>
          <w:rFonts w:ascii="Trebuchet MS" w:hAnsi="Trebuchet MS"/>
        </w:rPr>
        <w:t xml:space="preserve">Another benefit is enhanced </w:t>
      </w:r>
      <w:r w:rsidRPr="00276076">
        <w:rPr>
          <w:rStyle w:val="Strong"/>
          <w:rFonts w:ascii="Trebuchet MS" w:hAnsi="Trebuchet MS"/>
          <w:b w:val="0"/>
          <w:bCs w:val="0"/>
        </w:rPr>
        <w:t>employee performance and engagement</w:t>
      </w:r>
      <w:r w:rsidRPr="00276076">
        <w:rPr>
          <w:rFonts w:ascii="Trebuchet MS" w:hAnsi="Trebuchet MS"/>
        </w:rPr>
        <w:t xml:space="preserve">. Clear role expectations, hands-on training, and early access to resources enable employees to become productive faster (Klein and Heuser, 2020). A well-designed onboarding process at </w:t>
      </w:r>
      <w:proofErr w:type="spellStart"/>
      <w:r w:rsidRPr="00276076">
        <w:rPr>
          <w:rFonts w:ascii="Trebuchet MS" w:hAnsi="Trebuchet MS"/>
        </w:rPr>
        <w:t>ParcelCare</w:t>
      </w:r>
      <w:proofErr w:type="spellEnd"/>
      <w:r w:rsidRPr="00276076">
        <w:rPr>
          <w:rFonts w:ascii="Trebuchet MS" w:hAnsi="Trebuchet MS"/>
        </w:rPr>
        <w:t xml:space="preserve"> could help new hires understand operational systems, safety protocols, and performance standards more effectively. Moreover, when employees are welcomed through structured social and cultural integration</w:t>
      </w:r>
      <w:r w:rsidR="00BC5BD6">
        <w:rPr>
          <w:rFonts w:ascii="Trebuchet MS" w:hAnsi="Trebuchet MS"/>
        </w:rPr>
        <w:t xml:space="preserve"> - </w:t>
      </w:r>
      <w:r w:rsidRPr="00276076">
        <w:rPr>
          <w:rFonts w:ascii="Trebuchet MS" w:hAnsi="Trebuchet MS"/>
        </w:rPr>
        <w:t>such as team introductions or mentoring</w:t>
      </w:r>
      <w:r w:rsidR="00BC5BD6">
        <w:rPr>
          <w:rFonts w:ascii="Trebuchet MS" w:hAnsi="Trebuchet MS"/>
        </w:rPr>
        <w:t xml:space="preserve"> - </w:t>
      </w:r>
      <w:r w:rsidRPr="00276076">
        <w:rPr>
          <w:rFonts w:ascii="Trebuchet MS" w:hAnsi="Trebuchet MS"/>
        </w:rPr>
        <w:t>they develop stronger relationships, improving collaboration and morale (Saks and Gruman, 2018).</w:t>
      </w:r>
    </w:p>
    <w:p w14:paraId="727FF5BC" w14:textId="77777777" w:rsidR="00F77873" w:rsidRPr="00276076" w:rsidRDefault="00F77873" w:rsidP="00F77873">
      <w:pPr>
        <w:pStyle w:val="NormalWeb"/>
        <w:rPr>
          <w:rFonts w:ascii="Trebuchet MS" w:hAnsi="Trebuchet MS"/>
        </w:rPr>
      </w:pPr>
      <w:r w:rsidRPr="00276076">
        <w:rPr>
          <w:rFonts w:ascii="Trebuchet MS" w:hAnsi="Trebuchet MS"/>
        </w:rPr>
        <w:t>Effective onboarding also strengthens</w:t>
      </w:r>
      <w:r w:rsidRPr="00276076">
        <w:rPr>
          <w:rFonts w:ascii="Trebuchet MS" w:hAnsi="Trebuchet MS"/>
          <w:b/>
          <w:bCs/>
        </w:rPr>
        <w:t xml:space="preserve"> </w:t>
      </w:r>
      <w:proofErr w:type="spellStart"/>
      <w:r w:rsidRPr="00276076">
        <w:rPr>
          <w:rStyle w:val="Strong"/>
          <w:rFonts w:ascii="Trebuchet MS" w:hAnsi="Trebuchet MS"/>
          <w:b w:val="0"/>
          <w:bCs w:val="0"/>
        </w:rPr>
        <w:t>organisational</w:t>
      </w:r>
      <w:proofErr w:type="spellEnd"/>
      <w:r w:rsidRPr="00276076">
        <w:rPr>
          <w:rStyle w:val="Strong"/>
          <w:rFonts w:ascii="Trebuchet MS" w:hAnsi="Trebuchet MS"/>
          <w:b w:val="0"/>
          <w:bCs w:val="0"/>
        </w:rPr>
        <w:t xml:space="preserve"> culture and employer branding</w:t>
      </w:r>
      <w:r w:rsidRPr="00276076">
        <w:rPr>
          <w:rFonts w:ascii="Trebuchet MS" w:hAnsi="Trebuchet MS"/>
        </w:rPr>
        <w:t xml:space="preserve">. By embedding company values, service standards, and customer care principles from day one, </w:t>
      </w:r>
      <w:proofErr w:type="spellStart"/>
      <w:r w:rsidRPr="00276076">
        <w:rPr>
          <w:rFonts w:ascii="Trebuchet MS" w:hAnsi="Trebuchet MS"/>
        </w:rPr>
        <w:t>ParcelCare</w:t>
      </w:r>
      <w:proofErr w:type="spellEnd"/>
      <w:r w:rsidRPr="00276076">
        <w:rPr>
          <w:rFonts w:ascii="Trebuchet MS" w:hAnsi="Trebuchet MS"/>
        </w:rPr>
        <w:t xml:space="preserve"> can reinforce a consistent brand experience. According to Rees and Smith (2021), a positive initial experience increases the likelihood of employees becoming brand advocates, which enhances the </w:t>
      </w:r>
      <w:proofErr w:type="spellStart"/>
      <w:r w:rsidRPr="00276076">
        <w:rPr>
          <w:rFonts w:ascii="Trebuchet MS" w:hAnsi="Trebuchet MS"/>
        </w:rPr>
        <w:t>organisation’s</w:t>
      </w:r>
      <w:proofErr w:type="spellEnd"/>
      <w:r w:rsidRPr="00276076">
        <w:rPr>
          <w:rFonts w:ascii="Trebuchet MS" w:hAnsi="Trebuchet MS"/>
        </w:rPr>
        <w:t xml:space="preserve"> reputation in competitive </w:t>
      </w:r>
      <w:proofErr w:type="spellStart"/>
      <w:r w:rsidRPr="00276076">
        <w:rPr>
          <w:rFonts w:ascii="Trebuchet MS" w:hAnsi="Trebuchet MS"/>
        </w:rPr>
        <w:t>labour</w:t>
      </w:r>
      <w:proofErr w:type="spellEnd"/>
      <w:r w:rsidRPr="00276076">
        <w:rPr>
          <w:rFonts w:ascii="Trebuchet MS" w:hAnsi="Trebuchet MS"/>
        </w:rPr>
        <w:t xml:space="preserve"> markets. This is particularly important for </w:t>
      </w:r>
      <w:proofErr w:type="spellStart"/>
      <w:r w:rsidRPr="00276076">
        <w:rPr>
          <w:rFonts w:ascii="Trebuchet MS" w:hAnsi="Trebuchet MS"/>
        </w:rPr>
        <w:t>ParcelCare</w:t>
      </w:r>
      <w:proofErr w:type="spellEnd"/>
      <w:r w:rsidRPr="00276076">
        <w:rPr>
          <w:rFonts w:ascii="Trebuchet MS" w:hAnsi="Trebuchet MS"/>
        </w:rPr>
        <w:t xml:space="preserve"> as it competes for talent in a crowded logistics sector.</w:t>
      </w:r>
    </w:p>
    <w:p w14:paraId="32031839" w14:textId="77777777" w:rsidR="00F77873" w:rsidRPr="00276076" w:rsidRDefault="00F77873" w:rsidP="00F77873">
      <w:pPr>
        <w:pStyle w:val="NormalWeb"/>
        <w:rPr>
          <w:rFonts w:ascii="Trebuchet MS" w:hAnsi="Trebuchet MS"/>
        </w:rPr>
      </w:pPr>
      <w:r w:rsidRPr="00276076">
        <w:rPr>
          <w:rFonts w:ascii="Trebuchet MS" w:hAnsi="Trebuchet MS"/>
        </w:rPr>
        <w:t xml:space="preserve">Lastly, well-planned onboarding supports </w:t>
      </w:r>
      <w:r w:rsidRPr="00276076">
        <w:rPr>
          <w:rStyle w:val="Strong"/>
          <w:rFonts w:ascii="Trebuchet MS" w:hAnsi="Trebuchet MS"/>
          <w:b w:val="0"/>
          <w:bCs w:val="0"/>
        </w:rPr>
        <w:t>compliance and risk reduction</w:t>
      </w:r>
      <w:r w:rsidRPr="00276076">
        <w:rPr>
          <w:rFonts w:ascii="Trebuchet MS" w:hAnsi="Trebuchet MS"/>
          <w:b/>
          <w:bCs/>
        </w:rPr>
        <w:t>.</w:t>
      </w:r>
      <w:r w:rsidRPr="00276076">
        <w:rPr>
          <w:rFonts w:ascii="Trebuchet MS" w:hAnsi="Trebuchet MS"/>
        </w:rPr>
        <w:t xml:space="preserve"> </w:t>
      </w:r>
      <w:proofErr w:type="spellStart"/>
      <w:r w:rsidRPr="00276076">
        <w:rPr>
          <w:rFonts w:ascii="Trebuchet MS" w:hAnsi="Trebuchet MS"/>
        </w:rPr>
        <w:t>Standardised</w:t>
      </w:r>
      <w:proofErr w:type="spellEnd"/>
      <w:r w:rsidRPr="00276076">
        <w:rPr>
          <w:rFonts w:ascii="Trebuchet MS" w:hAnsi="Trebuchet MS"/>
        </w:rPr>
        <w:t xml:space="preserve"> processes ensure that essential legal, safety, and operational training is completed, </w:t>
      </w:r>
      <w:proofErr w:type="spellStart"/>
      <w:r w:rsidRPr="00276076">
        <w:rPr>
          <w:rFonts w:ascii="Trebuchet MS" w:hAnsi="Trebuchet MS"/>
        </w:rPr>
        <w:t>minimising</w:t>
      </w:r>
      <w:proofErr w:type="spellEnd"/>
      <w:r w:rsidRPr="00276076">
        <w:rPr>
          <w:rFonts w:ascii="Trebuchet MS" w:hAnsi="Trebuchet MS"/>
        </w:rPr>
        <w:t xml:space="preserve"> potential compliance issues (Brewster et al., 2020). In a logistics environment, where safety is paramount, a robust onboarding </w:t>
      </w:r>
      <w:proofErr w:type="spellStart"/>
      <w:r w:rsidRPr="00276076">
        <w:rPr>
          <w:rFonts w:ascii="Trebuchet MS" w:hAnsi="Trebuchet MS"/>
        </w:rPr>
        <w:t>programme</w:t>
      </w:r>
      <w:proofErr w:type="spellEnd"/>
      <w:r w:rsidRPr="00276076">
        <w:rPr>
          <w:rFonts w:ascii="Trebuchet MS" w:hAnsi="Trebuchet MS"/>
        </w:rPr>
        <w:t xml:space="preserve"> can reduce accidents and improve operational reliability.</w:t>
      </w:r>
    </w:p>
    <w:p w14:paraId="60401608" w14:textId="69673ACC" w:rsidR="0080596D" w:rsidRPr="00276076" w:rsidRDefault="00F77873" w:rsidP="0097536F">
      <w:pPr>
        <w:pStyle w:val="NormalWeb"/>
        <w:rPr>
          <w:rFonts w:ascii="Trebuchet MS" w:hAnsi="Trebuchet MS"/>
        </w:rPr>
      </w:pPr>
      <w:r w:rsidRPr="00276076">
        <w:rPr>
          <w:rFonts w:ascii="Trebuchet MS" w:hAnsi="Trebuchet MS"/>
        </w:rPr>
        <w:t xml:space="preserve">In summary, effective onboarding is an investment in people and performance. By implementing a consistent, well-structured onboarding process, </w:t>
      </w:r>
      <w:proofErr w:type="spellStart"/>
      <w:r w:rsidRPr="00276076">
        <w:rPr>
          <w:rFonts w:ascii="Trebuchet MS" w:hAnsi="Trebuchet MS"/>
        </w:rPr>
        <w:t>ParcelCare</w:t>
      </w:r>
      <w:proofErr w:type="spellEnd"/>
      <w:r w:rsidRPr="00276076">
        <w:rPr>
          <w:rFonts w:ascii="Trebuchet MS" w:hAnsi="Trebuchet MS"/>
        </w:rPr>
        <w:t xml:space="preserve"> can reduce turnover, accelerate performance, strengthen its culture, and enhance its reputation as an employer of choice</w:t>
      </w:r>
      <w:r w:rsidR="0097536F" w:rsidRPr="00276076">
        <w:rPr>
          <w:rFonts w:ascii="Trebuchet MS" w:hAnsi="Trebuchet MS"/>
        </w:rPr>
        <w:t>.</w:t>
      </w:r>
    </w:p>
    <w:p w14:paraId="18047CFB" w14:textId="77777777" w:rsidR="0080596D" w:rsidRPr="00276076" w:rsidRDefault="0080596D">
      <w:pPr>
        <w:pStyle w:val="Listparag"/>
        <w:spacing w:after="0" w:line="240" w:lineRule="auto"/>
        <w:rPr>
          <w:rFonts w:ascii="Trebuchet MS" w:eastAsia="Trebuchet MS" w:hAnsi="Trebuchet MS" w:cs="Trebuchet MS"/>
        </w:rPr>
      </w:pPr>
    </w:p>
    <w:p w14:paraId="227E5B28" w14:textId="77777777" w:rsidR="0080596D" w:rsidRPr="00276076" w:rsidRDefault="0080596D">
      <w:pPr>
        <w:pStyle w:val="Listparag"/>
        <w:spacing w:after="0" w:line="240" w:lineRule="auto"/>
        <w:rPr>
          <w:rFonts w:ascii="Trebuchet MS" w:eastAsia="Trebuchet MS" w:hAnsi="Trebuchet MS" w:cs="Trebuchet MS"/>
        </w:rPr>
      </w:pPr>
    </w:p>
    <w:p w14:paraId="239C7883" w14:textId="77777777" w:rsidR="0015718D" w:rsidRPr="00276076" w:rsidRDefault="0015718D" w:rsidP="0015718D">
      <w:pPr>
        <w:pStyle w:val="Listparag"/>
        <w:spacing w:after="0"/>
        <w:rPr>
          <w:rFonts w:ascii="Trebuchet MS" w:eastAsia="Trebuchet MS" w:hAnsi="Trebuchet MS" w:cs="Trebuchet MS"/>
          <w:b/>
          <w:bCs/>
          <w:lang w:val="en-GB"/>
        </w:rPr>
      </w:pPr>
      <w:r w:rsidRPr="00276076">
        <w:rPr>
          <w:rFonts w:ascii="Trebuchet MS" w:eastAsia="Trebuchet MS" w:hAnsi="Trebuchet MS" w:cs="Trebuchet MS"/>
          <w:b/>
          <w:bCs/>
          <w:lang w:val="en-GB"/>
        </w:rPr>
        <w:t>References</w:t>
      </w:r>
    </w:p>
    <w:p w14:paraId="5F812F71" w14:textId="77777777" w:rsidR="009A5712" w:rsidRPr="00276076" w:rsidRDefault="009A5712" w:rsidP="0015718D">
      <w:pPr>
        <w:pStyle w:val="Listparag"/>
        <w:spacing w:after="0"/>
        <w:rPr>
          <w:rFonts w:ascii="Trebuchet MS" w:eastAsia="Trebuchet MS" w:hAnsi="Trebuchet MS" w:cs="Trebuchet MS"/>
          <w:b/>
          <w:bCs/>
          <w:lang w:val="en-GB"/>
        </w:rPr>
      </w:pPr>
    </w:p>
    <w:p w14:paraId="44C7FE4D" w14:textId="77777777"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Anderson, N. (2011) </w:t>
      </w:r>
      <w:r w:rsidRPr="00276076">
        <w:rPr>
          <w:rFonts w:ascii="Trebuchet MS" w:eastAsia="Trebuchet MS" w:hAnsi="Trebuchet MS" w:cs="Trebuchet MS"/>
          <w:i/>
          <w:iCs/>
          <w:lang w:val="en-GB"/>
        </w:rPr>
        <w:t>Handbook of Industrial, Work and Organizational Psychology</w:t>
      </w:r>
      <w:r w:rsidRPr="00276076">
        <w:rPr>
          <w:rFonts w:ascii="Trebuchet MS" w:eastAsia="Trebuchet MS" w:hAnsi="Trebuchet MS" w:cs="Trebuchet MS"/>
          <w:lang w:val="en-GB"/>
        </w:rPr>
        <w:t xml:space="preserve">. 2nd </w:t>
      </w:r>
      <w:proofErr w:type="spellStart"/>
      <w:r w:rsidRPr="00276076">
        <w:rPr>
          <w:rFonts w:ascii="Trebuchet MS" w:eastAsia="Trebuchet MS" w:hAnsi="Trebuchet MS" w:cs="Trebuchet MS"/>
          <w:lang w:val="en-GB"/>
        </w:rPr>
        <w:t>edn</w:t>
      </w:r>
      <w:proofErr w:type="spellEnd"/>
      <w:r w:rsidRPr="00276076">
        <w:rPr>
          <w:rFonts w:ascii="Trebuchet MS" w:eastAsia="Trebuchet MS" w:hAnsi="Trebuchet MS" w:cs="Trebuchet MS"/>
          <w:lang w:val="en-GB"/>
        </w:rPr>
        <w:t>. London: Sage.</w:t>
      </w:r>
    </w:p>
    <w:p w14:paraId="11C7D1BC" w14:textId="77777777" w:rsidR="0015718D" w:rsidRPr="00276076" w:rsidRDefault="0015718D" w:rsidP="0015718D">
      <w:pPr>
        <w:pStyle w:val="Listparag"/>
        <w:spacing w:after="0"/>
        <w:rPr>
          <w:rFonts w:ascii="Trebuchet MS" w:eastAsia="Trebuchet MS" w:hAnsi="Trebuchet MS" w:cs="Trebuchet MS"/>
          <w:lang w:val="en-GB"/>
        </w:rPr>
      </w:pPr>
    </w:p>
    <w:p w14:paraId="4773991A" w14:textId="65232ED0"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Armstrong, M. and Taylor, S. (2020) </w:t>
      </w:r>
      <w:r w:rsidRPr="00276076">
        <w:rPr>
          <w:rFonts w:ascii="Trebuchet MS" w:eastAsia="Trebuchet MS" w:hAnsi="Trebuchet MS" w:cs="Trebuchet MS"/>
          <w:i/>
          <w:iCs/>
          <w:lang w:val="en-GB"/>
        </w:rPr>
        <w:t>Armstrong’s Handbook of Human Resource Management Practice</w:t>
      </w:r>
      <w:r w:rsidRPr="00276076">
        <w:rPr>
          <w:rFonts w:ascii="Trebuchet MS" w:eastAsia="Trebuchet MS" w:hAnsi="Trebuchet MS" w:cs="Trebuchet MS"/>
          <w:lang w:val="en-GB"/>
        </w:rPr>
        <w:t xml:space="preserve">. 15th </w:t>
      </w:r>
      <w:proofErr w:type="spellStart"/>
      <w:r w:rsidRPr="00276076">
        <w:rPr>
          <w:rFonts w:ascii="Trebuchet MS" w:eastAsia="Trebuchet MS" w:hAnsi="Trebuchet MS" w:cs="Trebuchet MS"/>
          <w:lang w:val="en-GB"/>
        </w:rPr>
        <w:t>edn</w:t>
      </w:r>
      <w:proofErr w:type="spellEnd"/>
      <w:r w:rsidRPr="00276076">
        <w:rPr>
          <w:rFonts w:ascii="Trebuchet MS" w:eastAsia="Trebuchet MS" w:hAnsi="Trebuchet MS" w:cs="Trebuchet MS"/>
          <w:lang w:val="en-GB"/>
        </w:rPr>
        <w:t>. London: Kogan Page.</w:t>
      </w:r>
    </w:p>
    <w:p w14:paraId="75F9E654" w14:textId="77777777" w:rsidR="0015718D" w:rsidRPr="00276076" w:rsidRDefault="0015718D" w:rsidP="0015718D">
      <w:pPr>
        <w:pStyle w:val="Listparag"/>
        <w:spacing w:after="0"/>
        <w:rPr>
          <w:rFonts w:ascii="Trebuchet MS" w:eastAsia="Trebuchet MS" w:hAnsi="Trebuchet MS" w:cs="Trebuchet MS"/>
          <w:lang w:val="en-GB"/>
        </w:rPr>
      </w:pPr>
    </w:p>
    <w:p w14:paraId="38C55F13" w14:textId="39C5D7F0"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Bauer, T.N. (2019) </w:t>
      </w:r>
      <w:r w:rsidRPr="00276076">
        <w:rPr>
          <w:rFonts w:ascii="Trebuchet MS" w:eastAsia="Trebuchet MS" w:hAnsi="Trebuchet MS" w:cs="Trebuchet MS"/>
          <w:i/>
          <w:iCs/>
          <w:lang w:val="en-GB"/>
        </w:rPr>
        <w:t>Onboarding New Employees: Maximizing Success</w:t>
      </w:r>
      <w:r w:rsidRPr="00276076">
        <w:rPr>
          <w:rFonts w:ascii="Trebuchet MS" w:eastAsia="Trebuchet MS" w:hAnsi="Trebuchet MS" w:cs="Trebuchet MS"/>
          <w:lang w:val="en-GB"/>
        </w:rPr>
        <w:t xml:space="preserve">. 2nd </w:t>
      </w:r>
      <w:proofErr w:type="spellStart"/>
      <w:r w:rsidRPr="00276076">
        <w:rPr>
          <w:rFonts w:ascii="Trebuchet MS" w:eastAsia="Trebuchet MS" w:hAnsi="Trebuchet MS" w:cs="Trebuchet MS"/>
          <w:lang w:val="en-GB"/>
        </w:rPr>
        <w:t>edn</w:t>
      </w:r>
      <w:proofErr w:type="spellEnd"/>
      <w:r w:rsidRPr="00276076">
        <w:rPr>
          <w:rFonts w:ascii="Trebuchet MS" w:eastAsia="Trebuchet MS" w:hAnsi="Trebuchet MS" w:cs="Trebuchet MS"/>
          <w:lang w:val="en-GB"/>
        </w:rPr>
        <w:t>. Alexandria, VA: SHRM Foundation.</w:t>
      </w:r>
    </w:p>
    <w:p w14:paraId="79A199D4" w14:textId="77777777" w:rsidR="0015718D" w:rsidRPr="00276076" w:rsidRDefault="0015718D" w:rsidP="0015718D">
      <w:pPr>
        <w:pStyle w:val="Listparag"/>
        <w:spacing w:after="0"/>
        <w:rPr>
          <w:rFonts w:ascii="Trebuchet MS" w:eastAsia="Trebuchet MS" w:hAnsi="Trebuchet MS" w:cs="Trebuchet MS"/>
          <w:lang w:val="en-GB"/>
        </w:rPr>
      </w:pPr>
    </w:p>
    <w:p w14:paraId="06DD3392" w14:textId="0F06240C"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Brewster, C., Chung, C. and Sparrow, P. (2020) </w:t>
      </w:r>
      <w:r w:rsidRPr="00276076">
        <w:rPr>
          <w:rFonts w:ascii="Trebuchet MS" w:eastAsia="Trebuchet MS" w:hAnsi="Trebuchet MS" w:cs="Trebuchet MS"/>
          <w:i/>
          <w:iCs/>
          <w:lang w:val="en-GB"/>
        </w:rPr>
        <w:t>Contemporary Human Resource Management: Text and Cases</w:t>
      </w:r>
      <w:r w:rsidRPr="00276076">
        <w:rPr>
          <w:rFonts w:ascii="Trebuchet MS" w:eastAsia="Trebuchet MS" w:hAnsi="Trebuchet MS" w:cs="Trebuchet MS"/>
          <w:lang w:val="en-GB"/>
        </w:rPr>
        <w:t xml:space="preserve">. 6th </w:t>
      </w:r>
      <w:proofErr w:type="spellStart"/>
      <w:r w:rsidRPr="00276076">
        <w:rPr>
          <w:rFonts w:ascii="Trebuchet MS" w:eastAsia="Trebuchet MS" w:hAnsi="Trebuchet MS" w:cs="Trebuchet MS"/>
          <w:lang w:val="en-GB"/>
        </w:rPr>
        <w:t>edn</w:t>
      </w:r>
      <w:proofErr w:type="spellEnd"/>
      <w:r w:rsidRPr="00276076">
        <w:rPr>
          <w:rFonts w:ascii="Trebuchet MS" w:eastAsia="Trebuchet MS" w:hAnsi="Trebuchet MS" w:cs="Trebuchet MS"/>
          <w:lang w:val="en-GB"/>
        </w:rPr>
        <w:t>. Harlow: Pearson Education.</w:t>
      </w:r>
    </w:p>
    <w:p w14:paraId="1081B54E" w14:textId="77777777" w:rsidR="0015718D" w:rsidRPr="00276076" w:rsidRDefault="0015718D" w:rsidP="0015718D">
      <w:pPr>
        <w:pStyle w:val="Listparag"/>
        <w:spacing w:after="0"/>
        <w:rPr>
          <w:rFonts w:ascii="Trebuchet MS" w:eastAsia="Trebuchet MS" w:hAnsi="Trebuchet MS" w:cs="Trebuchet MS"/>
          <w:lang w:val="en-GB"/>
        </w:rPr>
      </w:pPr>
    </w:p>
    <w:p w14:paraId="6F102F71" w14:textId="47974011"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CIPD. (2022) </w:t>
      </w:r>
      <w:r w:rsidRPr="00276076">
        <w:rPr>
          <w:rFonts w:ascii="Trebuchet MS" w:eastAsia="Trebuchet MS" w:hAnsi="Trebuchet MS" w:cs="Trebuchet MS"/>
          <w:i/>
          <w:iCs/>
          <w:lang w:val="en-GB"/>
        </w:rPr>
        <w:t>Labour Market Outlook: Summer 2022</w:t>
      </w:r>
      <w:r w:rsidRPr="00276076">
        <w:rPr>
          <w:rFonts w:ascii="Trebuchet MS" w:eastAsia="Trebuchet MS" w:hAnsi="Trebuchet MS" w:cs="Trebuchet MS"/>
          <w:lang w:val="en-GB"/>
        </w:rPr>
        <w:t>. London: Chartered Institute of Personnel and Development.</w:t>
      </w:r>
    </w:p>
    <w:p w14:paraId="54493BB5" w14:textId="77777777" w:rsidR="0015718D" w:rsidRPr="00276076" w:rsidRDefault="0015718D" w:rsidP="0015718D">
      <w:pPr>
        <w:pStyle w:val="Listparag"/>
        <w:spacing w:after="0"/>
        <w:rPr>
          <w:rFonts w:ascii="Trebuchet MS" w:eastAsia="Trebuchet MS" w:hAnsi="Trebuchet MS" w:cs="Trebuchet MS"/>
          <w:lang w:val="en-GB"/>
        </w:rPr>
      </w:pPr>
    </w:p>
    <w:p w14:paraId="5AF90639" w14:textId="5B151EBE"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CIPD. (2022) </w:t>
      </w:r>
      <w:r w:rsidRPr="00276076">
        <w:rPr>
          <w:rFonts w:ascii="Trebuchet MS" w:eastAsia="Trebuchet MS" w:hAnsi="Trebuchet MS" w:cs="Trebuchet MS"/>
          <w:i/>
          <w:iCs/>
          <w:lang w:val="en-GB"/>
        </w:rPr>
        <w:t>Resourcing and Talent Planning Survey 2022</w:t>
      </w:r>
      <w:r w:rsidRPr="00276076">
        <w:rPr>
          <w:rFonts w:ascii="Trebuchet MS" w:eastAsia="Trebuchet MS" w:hAnsi="Trebuchet MS" w:cs="Trebuchet MS"/>
          <w:lang w:val="en-GB"/>
        </w:rPr>
        <w:t>. London: Chartered Institute of Personnel and Development.</w:t>
      </w:r>
    </w:p>
    <w:p w14:paraId="2EA4133D" w14:textId="77777777" w:rsidR="0015718D" w:rsidRPr="00276076" w:rsidRDefault="0015718D" w:rsidP="0015718D">
      <w:pPr>
        <w:pStyle w:val="Listparag"/>
        <w:spacing w:after="0"/>
        <w:rPr>
          <w:rFonts w:ascii="Trebuchet MS" w:eastAsia="Trebuchet MS" w:hAnsi="Trebuchet MS" w:cs="Trebuchet MS"/>
          <w:lang w:val="en-GB"/>
        </w:rPr>
      </w:pPr>
    </w:p>
    <w:p w14:paraId="1E70A26F" w14:textId="1884830C"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CIPD. (2023) </w:t>
      </w:r>
      <w:r w:rsidRPr="00276076">
        <w:rPr>
          <w:rFonts w:ascii="Trebuchet MS" w:eastAsia="Trebuchet MS" w:hAnsi="Trebuchet MS" w:cs="Trebuchet MS"/>
          <w:i/>
          <w:iCs/>
          <w:lang w:val="en-GB"/>
        </w:rPr>
        <w:t>Employee Turnover and Retention Factsheet</w:t>
      </w:r>
      <w:r w:rsidRPr="00276076">
        <w:rPr>
          <w:rFonts w:ascii="Trebuchet MS" w:eastAsia="Trebuchet MS" w:hAnsi="Trebuchet MS" w:cs="Trebuchet MS"/>
          <w:lang w:val="en-GB"/>
        </w:rPr>
        <w:t>. London: Chartered Institute of Personnel and Development.</w:t>
      </w:r>
    </w:p>
    <w:p w14:paraId="23FC9E26" w14:textId="77777777" w:rsidR="0015718D" w:rsidRPr="00276076" w:rsidRDefault="0015718D" w:rsidP="0015718D">
      <w:pPr>
        <w:pStyle w:val="Listparag"/>
        <w:spacing w:after="0"/>
        <w:rPr>
          <w:rFonts w:ascii="Trebuchet MS" w:eastAsia="Trebuchet MS" w:hAnsi="Trebuchet MS" w:cs="Trebuchet MS"/>
          <w:lang w:val="en-GB"/>
        </w:rPr>
      </w:pPr>
    </w:p>
    <w:p w14:paraId="62143B1D" w14:textId="6782E79F"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CIPD. (2023) </w:t>
      </w:r>
      <w:r w:rsidRPr="00276076">
        <w:rPr>
          <w:rFonts w:ascii="Trebuchet MS" w:eastAsia="Trebuchet MS" w:hAnsi="Trebuchet MS" w:cs="Trebuchet MS"/>
          <w:i/>
          <w:iCs/>
          <w:lang w:val="en-GB"/>
        </w:rPr>
        <w:t>Employment Contracts Factsheet</w:t>
      </w:r>
      <w:r w:rsidRPr="00276076">
        <w:rPr>
          <w:rFonts w:ascii="Trebuchet MS" w:eastAsia="Trebuchet MS" w:hAnsi="Trebuchet MS" w:cs="Trebuchet MS"/>
          <w:lang w:val="en-GB"/>
        </w:rPr>
        <w:t>. London: Chartered Institute of Personnel and Development.</w:t>
      </w:r>
    </w:p>
    <w:p w14:paraId="5112ABB2" w14:textId="77777777" w:rsidR="0015718D" w:rsidRPr="00276076" w:rsidRDefault="0015718D" w:rsidP="0015718D">
      <w:pPr>
        <w:pStyle w:val="Listparag"/>
        <w:spacing w:after="0"/>
        <w:rPr>
          <w:rFonts w:ascii="Trebuchet MS" w:eastAsia="Trebuchet MS" w:hAnsi="Trebuchet MS" w:cs="Trebuchet MS"/>
          <w:lang w:val="en-GB"/>
        </w:rPr>
      </w:pPr>
    </w:p>
    <w:p w14:paraId="3D2CA99E" w14:textId="2D4BD40C"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CIPD. (2023) </w:t>
      </w:r>
      <w:r w:rsidRPr="00276076">
        <w:rPr>
          <w:rFonts w:ascii="Trebuchet MS" w:eastAsia="Trebuchet MS" w:hAnsi="Trebuchet MS" w:cs="Trebuchet MS"/>
          <w:i/>
          <w:iCs/>
          <w:lang w:val="en-GB"/>
        </w:rPr>
        <w:t>Recruitment and Retention in the Logistics Industry</w:t>
      </w:r>
      <w:r w:rsidRPr="00276076">
        <w:rPr>
          <w:rFonts w:ascii="Trebuchet MS" w:eastAsia="Trebuchet MS" w:hAnsi="Trebuchet MS" w:cs="Trebuchet MS"/>
          <w:lang w:val="en-GB"/>
        </w:rPr>
        <w:t>. London: Chartered Institute of Personnel and Development.</w:t>
      </w:r>
    </w:p>
    <w:p w14:paraId="5DB11BBB" w14:textId="77777777" w:rsidR="0015718D" w:rsidRPr="00276076" w:rsidRDefault="0015718D" w:rsidP="0015718D">
      <w:pPr>
        <w:pStyle w:val="Listparag"/>
        <w:spacing w:after="0"/>
        <w:rPr>
          <w:rFonts w:ascii="Trebuchet MS" w:eastAsia="Trebuchet MS" w:hAnsi="Trebuchet MS" w:cs="Trebuchet MS"/>
          <w:lang w:val="en-GB"/>
        </w:rPr>
      </w:pPr>
    </w:p>
    <w:p w14:paraId="7573E351" w14:textId="5451B59D"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CIPD. (2023) </w:t>
      </w:r>
      <w:r w:rsidRPr="00276076">
        <w:rPr>
          <w:rFonts w:ascii="Trebuchet MS" w:eastAsia="Trebuchet MS" w:hAnsi="Trebuchet MS" w:cs="Trebuchet MS"/>
          <w:i/>
          <w:iCs/>
          <w:lang w:val="en-GB"/>
        </w:rPr>
        <w:t>Recruitment: An Overview</w:t>
      </w:r>
      <w:r w:rsidRPr="00276076">
        <w:rPr>
          <w:rFonts w:ascii="Trebuchet MS" w:eastAsia="Trebuchet MS" w:hAnsi="Trebuchet MS" w:cs="Trebuchet MS"/>
          <w:lang w:val="en-GB"/>
        </w:rPr>
        <w:t>. London: Chartered Institute of Personnel and Development.</w:t>
      </w:r>
    </w:p>
    <w:p w14:paraId="7F7C9AB6" w14:textId="77777777" w:rsidR="0015718D" w:rsidRPr="00276076" w:rsidRDefault="0015718D" w:rsidP="0015718D">
      <w:pPr>
        <w:pStyle w:val="Listparag"/>
        <w:spacing w:after="0"/>
        <w:rPr>
          <w:rFonts w:ascii="Trebuchet MS" w:eastAsia="Trebuchet MS" w:hAnsi="Trebuchet MS" w:cs="Trebuchet MS"/>
          <w:lang w:val="en-GB"/>
        </w:rPr>
      </w:pPr>
    </w:p>
    <w:p w14:paraId="79E4A138" w14:textId="6E81AAA6"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CIPD. (2023) </w:t>
      </w:r>
      <w:r w:rsidRPr="00276076">
        <w:rPr>
          <w:rFonts w:ascii="Trebuchet MS" w:eastAsia="Trebuchet MS" w:hAnsi="Trebuchet MS" w:cs="Trebuchet MS"/>
          <w:i/>
          <w:iCs/>
          <w:lang w:val="en-GB"/>
        </w:rPr>
        <w:t>Workforce Planning and Diversity Report 2023</w:t>
      </w:r>
      <w:r w:rsidRPr="00276076">
        <w:rPr>
          <w:rFonts w:ascii="Trebuchet MS" w:eastAsia="Trebuchet MS" w:hAnsi="Trebuchet MS" w:cs="Trebuchet MS"/>
          <w:lang w:val="en-GB"/>
        </w:rPr>
        <w:t>. London: Chartered Institute of Personnel and Development.</w:t>
      </w:r>
    </w:p>
    <w:p w14:paraId="6F0FFA42" w14:textId="77777777" w:rsidR="0015718D" w:rsidRPr="00276076" w:rsidRDefault="0015718D" w:rsidP="0015718D">
      <w:pPr>
        <w:pStyle w:val="Listparag"/>
        <w:spacing w:after="0"/>
        <w:rPr>
          <w:rFonts w:ascii="Trebuchet MS" w:eastAsia="Trebuchet MS" w:hAnsi="Trebuchet MS" w:cs="Trebuchet MS"/>
          <w:lang w:val="en-GB"/>
        </w:rPr>
      </w:pPr>
    </w:p>
    <w:p w14:paraId="5309D8DB" w14:textId="6A48346C"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CIPD. (2024) </w:t>
      </w:r>
      <w:r w:rsidRPr="00276076">
        <w:rPr>
          <w:rFonts w:ascii="Trebuchet MS" w:eastAsia="Trebuchet MS" w:hAnsi="Trebuchet MS" w:cs="Trebuchet MS"/>
          <w:i/>
          <w:iCs/>
          <w:lang w:val="en-GB"/>
        </w:rPr>
        <w:t>Selection Methods Factsheet</w:t>
      </w:r>
      <w:r w:rsidRPr="00276076">
        <w:rPr>
          <w:rFonts w:ascii="Trebuchet MS" w:eastAsia="Trebuchet MS" w:hAnsi="Trebuchet MS" w:cs="Trebuchet MS"/>
          <w:lang w:val="en-GB"/>
        </w:rPr>
        <w:t>. London: Chartered Institute of Personnel and Development.</w:t>
      </w:r>
    </w:p>
    <w:p w14:paraId="5BF284B2" w14:textId="77777777" w:rsidR="0015718D" w:rsidRPr="00276076" w:rsidRDefault="0015718D" w:rsidP="0015718D">
      <w:pPr>
        <w:pStyle w:val="Listparag"/>
        <w:spacing w:after="0"/>
        <w:rPr>
          <w:rFonts w:ascii="Trebuchet MS" w:eastAsia="Trebuchet MS" w:hAnsi="Trebuchet MS" w:cs="Trebuchet MS"/>
          <w:lang w:val="en-GB"/>
        </w:rPr>
      </w:pPr>
    </w:p>
    <w:p w14:paraId="3BD1189C" w14:textId="5300ACD0"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CIPD. (2024) </w:t>
      </w:r>
      <w:r w:rsidRPr="00276076">
        <w:rPr>
          <w:rFonts w:ascii="Trebuchet MS" w:eastAsia="Trebuchet MS" w:hAnsi="Trebuchet MS" w:cs="Trebuchet MS"/>
          <w:i/>
          <w:iCs/>
          <w:lang w:val="en-GB"/>
        </w:rPr>
        <w:t>Strategic Workforce Planning: A Guide</w:t>
      </w:r>
      <w:r w:rsidRPr="00276076">
        <w:rPr>
          <w:rFonts w:ascii="Trebuchet MS" w:eastAsia="Trebuchet MS" w:hAnsi="Trebuchet MS" w:cs="Trebuchet MS"/>
          <w:lang w:val="en-GB"/>
        </w:rPr>
        <w:t>. London: Chartered Institute of Personnel and Development.</w:t>
      </w:r>
    </w:p>
    <w:p w14:paraId="13B864F0" w14:textId="77777777" w:rsidR="0015718D" w:rsidRPr="00276076" w:rsidRDefault="0015718D" w:rsidP="0015718D">
      <w:pPr>
        <w:pStyle w:val="Listparag"/>
        <w:spacing w:after="0"/>
        <w:rPr>
          <w:rFonts w:ascii="Trebuchet MS" w:eastAsia="Trebuchet MS" w:hAnsi="Trebuchet MS" w:cs="Trebuchet MS"/>
          <w:lang w:val="en-GB"/>
        </w:rPr>
      </w:pPr>
    </w:p>
    <w:p w14:paraId="5FA9E459" w14:textId="01D99867"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Gennard, J. and Judge, G. (2021) </w:t>
      </w:r>
      <w:r w:rsidRPr="00276076">
        <w:rPr>
          <w:rFonts w:ascii="Trebuchet MS" w:eastAsia="Trebuchet MS" w:hAnsi="Trebuchet MS" w:cs="Trebuchet MS"/>
          <w:i/>
          <w:iCs/>
          <w:lang w:val="en-GB"/>
        </w:rPr>
        <w:t>Employee Relations</w:t>
      </w:r>
      <w:r w:rsidRPr="00276076">
        <w:rPr>
          <w:rFonts w:ascii="Trebuchet MS" w:eastAsia="Trebuchet MS" w:hAnsi="Trebuchet MS" w:cs="Trebuchet MS"/>
          <w:lang w:val="en-GB"/>
        </w:rPr>
        <w:t xml:space="preserve">. 7th </w:t>
      </w:r>
      <w:proofErr w:type="spellStart"/>
      <w:r w:rsidRPr="00276076">
        <w:rPr>
          <w:rFonts w:ascii="Trebuchet MS" w:eastAsia="Trebuchet MS" w:hAnsi="Trebuchet MS" w:cs="Trebuchet MS"/>
          <w:lang w:val="en-GB"/>
        </w:rPr>
        <w:t>edn</w:t>
      </w:r>
      <w:proofErr w:type="spellEnd"/>
      <w:r w:rsidRPr="00276076">
        <w:rPr>
          <w:rFonts w:ascii="Trebuchet MS" w:eastAsia="Trebuchet MS" w:hAnsi="Trebuchet MS" w:cs="Trebuchet MS"/>
          <w:lang w:val="en-GB"/>
        </w:rPr>
        <w:t>. London: CIPD Publishing.</w:t>
      </w:r>
    </w:p>
    <w:p w14:paraId="6F658006" w14:textId="77777777"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Hackman, J.R. and Oldham, G.R. (1976) ‘Motivation through the design of work: Test of a theory’, </w:t>
      </w:r>
    </w:p>
    <w:p w14:paraId="13AA15B5" w14:textId="2405038A"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i/>
          <w:iCs/>
          <w:lang w:val="en-GB"/>
        </w:rPr>
        <w:t xml:space="preserve">Organizational </w:t>
      </w:r>
      <w:proofErr w:type="spellStart"/>
      <w:r w:rsidRPr="00276076">
        <w:rPr>
          <w:rFonts w:ascii="Trebuchet MS" w:eastAsia="Trebuchet MS" w:hAnsi="Trebuchet MS" w:cs="Trebuchet MS"/>
          <w:i/>
          <w:iCs/>
          <w:lang w:val="en-GB"/>
        </w:rPr>
        <w:t>Behavior</w:t>
      </w:r>
      <w:proofErr w:type="spellEnd"/>
      <w:r w:rsidRPr="00276076">
        <w:rPr>
          <w:rFonts w:ascii="Trebuchet MS" w:eastAsia="Trebuchet MS" w:hAnsi="Trebuchet MS" w:cs="Trebuchet MS"/>
          <w:i/>
          <w:iCs/>
          <w:lang w:val="en-GB"/>
        </w:rPr>
        <w:t xml:space="preserve"> and Human Performance</w:t>
      </w:r>
      <w:r w:rsidRPr="00276076">
        <w:rPr>
          <w:rFonts w:ascii="Trebuchet MS" w:eastAsia="Trebuchet MS" w:hAnsi="Trebuchet MS" w:cs="Trebuchet MS"/>
          <w:lang w:val="en-GB"/>
        </w:rPr>
        <w:t>, 16(2), pp. 250–279.</w:t>
      </w:r>
    </w:p>
    <w:p w14:paraId="642A5E9B" w14:textId="77777777" w:rsidR="0015718D" w:rsidRPr="00276076" w:rsidRDefault="0015718D" w:rsidP="0015718D">
      <w:pPr>
        <w:pStyle w:val="Listparag"/>
        <w:spacing w:after="0"/>
        <w:rPr>
          <w:rFonts w:ascii="Trebuchet MS" w:eastAsia="Trebuchet MS" w:hAnsi="Trebuchet MS" w:cs="Trebuchet MS"/>
          <w:lang w:val="en-GB"/>
        </w:rPr>
      </w:pPr>
    </w:p>
    <w:p w14:paraId="7F0F7F64" w14:textId="23ED5D8B"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Herzberg, F. (1968) ‘One more time: How do you motivate employees?’, </w:t>
      </w:r>
      <w:r w:rsidRPr="00276076">
        <w:rPr>
          <w:rFonts w:ascii="Trebuchet MS" w:eastAsia="Trebuchet MS" w:hAnsi="Trebuchet MS" w:cs="Trebuchet MS"/>
          <w:i/>
          <w:iCs/>
          <w:lang w:val="en-GB"/>
        </w:rPr>
        <w:t>Harvard Business Review</w:t>
      </w:r>
      <w:r w:rsidRPr="00276076">
        <w:rPr>
          <w:rFonts w:ascii="Trebuchet MS" w:eastAsia="Trebuchet MS" w:hAnsi="Trebuchet MS" w:cs="Trebuchet MS"/>
          <w:lang w:val="en-GB"/>
        </w:rPr>
        <w:t>, 46(1), pp. 53–62.</w:t>
      </w:r>
    </w:p>
    <w:p w14:paraId="109719D7" w14:textId="77777777"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Hom, P.W., Lee, T.W., Shaw, J.D. and Hausknecht, J.P. (2017) ‘One hundred years of employee turnover theory and research’, </w:t>
      </w:r>
      <w:r w:rsidRPr="00276076">
        <w:rPr>
          <w:rFonts w:ascii="Trebuchet MS" w:eastAsia="Trebuchet MS" w:hAnsi="Trebuchet MS" w:cs="Trebuchet MS"/>
          <w:i/>
          <w:iCs/>
          <w:lang w:val="en-GB"/>
        </w:rPr>
        <w:t>Journal of Applied Psychology</w:t>
      </w:r>
      <w:r w:rsidRPr="00276076">
        <w:rPr>
          <w:rFonts w:ascii="Trebuchet MS" w:eastAsia="Trebuchet MS" w:hAnsi="Trebuchet MS" w:cs="Trebuchet MS"/>
          <w:lang w:val="en-GB"/>
        </w:rPr>
        <w:t>, 102(3), pp. 530–545.</w:t>
      </w:r>
    </w:p>
    <w:p w14:paraId="65AC3D7A" w14:textId="77777777" w:rsidR="0015718D" w:rsidRPr="00276076" w:rsidRDefault="0015718D" w:rsidP="0015718D">
      <w:pPr>
        <w:pStyle w:val="Listparag"/>
        <w:spacing w:after="0"/>
        <w:rPr>
          <w:rFonts w:ascii="Trebuchet MS" w:eastAsia="Trebuchet MS" w:hAnsi="Trebuchet MS" w:cs="Trebuchet MS"/>
          <w:lang w:val="en-GB"/>
        </w:rPr>
      </w:pPr>
    </w:p>
    <w:p w14:paraId="0FC6FFFC" w14:textId="487C5A97"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lastRenderedPageBreak/>
        <w:t xml:space="preserve">Kaufman, B.E. (2015) </w:t>
      </w:r>
      <w:r w:rsidRPr="00276076">
        <w:rPr>
          <w:rFonts w:ascii="Trebuchet MS" w:eastAsia="Trebuchet MS" w:hAnsi="Trebuchet MS" w:cs="Trebuchet MS"/>
          <w:i/>
          <w:iCs/>
          <w:lang w:val="en-GB"/>
        </w:rPr>
        <w:t>Theoretical Perspectives on Work and the Employment Relationship</w:t>
      </w:r>
      <w:r w:rsidRPr="00276076">
        <w:rPr>
          <w:rFonts w:ascii="Trebuchet MS" w:eastAsia="Trebuchet MS" w:hAnsi="Trebuchet MS" w:cs="Trebuchet MS"/>
          <w:lang w:val="en-GB"/>
        </w:rPr>
        <w:t>. Champaign, IL: Industrial Relations Research Association.</w:t>
      </w:r>
    </w:p>
    <w:p w14:paraId="176DB625" w14:textId="77777777" w:rsidR="0015718D" w:rsidRPr="00276076" w:rsidRDefault="0015718D" w:rsidP="0015718D">
      <w:pPr>
        <w:pStyle w:val="Listparag"/>
        <w:spacing w:after="0"/>
        <w:rPr>
          <w:rFonts w:ascii="Trebuchet MS" w:eastAsia="Trebuchet MS" w:hAnsi="Trebuchet MS" w:cs="Trebuchet MS"/>
          <w:lang w:val="en-GB"/>
        </w:rPr>
      </w:pPr>
    </w:p>
    <w:p w14:paraId="605726D5" w14:textId="1BBF5D5F"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Kaur, P. (2015) ‘Employee Referrals and Recruitment Effectiveness’, </w:t>
      </w:r>
      <w:r w:rsidRPr="00276076">
        <w:rPr>
          <w:rFonts w:ascii="Trebuchet MS" w:eastAsia="Trebuchet MS" w:hAnsi="Trebuchet MS" w:cs="Trebuchet MS"/>
          <w:i/>
          <w:iCs/>
          <w:lang w:val="en-GB"/>
        </w:rPr>
        <w:t>International Journal of Human Resource Studies</w:t>
      </w:r>
      <w:r w:rsidRPr="00276076">
        <w:rPr>
          <w:rFonts w:ascii="Trebuchet MS" w:eastAsia="Trebuchet MS" w:hAnsi="Trebuchet MS" w:cs="Trebuchet MS"/>
          <w:lang w:val="en-GB"/>
        </w:rPr>
        <w:t>, 5(3), pp. 80–93.</w:t>
      </w:r>
    </w:p>
    <w:p w14:paraId="53DCDCAC" w14:textId="77777777" w:rsidR="0015718D" w:rsidRPr="00276076" w:rsidRDefault="0015718D" w:rsidP="0015718D">
      <w:pPr>
        <w:pStyle w:val="Listparag"/>
        <w:spacing w:after="0"/>
        <w:rPr>
          <w:rFonts w:ascii="Trebuchet MS" w:eastAsia="Trebuchet MS" w:hAnsi="Trebuchet MS" w:cs="Trebuchet MS"/>
          <w:lang w:val="en-GB"/>
        </w:rPr>
      </w:pPr>
    </w:p>
    <w:p w14:paraId="0A79B3BE" w14:textId="66F1587F"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Klein, H.J. and Heuser, A.E. (2020) </w:t>
      </w:r>
      <w:r w:rsidRPr="00276076">
        <w:rPr>
          <w:rFonts w:ascii="Trebuchet MS" w:eastAsia="Trebuchet MS" w:hAnsi="Trebuchet MS" w:cs="Trebuchet MS"/>
          <w:i/>
          <w:iCs/>
          <w:lang w:val="en-GB"/>
        </w:rPr>
        <w:t>The Learning Outcomes of Organizational Socialization and Onboarding</w:t>
      </w:r>
      <w:r w:rsidRPr="00276076">
        <w:rPr>
          <w:rFonts w:ascii="Trebuchet MS" w:eastAsia="Trebuchet MS" w:hAnsi="Trebuchet MS" w:cs="Trebuchet MS"/>
          <w:lang w:val="en-GB"/>
        </w:rPr>
        <w:t>. Oxford: Oxford University Press.</w:t>
      </w:r>
    </w:p>
    <w:p w14:paraId="4096283A" w14:textId="77777777" w:rsidR="0015718D" w:rsidRPr="00276076" w:rsidRDefault="0015718D" w:rsidP="0015718D">
      <w:pPr>
        <w:pStyle w:val="Listparag"/>
        <w:spacing w:after="0"/>
        <w:rPr>
          <w:rFonts w:ascii="Trebuchet MS" w:eastAsia="Trebuchet MS" w:hAnsi="Trebuchet MS" w:cs="Trebuchet MS"/>
          <w:lang w:val="en-GB"/>
        </w:rPr>
      </w:pPr>
    </w:p>
    <w:p w14:paraId="79F124E3" w14:textId="5B0A98D6"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Marchington, M., Wilkinson, A., Donnelly, R. and </w:t>
      </w:r>
      <w:proofErr w:type="spellStart"/>
      <w:r w:rsidRPr="00276076">
        <w:rPr>
          <w:rFonts w:ascii="Trebuchet MS" w:eastAsia="Trebuchet MS" w:hAnsi="Trebuchet MS" w:cs="Trebuchet MS"/>
          <w:lang w:val="en-GB"/>
        </w:rPr>
        <w:t>Kynighou</w:t>
      </w:r>
      <w:proofErr w:type="spellEnd"/>
      <w:r w:rsidRPr="00276076">
        <w:rPr>
          <w:rFonts w:ascii="Trebuchet MS" w:eastAsia="Trebuchet MS" w:hAnsi="Trebuchet MS" w:cs="Trebuchet MS"/>
          <w:lang w:val="en-GB"/>
        </w:rPr>
        <w:t xml:space="preserve">, A. (2021) </w:t>
      </w:r>
      <w:r w:rsidRPr="00276076">
        <w:rPr>
          <w:rFonts w:ascii="Trebuchet MS" w:eastAsia="Trebuchet MS" w:hAnsi="Trebuchet MS" w:cs="Trebuchet MS"/>
          <w:i/>
          <w:iCs/>
          <w:lang w:val="en-GB"/>
        </w:rPr>
        <w:t>Human Resource Management at Work</w:t>
      </w:r>
      <w:r w:rsidRPr="00276076">
        <w:rPr>
          <w:rFonts w:ascii="Trebuchet MS" w:eastAsia="Trebuchet MS" w:hAnsi="Trebuchet MS" w:cs="Trebuchet MS"/>
          <w:lang w:val="en-GB"/>
        </w:rPr>
        <w:t xml:space="preserve">. 8th </w:t>
      </w:r>
      <w:proofErr w:type="spellStart"/>
      <w:r w:rsidRPr="00276076">
        <w:rPr>
          <w:rFonts w:ascii="Trebuchet MS" w:eastAsia="Trebuchet MS" w:hAnsi="Trebuchet MS" w:cs="Trebuchet MS"/>
          <w:lang w:val="en-GB"/>
        </w:rPr>
        <w:t>edn</w:t>
      </w:r>
      <w:proofErr w:type="spellEnd"/>
      <w:r w:rsidRPr="00276076">
        <w:rPr>
          <w:rFonts w:ascii="Trebuchet MS" w:eastAsia="Trebuchet MS" w:hAnsi="Trebuchet MS" w:cs="Trebuchet MS"/>
          <w:lang w:val="en-GB"/>
        </w:rPr>
        <w:t>. London: CIPD Publishing.</w:t>
      </w:r>
    </w:p>
    <w:p w14:paraId="0E342316" w14:textId="77777777" w:rsidR="0015718D" w:rsidRPr="00276076" w:rsidRDefault="0015718D" w:rsidP="0015718D">
      <w:pPr>
        <w:pStyle w:val="Listparag"/>
        <w:spacing w:after="0"/>
        <w:rPr>
          <w:rFonts w:ascii="Trebuchet MS" w:eastAsia="Trebuchet MS" w:hAnsi="Trebuchet MS" w:cs="Trebuchet MS"/>
          <w:lang w:val="en-GB"/>
        </w:rPr>
      </w:pPr>
    </w:p>
    <w:p w14:paraId="33210064" w14:textId="5B9214C8"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Phillips, J.M. and Gully, S.M. (2015) </w:t>
      </w:r>
      <w:r w:rsidRPr="00276076">
        <w:rPr>
          <w:rFonts w:ascii="Trebuchet MS" w:eastAsia="Trebuchet MS" w:hAnsi="Trebuchet MS" w:cs="Trebuchet MS"/>
          <w:i/>
          <w:iCs/>
          <w:lang w:val="en-GB"/>
        </w:rPr>
        <w:t>Strategic Staffing</w:t>
      </w:r>
      <w:r w:rsidRPr="00276076">
        <w:rPr>
          <w:rFonts w:ascii="Trebuchet MS" w:eastAsia="Trebuchet MS" w:hAnsi="Trebuchet MS" w:cs="Trebuchet MS"/>
          <w:lang w:val="en-GB"/>
        </w:rPr>
        <w:t xml:space="preserve">. 3rd </w:t>
      </w:r>
      <w:proofErr w:type="spellStart"/>
      <w:r w:rsidRPr="00276076">
        <w:rPr>
          <w:rFonts w:ascii="Trebuchet MS" w:eastAsia="Trebuchet MS" w:hAnsi="Trebuchet MS" w:cs="Trebuchet MS"/>
          <w:lang w:val="en-GB"/>
        </w:rPr>
        <w:t>edn</w:t>
      </w:r>
      <w:proofErr w:type="spellEnd"/>
      <w:r w:rsidRPr="00276076">
        <w:rPr>
          <w:rFonts w:ascii="Trebuchet MS" w:eastAsia="Trebuchet MS" w:hAnsi="Trebuchet MS" w:cs="Trebuchet MS"/>
          <w:lang w:val="en-GB"/>
        </w:rPr>
        <w:t>. Harlow: Pearson Education.</w:t>
      </w:r>
    </w:p>
    <w:p w14:paraId="134C7739" w14:textId="77777777" w:rsidR="0015718D" w:rsidRPr="00276076" w:rsidRDefault="0015718D" w:rsidP="0015718D">
      <w:pPr>
        <w:pStyle w:val="Listparag"/>
        <w:spacing w:after="0"/>
        <w:rPr>
          <w:rFonts w:ascii="Trebuchet MS" w:eastAsia="Trebuchet MS" w:hAnsi="Trebuchet MS" w:cs="Trebuchet MS"/>
          <w:lang w:val="en-GB"/>
        </w:rPr>
      </w:pPr>
    </w:p>
    <w:p w14:paraId="1418D3C6" w14:textId="0132C216"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Redman, T. and Wilkinson, A. (2019) </w:t>
      </w:r>
      <w:r w:rsidRPr="00276076">
        <w:rPr>
          <w:rFonts w:ascii="Trebuchet MS" w:eastAsia="Trebuchet MS" w:hAnsi="Trebuchet MS" w:cs="Trebuchet MS"/>
          <w:i/>
          <w:iCs/>
          <w:lang w:val="en-GB"/>
        </w:rPr>
        <w:t>Contemporary Human Resource Management: Text and Cases</w:t>
      </w:r>
      <w:r w:rsidRPr="00276076">
        <w:rPr>
          <w:rFonts w:ascii="Trebuchet MS" w:eastAsia="Trebuchet MS" w:hAnsi="Trebuchet MS" w:cs="Trebuchet MS"/>
          <w:lang w:val="en-GB"/>
        </w:rPr>
        <w:t xml:space="preserve">. 5th </w:t>
      </w:r>
      <w:proofErr w:type="spellStart"/>
      <w:r w:rsidRPr="00276076">
        <w:rPr>
          <w:rFonts w:ascii="Trebuchet MS" w:eastAsia="Trebuchet MS" w:hAnsi="Trebuchet MS" w:cs="Trebuchet MS"/>
          <w:lang w:val="en-GB"/>
        </w:rPr>
        <w:t>edn</w:t>
      </w:r>
      <w:proofErr w:type="spellEnd"/>
      <w:r w:rsidRPr="00276076">
        <w:rPr>
          <w:rFonts w:ascii="Trebuchet MS" w:eastAsia="Trebuchet MS" w:hAnsi="Trebuchet MS" w:cs="Trebuchet MS"/>
          <w:lang w:val="en-GB"/>
        </w:rPr>
        <w:t>. Harlow: Pearson Education.</w:t>
      </w:r>
    </w:p>
    <w:p w14:paraId="7ED526DF" w14:textId="77777777" w:rsidR="0015718D" w:rsidRPr="00276076" w:rsidRDefault="0015718D" w:rsidP="0015718D">
      <w:pPr>
        <w:pStyle w:val="Listparag"/>
        <w:spacing w:after="0"/>
        <w:rPr>
          <w:rFonts w:ascii="Trebuchet MS" w:eastAsia="Trebuchet MS" w:hAnsi="Trebuchet MS" w:cs="Trebuchet MS"/>
          <w:lang w:val="en-GB"/>
        </w:rPr>
      </w:pPr>
    </w:p>
    <w:p w14:paraId="1781056F" w14:textId="77868625"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Rees, G. and Smith, P. (2021) </w:t>
      </w:r>
      <w:r w:rsidRPr="00276076">
        <w:rPr>
          <w:rFonts w:ascii="Trebuchet MS" w:eastAsia="Trebuchet MS" w:hAnsi="Trebuchet MS" w:cs="Trebuchet MS"/>
          <w:i/>
          <w:iCs/>
          <w:lang w:val="en-GB"/>
        </w:rPr>
        <w:t>Strategic Human Resource Management: An International Perspective</w:t>
      </w:r>
      <w:r w:rsidRPr="00276076">
        <w:rPr>
          <w:rFonts w:ascii="Trebuchet MS" w:eastAsia="Trebuchet MS" w:hAnsi="Trebuchet MS" w:cs="Trebuchet MS"/>
          <w:lang w:val="en-GB"/>
        </w:rPr>
        <w:t xml:space="preserve">. 5th </w:t>
      </w:r>
      <w:proofErr w:type="spellStart"/>
      <w:r w:rsidRPr="00276076">
        <w:rPr>
          <w:rFonts w:ascii="Trebuchet MS" w:eastAsia="Trebuchet MS" w:hAnsi="Trebuchet MS" w:cs="Trebuchet MS"/>
          <w:lang w:val="en-GB"/>
        </w:rPr>
        <w:t>edn</w:t>
      </w:r>
      <w:proofErr w:type="spellEnd"/>
      <w:r w:rsidRPr="00276076">
        <w:rPr>
          <w:rFonts w:ascii="Trebuchet MS" w:eastAsia="Trebuchet MS" w:hAnsi="Trebuchet MS" w:cs="Trebuchet MS"/>
          <w:lang w:val="en-GB"/>
        </w:rPr>
        <w:t>. London: Sage Publications.</w:t>
      </w:r>
    </w:p>
    <w:p w14:paraId="2A0652B2" w14:textId="77777777" w:rsidR="0015718D" w:rsidRPr="00276076" w:rsidRDefault="0015718D" w:rsidP="0015718D">
      <w:pPr>
        <w:pStyle w:val="Listparag"/>
        <w:spacing w:after="0"/>
        <w:rPr>
          <w:rFonts w:ascii="Trebuchet MS" w:eastAsia="Trebuchet MS" w:hAnsi="Trebuchet MS" w:cs="Trebuchet MS"/>
          <w:lang w:val="en-GB"/>
        </w:rPr>
      </w:pPr>
    </w:p>
    <w:p w14:paraId="4BBA3722" w14:textId="5241311F"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Reilly, P. (2018) </w:t>
      </w:r>
      <w:r w:rsidRPr="00276076">
        <w:rPr>
          <w:rFonts w:ascii="Trebuchet MS" w:eastAsia="Trebuchet MS" w:hAnsi="Trebuchet MS" w:cs="Trebuchet MS"/>
          <w:i/>
          <w:iCs/>
          <w:lang w:val="en-GB"/>
        </w:rPr>
        <w:t>Workforce Planning: A Practical Approach</w:t>
      </w:r>
      <w:r w:rsidRPr="00276076">
        <w:rPr>
          <w:rFonts w:ascii="Trebuchet MS" w:eastAsia="Trebuchet MS" w:hAnsi="Trebuchet MS" w:cs="Trebuchet MS"/>
          <w:lang w:val="en-GB"/>
        </w:rPr>
        <w:t xml:space="preserve">. 2nd </w:t>
      </w:r>
      <w:proofErr w:type="spellStart"/>
      <w:r w:rsidRPr="00276076">
        <w:rPr>
          <w:rFonts w:ascii="Trebuchet MS" w:eastAsia="Trebuchet MS" w:hAnsi="Trebuchet MS" w:cs="Trebuchet MS"/>
          <w:lang w:val="en-GB"/>
        </w:rPr>
        <w:t>edn</w:t>
      </w:r>
      <w:proofErr w:type="spellEnd"/>
      <w:r w:rsidRPr="00276076">
        <w:rPr>
          <w:rFonts w:ascii="Trebuchet MS" w:eastAsia="Trebuchet MS" w:hAnsi="Trebuchet MS" w:cs="Trebuchet MS"/>
          <w:lang w:val="en-GB"/>
        </w:rPr>
        <w:t>. London: Gower.</w:t>
      </w:r>
    </w:p>
    <w:p w14:paraId="4EBEC8E6" w14:textId="77777777" w:rsidR="00121027" w:rsidRPr="00276076" w:rsidRDefault="00121027" w:rsidP="0015718D">
      <w:pPr>
        <w:pStyle w:val="Listparag"/>
        <w:spacing w:after="0"/>
        <w:rPr>
          <w:rFonts w:ascii="Trebuchet MS" w:eastAsia="Trebuchet MS" w:hAnsi="Trebuchet MS" w:cs="Trebuchet MS"/>
          <w:lang w:val="en-GB"/>
        </w:rPr>
      </w:pPr>
    </w:p>
    <w:p w14:paraId="41E1FBF4" w14:textId="5C94AD07"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Saks, A.M. and Gruman, J.A. (2018) ‘Socialization Resources Theory and Newcomer Adjustment and Socialization Outcomes’, </w:t>
      </w:r>
      <w:r w:rsidRPr="00276076">
        <w:rPr>
          <w:rFonts w:ascii="Trebuchet MS" w:eastAsia="Trebuchet MS" w:hAnsi="Trebuchet MS" w:cs="Trebuchet MS"/>
          <w:i/>
          <w:iCs/>
          <w:lang w:val="en-GB"/>
        </w:rPr>
        <w:t>Frontiers in Psychology</w:t>
      </w:r>
      <w:r w:rsidRPr="00276076">
        <w:rPr>
          <w:rFonts w:ascii="Trebuchet MS" w:eastAsia="Trebuchet MS" w:hAnsi="Trebuchet MS" w:cs="Trebuchet MS"/>
          <w:lang w:val="en-GB"/>
        </w:rPr>
        <w:t>, 9(305), pp. 1–12.</w:t>
      </w:r>
    </w:p>
    <w:p w14:paraId="65F0B2EE" w14:textId="77777777" w:rsidR="00121027" w:rsidRPr="00276076" w:rsidRDefault="00121027" w:rsidP="0015718D">
      <w:pPr>
        <w:pStyle w:val="Listparag"/>
        <w:spacing w:after="0"/>
        <w:rPr>
          <w:rFonts w:ascii="Trebuchet MS" w:eastAsia="Trebuchet MS" w:hAnsi="Trebuchet MS" w:cs="Trebuchet MS"/>
          <w:lang w:val="en-GB"/>
        </w:rPr>
      </w:pPr>
    </w:p>
    <w:p w14:paraId="158B8900" w14:textId="082DF3DA"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Scott, S. (2024) ‘Employer Branding: Building a Competitive Advantage’, </w:t>
      </w:r>
      <w:r w:rsidRPr="00276076">
        <w:rPr>
          <w:rFonts w:ascii="Trebuchet MS" w:eastAsia="Trebuchet MS" w:hAnsi="Trebuchet MS" w:cs="Trebuchet MS"/>
          <w:i/>
          <w:iCs/>
          <w:lang w:val="en-GB"/>
        </w:rPr>
        <w:t>HR Professionals Journal</w:t>
      </w:r>
      <w:r w:rsidRPr="00276076">
        <w:rPr>
          <w:rFonts w:ascii="Trebuchet MS" w:eastAsia="Trebuchet MS" w:hAnsi="Trebuchet MS" w:cs="Trebuchet MS"/>
          <w:lang w:val="en-GB"/>
        </w:rPr>
        <w:t>, 12(3), pp. 45–56.</w:t>
      </w:r>
    </w:p>
    <w:p w14:paraId="4019D392" w14:textId="77777777" w:rsidR="00121027" w:rsidRPr="00276076" w:rsidRDefault="00121027" w:rsidP="0015718D">
      <w:pPr>
        <w:pStyle w:val="Listparag"/>
        <w:spacing w:after="0"/>
        <w:rPr>
          <w:rFonts w:ascii="Trebuchet MS" w:eastAsia="Trebuchet MS" w:hAnsi="Trebuchet MS" w:cs="Trebuchet MS"/>
          <w:lang w:val="en-GB"/>
        </w:rPr>
      </w:pPr>
    </w:p>
    <w:p w14:paraId="251371CF" w14:textId="5E0D5244"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Society for Human Resource Management (SHRM). (2022) </w:t>
      </w:r>
      <w:r w:rsidRPr="00276076">
        <w:rPr>
          <w:rFonts w:ascii="Trebuchet MS" w:eastAsia="Trebuchet MS" w:hAnsi="Trebuchet MS" w:cs="Trebuchet MS"/>
          <w:i/>
          <w:iCs/>
          <w:lang w:val="en-GB"/>
        </w:rPr>
        <w:t>Onboarding New Employees: Maximizing Success</w:t>
      </w:r>
      <w:r w:rsidRPr="00276076">
        <w:rPr>
          <w:rFonts w:ascii="Trebuchet MS" w:eastAsia="Trebuchet MS" w:hAnsi="Trebuchet MS" w:cs="Trebuchet MS"/>
          <w:lang w:val="en-GB"/>
        </w:rPr>
        <w:t>. Alexandria, VA: SHRM.</w:t>
      </w:r>
    </w:p>
    <w:p w14:paraId="6D28AC6E" w14:textId="77777777" w:rsidR="00121027" w:rsidRPr="00276076" w:rsidRDefault="00121027" w:rsidP="0015718D">
      <w:pPr>
        <w:pStyle w:val="Listparag"/>
        <w:spacing w:after="0"/>
        <w:rPr>
          <w:rFonts w:ascii="Trebuchet MS" w:eastAsia="Trebuchet MS" w:hAnsi="Trebuchet MS" w:cs="Trebuchet MS"/>
          <w:lang w:val="en-GB"/>
        </w:rPr>
      </w:pPr>
    </w:p>
    <w:p w14:paraId="7601DD80" w14:textId="39D64BDA"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Taylor, S. (2018) </w:t>
      </w:r>
      <w:r w:rsidRPr="00276076">
        <w:rPr>
          <w:rFonts w:ascii="Trebuchet MS" w:eastAsia="Trebuchet MS" w:hAnsi="Trebuchet MS" w:cs="Trebuchet MS"/>
          <w:i/>
          <w:iCs/>
          <w:lang w:val="en-GB"/>
        </w:rPr>
        <w:t>Resourcing and Talent Management</w:t>
      </w:r>
      <w:r w:rsidRPr="00276076">
        <w:rPr>
          <w:rFonts w:ascii="Trebuchet MS" w:eastAsia="Trebuchet MS" w:hAnsi="Trebuchet MS" w:cs="Trebuchet MS"/>
          <w:lang w:val="en-GB"/>
        </w:rPr>
        <w:t xml:space="preserve">. 8th </w:t>
      </w:r>
      <w:proofErr w:type="spellStart"/>
      <w:r w:rsidRPr="00276076">
        <w:rPr>
          <w:rFonts w:ascii="Trebuchet MS" w:eastAsia="Trebuchet MS" w:hAnsi="Trebuchet MS" w:cs="Trebuchet MS"/>
          <w:lang w:val="en-GB"/>
        </w:rPr>
        <w:t>edn</w:t>
      </w:r>
      <w:proofErr w:type="spellEnd"/>
      <w:r w:rsidRPr="00276076">
        <w:rPr>
          <w:rFonts w:ascii="Trebuchet MS" w:eastAsia="Trebuchet MS" w:hAnsi="Trebuchet MS" w:cs="Trebuchet MS"/>
          <w:lang w:val="en-GB"/>
        </w:rPr>
        <w:t>. London: CIPD Publishing.</w:t>
      </w:r>
    </w:p>
    <w:p w14:paraId="62A3D174" w14:textId="77777777" w:rsidR="00121027" w:rsidRPr="00276076" w:rsidRDefault="00121027" w:rsidP="0015718D">
      <w:pPr>
        <w:pStyle w:val="Listparag"/>
        <w:spacing w:after="0"/>
        <w:rPr>
          <w:rFonts w:ascii="Trebuchet MS" w:eastAsia="Trebuchet MS" w:hAnsi="Trebuchet MS" w:cs="Trebuchet MS"/>
          <w:lang w:val="en-GB"/>
        </w:rPr>
      </w:pPr>
    </w:p>
    <w:p w14:paraId="409B6665" w14:textId="4C6BE7AE" w:rsidR="0015718D" w:rsidRPr="00276076" w:rsidRDefault="0015718D" w:rsidP="0015718D">
      <w:pPr>
        <w:pStyle w:val="Listparag"/>
        <w:spacing w:after="0"/>
        <w:rPr>
          <w:rFonts w:ascii="Trebuchet MS" w:eastAsia="Trebuchet MS" w:hAnsi="Trebuchet MS" w:cs="Trebuchet MS"/>
          <w:lang w:val="en-GB"/>
        </w:rPr>
      </w:pPr>
      <w:r w:rsidRPr="00276076">
        <w:rPr>
          <w:rFonts w:ascii="Trebuchet MS" w:eastAsia="Trebuchet MS" w:hAnsi="Trebuchet MS" w:cs="Trebuchet MS"/>
          <w:lang w:val="en-GB"/>
        </w:rPr>
        <w:t xml:space="preserve">Taylor Review. (2017) </w:t>
      </w:r>
      <w:r w:rsidRPr="00276076">
        <w:rPr>
          <w:rFonts w:ascii="Trebuchet MS" w:eastAsia="Trebuchet MS" w:hAnsi="Trebuchet MS" w:cs="Trebuchet MS"/>
          <w:i/>
          <w:iCs/>
          <w:lang w:val="en-GB"/>
        </w:rPr>
        <w:t>Good Work: The Taylor Review of Modern Working Practices</w:t>
      </w:r>
      <w:r w:rsidRPr="00276076">
        <w:rPr>
          <w:rFonts w:ascii="Trebuchet MS" w:eastAsia="Trebuchet MS" w:hAnsi="Trebuchet MS" w:cs="Trebuchet MS"/>
          <w:lang w:val="en-GB"/>
        </w:rPr>
        <w:t>. London: Department for Business, Energy &amp; Industrial Strategy.</w:t>
      </w:r>
    </w:p>
    <w:p w14:paraId="048C5953" w14:textId="77777777" w:rsidR="00F77873" w:rsidRPr="00276076" w:rsidRDefault="00F77873" w:rsidP="002E617F">
      <w:pPr>
        <w:pStyle w:val="Listparag"/>
        <w:spacing w:after="0" w:line="240" w:lineRule="auto"/>
        <w:rPr>
          <w:rFonts w:ascii="Trebuchet MS" w:eastAsia="Trebuchet MS" w:hAnsi="Trebuchet MS" w:cs="Trebuchet MS"/>
        </w:rPr>
      </w:pPr>
    </w:p>
    <w:sectPr w:rsidR="00F77873" w:rsidRPr="00276076">
      <w:headerReference w:type="default" r:id="rId7"/>
      <w:footerReference w:type="default" r:id="rId8"/>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5E20CC" w14:textId="77777777" w:rsidR="00F62CE0" w:rsidRDefault="00F62CE0">
      <w:r>
        <w:separator/>
      </w:r>
    </w:p>
  </w:endnote>
  <w:endnote w:type="continuationSeparator" w:id="0">
    <w:p w14:paraId="788A7F75" w14:textId="77777777" w:rsidR="00F62CE0" w:rsidRDefault="00F62C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Neue">
    <w:altName w:val="Arial"/>
    <w:panose1 w:val="00000000000000000000"/>
    <w:charset w:val="00"/>
    <w:family w:val="roman"/>
    <w:notTrueType/>
    <w:pitch w:val="default"/>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DF20A" w14:textId="77777777" w:rsidR="00F14BE3" w:rsidRDefault="00973781">
    <w:pPr>
      <w:pStyle w:val="Footer"/>
    </w:pPr>
    <w:r>
      <w:fldChar w:fldCharType="begin"/>
    </w:r>
    <w:r>
      <w:instrText xml:space="preserve"> PAGE </w:instrText>
    </w:r>
    <w:r>
      <w:fldChar w:fldCharType="separate"/>
    </w:r>
    <w:r>
      <w:rPr>
        <w:noProof/>
      </w:rPr>
      <w:t>3</w:t>
    </w:r>
    <w:r>
      <w:fldChar w:fldCharType="end"/>
    </w:r>
  </w:p>
  <w:p w14:paraId="45FB4DA9" w14:textId="77777777" w:rsidR="00F14BE3" w:rsidRDefault="00973781">
    <w:pPr>
      <w:pStyle w:val="Footer"/>
    </w:pPr>
    <w:r>
      <w:rPr>
        <w:noProof/>
      </w:rPr>
      <w:drawing>
        <wp:inline distT="0" distB="0" distL="0" distR="0" wp14:anchorId="0895BF6B" wp14:editId="73DD1B7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6CCD91" w14:textId="77777777" w:rsidR="00F62CE0" w:rsidRDefault="00F62CE0">
      <w:r>
        <w:separator/>
      </w:r>
    </w:p>
  </w:footnote>
  <w:footnote w:type="continuationSeparator" w:id="0">
    <w:p w14:paraId="60855197" w14:textId="77777777" w:rsidR="00F62CE0" w:rsidRDefault="00F62C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15641" w14:textId="60A8C99B" w:rsidR="00F14BE3" w:rsidRPr="00BE45D5" w:rsidRDefault="00D721D7">
    <w:pPr>
      <w:pStyle w:val="Header"/>
      <w:tabs>
        <w:tab w:val="clear" w:pos="4513"/>
        <w:tab w:val="clear" w:pos="9026"/>
        <w:tab w:val="center" w:pos="3544"/>
        <w:tab w:val="right" w:pos="9839"/>
      </w:tabs>
      <w:rPr>
        <w:color w:val="004147" w:themeColor="accent2" w:themeShade="80"/>
      </w:rPr>
    </w:pPr>
    <w:r w:rsidRPr="00BE45D5">
      <w:rPr>
        <w:color w:val="004147" w:themeColor="accent2" w:themeShade="80"/>
        <w:u w:color="808080"/>
      </w:rPr>
      <w:t>5HR02 Talent Management and Workforce Planning</w:t>
    </w:r>
    <w:r w:rsidR="00973781" w:rsidRPr="00BE45D5">
      <w:rPr>
        <w:color w:val="004147" w:themeColor="accent2" w:themeShade="80"/>
        <w:u w:color="808080"/>
      </w:rPr>
      <w:t xml:space="preserve"> </w:t>
    </w:r>
    <w:r w:rsidR="00973781" w:rsidRPr="00BE45D5">
      <w:rPr>
        <w:color w:val="004147" w:themeColor="accent2" w:themeShade="80"/>
        <w:u w:color="808080"/>
      </w:rPr>
      <w:tab/>
    </w:r>
    <w:r w:rsidR="002E617F" w:rsidRPr="00BE45D5">
      <w:rPr>
        <w:rFonts w:ascii="Trebuchet MS" w:hAnsi="Trebuchet MS"/>
        <w:color w:val="004147" w:themeColor="accent2" w:themeShade="80"/>
        <w:u w:color="004146"/>
      </w:rPr>
      <w:t>Kelsea Peterson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42D4C"/>
    <w:multiLevelType w:val="hybridMultilevel"/>
    <w:tmpl w:val="550299BA"/>
    <w:numStyleLink w:val="ImportedStyle4"/>
  </w:abstractNum>
  <w:abstractNum w:abstractNumId="1" w15:restartNumberingAfterBreak="0">
    <w:nsid w:val="35123BF7"/>
    <w:multiLevelType w:val="hybridMultilevel"/>
    <w:tmpl w:val="7A28B458"/>
    <w:numStyleLink w:val="ImportedStyle3"/>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6B255D6"/>
    <w:multiLevelType w:val="hybridMultilevel"/>
    <w:tmpl w:val="8404F974"/>
    <w:numStyleLink w:val="ImportedStyle6"/>
  </w:abstractNum>
  <w:abstractNum w:abstractNumId="5" w15:restartNumberingAfterBreak="0">
    <w:nsid w:val="4F8C7EFF"/>
    <w:multiLevelType w:val="hybridMultilevel"/>
    <w:tmpl w:val="8404F974"/>
    <w:styleLink w:val="ImportedStyle6"/>
    <w:lvl w:ilvl="0" w:tplc="6AA22E8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9056B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D8AB03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C5AF5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DCB21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EEE34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00E0B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EA5F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82B4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7642AF2"/>
    <w:multiLevelType w:val="hybridMultilevel"/>
    <w:tmpl w:val="7F6E3FEC"/>
    <w:lvl w:ilvl="0" w:tplc="BDB436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C448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2ABF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6073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9D2BF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16E3F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C6219E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70356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A64C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711768"/>
    <w:multiLevelType w:val="hybridMultilevel"/>
    <w:tmpl w:val="640A6FAC"/>
    <w:lvl w:ilvl="0" w:tplc="AEAA5DB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64483E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2BA8B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864C3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C46CBA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11E88F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DCD06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9D6B82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C60669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786C1232"/>
    <w:multiLevelType w:val="hybridMultilevel"/>
    <w:tmpl w:val="550299BA"/>
    <w:styleLink w:val="ImportedStyle4"/>
    <w:lvl w:ilvl="0" w:tplc="F30474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34CD4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2DE46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DA9A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D0108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485C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8820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08CE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18E6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D9B0642"/>
    <w:multiLevelType w:val="hybridMultilevel"/>
    <w:tmpl w:val="7A28B458"/>
    <w:styleLink w:val="ImportedStyle3"/>
    <w:lvl w:ilvl="0" w:tplc="14788A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420B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02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EAA86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A669B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26B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4FCB0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285E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B32E9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F2204F5"/>
    <w:multiLevelType w:val="hybridMultilevel"/>
    <w:tmpl w:val="9F46C4C2"/>
    <w:lvl w:ilvl="0" w:tplc="01CC533C">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9FE976C">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9E065F4">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1C7F7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0D386D7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7061048">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E29AEA">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9481C5C">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5DFAAF2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288828349">
    <w:abstractNumId w:val="6"/>
  </w:num>
  <w:num w:numId="2" w16cid:durableId="1687906742">
    <w:abstractNumId w:val="10"/>
  </w:num>
  <w:num w:numId="3" w16cid:durableId="2045903396">
    <w:abstractNumId w:val="9"/>
  </w:num>
  <w:num w:numId="4" w16cid:durableId="1613854802">
    <w:abstractNumId w:val="1"/>
  </w:num>
  <w:num w:numId="5" w16cid:durableId="1696805255">
    <w:abstractNumId w:val="8"/>
  </w:num>
  <w:num w:numId="6" w16cid:durableId="399332206">
    <w:abstractNumId w:val="0"/>
  </w:num>
  <w:num w:numId="7" w16cid:durableId="2121299131">
    <w:abstractNumId w:val="2"/>
  </w:num>
  <w:num w:numId="8" w16cid:durableId="1692682602">
    <w:abstractNumId w:val="3"/>
  </w:num>
  <w:num w:numId="9" w16cid:durableId="207571244">
    <w:abstractNumId w:val="5"/>
  </w:num>
  <w:num w:numId="10" w16cid:durableId="1209612865">
    <w:abstractNumId w:val="4"/>
  </w:num>
  <w:num w:numId="11" w16cid:durableId="51926471">
    <w:abstractNumId w:val="7"/>
  </w:num>
  <w:num w:numId="12" w16cid:durableId="317074608">
    <w:abstractNumId w:val="7"/>
    <w:lvlOverride w:ilvl="0">
      <w:lvl w:ilvl="0" w:tplc="AEAA5D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64483E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2BA8B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864C3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C46CBA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11E88F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DCD06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9D6B82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C60669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BE3"/>
    <w:rsid w:val="00023652"/>
    <w:rsid w:val="0005054B"/>
    <w:rsid w:val="000E58B7"/>
    <w:rsid w:val="000E6DAA"/>
    <w:rsid w:val="000F2929"/>
    <w:rsid w:val="000F499F"/>
    <w:rsid w:val="00121027"/>
    <w:rsid w:val="00133C45"/>
    <w:rsid w:val="00135502"/>
    <w:rsid w:val="001461FE"/>
    <w:rsid w:val="00151F80"/>
    <w:rsid w:val="0015718D"/>
    <w:rsid w:val="00172E6B"/>
    <w:rsid w:val="001A0F5D"/>
    <w:rsid w:val="001A142A"/>
    <w:rsid w:val="001D0A5F"/>
    <w:rsid w:val="001E237C"/>
    <w:rsid w:val="001E70E6"/>
    <w:rsid w:val="00216C8E"/>
    <w:rsid w:val="002724FE"/>
    <w:rsid w:val="00276076"/>
    <w:rsid w:val="002B63C6"/>
    <w:rsid w:val="002C5646"/>
    <w:rsid w:val="002E617F"/>
    <w:rsid w:val="0035023A"/>
    <w:rsid w:val="0036565C"/>
    <w:rsid w:val="003C31C3"/>
    <w:rsid w:val="00411919"/>
    <w:rsid w:val="00457FE3"/>
    <w:rsid w:val="00486BAB"/>
    <w:rsid w:val="004B6654"/>
    <w:rsid w:val="004F6E5E"/>
    <w:rsid w:val="0058304F"/>
    <w:rsid w:val="00596265"/>
    <w:rsid w:val="006119DE"/>
    <w:rsid w:val="00664AD5"/>
    <w:rsid w:val="006A19C0"/>
    <w:rsid w:val="006E7AC3"/>
    <w:rsid w:val="007054D3"/>
    <w:rsid w:val="00710141"/>
    <w:rsid w:val="00710D22"/>
    <w:rsid w:val="007B3234"/>
    <w:rsid w:val="007F15DD"/>
    <w:rsid w:val="0080596D"/>
    <w:rsid w:val="008060F0"/>
    <w:rsid w:val="00827B7D"/>
    <w:rsid w:val="0089162E"/>
    <w:rsid w:val="008D3B1B"/>
    <w:rsid w:val="00926138"/>
    <w:rsid w:val="0094146A"/>
    <w:rsid w:val="00964BE6"/>
    <w:rsid w:val="00973781"/>
    <w:rsid w:val="0097536F"/>
    <w:rsid w:val="009A5712"/>
    <w:rsid w:val="009B2AE9"/>
    <w:rsid w:val="009D5FD8"/>
    <w:rsid w:val="00A04A1D"/>
    <w:rsid w:val="00A21825"/>
    <w:rsid w:val="00A26B24"/>
    <w:rsid w:val="00A42716"/>
    <w:rsid w:val="00A62B1B"/>
    <w:rsid w:val="00A95A53"/>
    <w:rsid w:val="00AC1D66"/>
    <w:rsid w:val="00AC52D8"/>
    <w:rsid w:val="00B65515"/>
    <w:rsid w:val="00B74537"/>
    <w:rsid w:val="00B91613"/>
    <w:rsid w:val="00BC5BD6"/>
    <w:rsid w:val="00BE45D5"/>
    <w:rsid w:val="00C22B99"/>
    <w:rsid w:val="00C27F00"/>
    <w:rsid w:val="00C77BF0"/>
    <w:rsid w:val="00CE6CFE"/>
    <w:rsid w:val="00D13AAF"/>
    <w:rsid w:val="00D168FE"/>
    <w:rsid w:val="00D47FA0"/>
    <w:rsid w:val="00D721D7"/>
    <w:rsid w:val="00E127D9"/>
    <w:rsid w:val="00E375FD"/>
    <w:rsid w:val="00EB20AC"/>
    <w:rsid w:val="00EB3907"/>
    <w:rsid w:val="00F14BE3"/>
    <w:rsid w:val="00F440E0"/>
    <w:rsid w:val="00F62CE0"/>
    <w:rsid w:val="00F73408"/>
    <w:rsid w:val="00F778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05C97"/>
  <w15:docId w15:val="{08F36859-0DC5-41BB-AE00-925658E4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paragraph" w:styleId="Heading6">
    <w:name w:val="heading 6"/>
    <w:basedOn w:val="Normal"/>
    <w:next w:val="Normal"/>
    <w:link w:val="Heading6Char"/>
    <w:uiPriority w:val="9"/>
    <w:semiHidden/>
    <w:unhideWhenUsed/>
    <w:qFormat/>
    <w:rsid w:val="00A21825"/>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uiPriority w:val="99"/>
    <w:pPr>
      <w:spacing w:before="100" w:after="100" w:line="259" w:lineRule="auto"/>
    </w:pPr>
    <w:rPr>
      <w:rFonts w:cs="Arial Unicode MS"/>
      <w:color w:val="000000"/>
      <w:sz w:val="22"/>
      <w:szCs w:val="22"/>
      <w:u w:color="000000"/>
      <w:lang w:val="en-US"/>
    </w:rPr>
  </w:style>
  <w:style w:type="character" w:styleId="Strong">
    <w:name w:val="Strong"/>
    <w:basedOn w:val="DefaultParagraphFont"/>
    <w:uiPriority w:val="22"/>
    <w:qFormat/>
    <w:rsid w:val="0094146A"/>
    <w:rPr>
      <w:b/>
      <w:bCs/>
    </w:rPr>
  </w:style>
  <w:style w:type="character" w:customStyle="1" w:styleId="Heading6Char">
    <w:name w:val="Heading 6 Char"/>
    <w:basedOn w:val="DefaultParagraphFont"/>
    <w:link w:val="Heading6"/>
    <w:uiPriority w:val="9"/>
    <w:semiHidden/>
    <w:rsid w:val="00A21825"/>
    <w:rPr>
      <w:rFonts w:asciiTheme="majorHAnsi" w:eastAsiaTheme="majorEastAsia" w:hAnsiTheme="majorHAnsi" w:cstheme="majorBidi"/>
      <w:color w:val="28062E" w:themeColor="accent1" w:themeShade="7F"/>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25513">
      <w:bodyDiv w:val="1"/>
      <w:marLeft w:val="0"/>
      <w:marRight w:val="0"/>
      <w:marTop w:val="0"/>
      <w:marBottom w:val="0"/>
      <w:divBdr>
        <w:top w:val="none" w:sz="0" w:space="0" w:color="auto"/>
        <w:left w:val="none" w:sz="0" w:space="0" w:color="auto"/>
        <w:bottom w:val="none" w:sz="0" w:space="0" w:color="auto"/>
        <w:right w:val="none" w:sz="0" w:space="0" w:color="auto"/>
      </w:divBdr>
    </w:div>
    <w:div w:id="44843132">
      <w:bodyDiv w:val="1"/>
      <w:marLeft w:val="0"/>
      <w:marRight w:val="0"/>
      <w:marTop w:val="0"/>
      <w:marBottom w:val="0"/>
      <w:divBdr>
        <w:top w:val="none" w:sz="0" w:space="0" w:color="auto"/>
        <w:left w:val="none" w:sz="0" w:space="0" w:color="auto"/>
        <w:bottom w:val="none" w:sz="0" w:space="0" w:color="auto"/>
        <w:right w:val="none" w:sz="0" w:space="0" w:color="auto"/>
      </w:divBdr>
    </w:div>
    <w:div w:id="85155374">
      <w:bodyDiv w:val="1"/>
      <w:marLeft w:val="0"/>
      <w:marRight w:val="0"/>
      <w:marTop w:val="0"/>
      <w:marBottom w:val="0"/>
      <w:divBdr>
        <w:top w:val="none" w:sz="0" w:space="0" w:color="auto"/>
        <w:left w:val="none" w:sz="0" w:space="0" w:color="auto"/>
        <w:bottom w:val="none" w:sz="0" w:space="0" w:color="auto"/>
        <w:right w:val="none" w:sz="0" w:space="0" w:color="auto"/>
      </w:divBdr>
    </w:div>
    <w:div w:id="235946239">
      <w:bodyDiv w:val="1"/>
      <w:marLeft w:val="0"/>
      <w:marRight w:val="0"/>
      <w:marTop w:val="0"/>
      <w:marBottom w:val="0"/>
      <w:divBdr>
        <w:top w:val="none" w:sz="0" w:space="0" w:color="auto"/>
        <w:left w:val="none" w:sz="0" w:space="0" w:color="auto"/>
        <w:bottom w:val="none" w:sz="0" w:space="0" w:color="auto"/>
        <w:right w:val="none" w:sz="0" w:space="0" w:color="auto"/>
      </w:divBdr>
    </w:div>
    <w:div w:id="241718241">
      <w:bodyDiv w:val="1"/>
      <w:marLeft w:val="0"/>
      <w:marRight w:val="0"/>
      <w:marTop w:val="0"/>
      <w:marBottom w:val="0"/>
      <w:divBdr>
        <w:top w:val="none" w:sz="0" w:space="0" w:color="auto"/>
        <w:left w:val="none" w:sz="0" w:space="0" w:color="auto"/>
        <w:bottom w:val="none" w:sz="0" w:space="0" w:color="auto"/>
        <w:right w:val="none" w:sz="0" w:space="0" w:color="auto"/>
      </w:divBdr>
    </w:div>
    <w:div w:id="267930129">
      <w:bodyDiv w:val="1"/>
      <w:marLeft w:val="0"/>
      <w:marRight w:val="0"/>
      <w:marTop w:val="0"/>
      <w:marBottom w:val="0"/>
      <w:divBdr>
        <w:top w:val="none" w:sz="0" w:space="0" w:color="auto"/>
        <w:left w:val="none" w:sz="0" w:space="0" w:color="auto"/>
        <w:bottom w:val="none" w:sz="0" w:space="0" w:color="auto"/>
        <w:right w:val="none" w:sz="0" w:space="0" w:color="auto"/>
      </w:divBdr>
      <w:divsChild>
        <w:div w:id="346491535">
          <w:marLeft w:val="0"/>
          <w:marRight w:val="0"/>
          <w:marTop w:val="0"/>
          <w:marBottom w:val="0"/>
          <w:divBdr>
            <w:top w:val="none" w:sz="0" w:space="0" w:color="auto"/>
            <w:left w:val="none" w:sz="0" w:space="0" w:color="auto"/>
            <w:bottom w:val="none" w:sz="0" w:space="0" w:color="auto"/>
            <w:right w:val="none" w:sz="0" w:space="0" w:color="auto"/>
          </w:divBdr>
          <w:divsChild>
            <w:div w:id="446856621">
              <w:marLeft w:val="0"/>
              <w:marRight w:val="0"/>
              <w:marTop w:val="0"/>
              <w:marBottom w:val="0"/>
              <w:divBdr>
                <w:top w:val="none" w:sz="0" w:space="0" w:color="auto"/>
                <w:left w:val="none" w:sz="0" w:space="0" w:color="auto"/>
                <w:bottom w:val="none" w:sz="0" w:space="0" w:color="auto"/>
                <w:right w:val="none" w:sz="0" w:space="0" w:color="auto"/>
              </w:divBdr>
              <w:divsChild>
                <w:div w:id="1458254061">
                  <w:marLeft w:val="0"/>
                  <w:marRight w:val="0"/>
                  <w:marTop w:val="0"/>
                  <w:marBottom w:val="0"/>
                  <w:divBdr>
                    <w:top w:val="none" w:sz="0" w:space="0" w:color="auto"/>
                    <w:left w:val="none" w:sz="0" w:space="0" w:color="auto"/>
                    <w:bottom w:val="none" w:sz="0" w:space="0" w:color="auto"/>
                    <w:right w:val="none" w:sz="0" w:space="0" w:color="auto"/>
                  </w:divBdr>
                  <w:divsChild>
                    <w:div w:id="239826861">
                      <w:marLeft w:val="0"/>
                      <w:marRight w:val="0"/>
                      <w:marTop w:val="0"/>
                      <w:marBottom w:val="0"/>
                      <w:divBdr>
                        <w:top w:val="none" w:sz="0" w:space="0" w:color="auto"/>
                        <w:left w:val="none" w:sz="0" w:space="0" w:color="auto"/>
                        <w:bottom w:val="none" w:sz="0" w:space="0" w:color="auto"/>
                        <w:right w:val="none" w:sz="0" w:space="0" w:color="auto"/>
                      </w:divBdr>
                      <w:divsChild>
                        <w:div w:id="390428357">
                          <w:marLeft w:val="0"/>
                          <w:marRight w:val="0"/>
                          <w:marTop w:val="0"/>
                          <w:marBottom w:val="0"/>
                          <w:divBdr>
                            <w:top w:val="none" w:sz="0" w:space="0" w:color="auto"/>
                            <w:left w:val="none" w:sz="0" w:space="0" w:color="auto"/>
                            <w:bottom w:val="none" w:sz="0" w:space="0" w:color="auto"/>
                            <w:right w:val="none" w:sz="0" w:space="0" w:color="auto"/>
                          </w:divBdr>
                          <w:divsChild>
                            <w:div w:id="2053193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7783012">
      <w:bodyDiv w:val="1"/>
      <w:marLeft w:val="0"/>
      <w:marRight w:val="0"/>
      <w:marTop w:val="0"/>
      <w:marBottom w:val="0"/>
      <w:divBdr>
        <w:top w:val="none" w:sz="0" w:space="0" w:color="auto"/>
        <w:left w:val="none" w:sz="0" w:space="0" w:color="auto"/>
        <w:bottom w:val="none" w:sz="0" w:space="0" w:color="auto"/>
        <w:right w:val="none" w:sz="0" w:space="0" w:color="auto"/>
      </w:divBdr>
    </w:div>
    <w:div w:id="313031933">
      <w:bodyDiv w:val="1"/>
      <w:marLeft w:val="0"/>
      <w:marRight w:val="0"/>
      <w:marTop w:val="0"/>
      <w:marBottom w:val="0"/>
      <w:divBdr>
        <w:top w:val="none" w:sz="0" w:space="0" w:color="auto"/>
        <w:left w:val="none" w:sz="0" w:space="0" w:color="auto"/>
        <w:bottom w:val="none" w:sz="0" w:space="0" w:color="auto"/>
        <w:right w:val="none" w:sz="0" w:space="0" w:color="auto"/>
      </w:divBdr>
    </w:div>
    <w:div w:id="353113461">
      <w:bodyDiv w:val="1"/>
      <w:marLeft w:val="0"/>
      <w:marRight w:val="0"/>
      <w:marTop w:val="0"/>
      <w:marBottom w:val="0"/>
      <w:divBdr>
        <w:top w:val="none" w:sz="0" w:space="0" w:color="auto"/>
        <w:left w:val="none" w:sz="0" w:space="0" w:color="auto"/>
        <w:bottom w:val="none" w:sz="0" w:space="0" w:color="auto"/>
        <w:right w:val="none" w:sz="0" w:space="0" w:color="auto"/>
      </w:divBdr>
    </w:div>
    <w:div w:id="399668657">
      <w:bodyDiv w:val="1"/>
      <w:marLeft w:val="0"/>
      <w:marRight w:val="0"/>
      <w:marTop w:val="0"/>
      <w:marBottom w:val="0"/>
      <w:divBdr>
        <w:top w:val="none" w:sz="0" w:space="0" w:color="auto"/>
        <w:left w:val="none" w:sz="0" w:space="0" w:color="auto"/>
        <w:bottom w:val="none" w:sz="0" w:space="0" w:color="auto"/>
        <w:right w:val="none" w:sz="0" w:space="0" w:color="auto"/>
      </w:divBdr>
    </w:div>
    <w:div w:id="443617744">
      <w:bodyDiv w:val="1"/>
      <w:marLeft w:val="0"/>
      <w:marRight w:val="0"/>
      <w:marTop w:val="0"/>
      <w:marBottom w:val="0"/>
      <w:divBdr>
        <w:top w:val="none" w:sz="0" w:space="0" w:color="auto"/>
        <w:left w:val="none" w:sz="0" w:space="0" w:color="auto"/>
        <w:bottom w:val="none" w:sz="0" w:space="0" w:color="auto"/>
        <w:right w:val="none" w:sz="0" w:space="0" w:color="auto"/>
      </w:divBdr>
    </w:div>
    <w:div w:id="593825895">
      <w:bodyDiv w:val="1"/>
      <w:marLeft w:val="0"/>
      <w:marRight w:val="0"/>
      <w:marTop w:val="0"/>
      <w:marBottom w:val="0"/>
      <w:divBdr>
        <w:top w:val="none" w:sz="0" w:space="0" w:color="auto"/>
        <w:left w:val="none" w:sz="0" w:space="0" w:color="auto"/>
        <w:bottom w:val="none" w:sz="0" w:space="0" w:color="auto"/>
        <w:right w:val="none" w:sz="0" w:space="0" w:color="auto"/>
      </w:divBdr>
    </w:div>
    <w:div w:id="618798420">
      <w:bodyDiv w:val="1"/>
      <w:marLeft w:val="0"/>
      <w:marRight w:val="0"/>
      <w:marTop w:val="0"/>
      <w:marBottom w:val="0"/>
      <w:divBdr>
        <w:top w:val="none" w:sz="0" w:space="0" w:color="auto"/>
        <w:left w:val="none" w:sz="0" w:space="0" w:color="auto"/>
        <w:bottom w:val="none" w:sz="0" w:space="0" w:color="auto"/>
        <w:right w:val="none" w:sz="0" w:space="0" w:color="auto"/>
      </w:divBdr>
    </w:div>
    <w:div w:id="631789238">
      <w:bodyDiv w:val="1"/>
      <w:marLeft w:val="0"/>
      <w:marRight w:val="0"/>
      <w:marTop w:val="0"/>
      <w:marBottom w:val="0"/>
      <w:divBdr>
        <w:top w:val="none" w:sz="0" w:space="0" w:color="auto"/>
        <w:left w:val="none" w:sz="0" w:space="0" w:color="auto"/>
        <w:bottom w:val="none" w:sz="0" w:space="0" w:color="auto"/>
        <w:right w:val="none" w:sz="0" w:space="0" w:color="auto"/>
      </w:divBdr>
    </w:div>
    <w:div w:id="645400363">
      <w:bodyDiv w:val="1"/>
      <w:marLeft w:val="0"/>
      <w:marRight w:val="0"/>
      <w:marTop w:val="0"/>
      <w:marBottom w:val="0"/>
      <w:divBdr>
        <w:top w:val="none" w:sz="0" w:space="0" w:color="auto"/>
        <w:left w:val="none" w:sz="0" w:space="0" w:color="auto"/>
        <w:bottom w:val="none" w:sz="0" w:space="0" w:color="auto"/>
        <w:right w:val="none" w:sz="0" w:space="0" w:color="auto"/>
      </w:divBdr>
    </w:div>
    <w:div w:id="750275443">
      <w:bodyDiv w:val="1"/>
      <w:marLeft w:val="0"/>
      <w:marRight w:val="0"/>
      <w:marTop w:val="0"/>
      <w:marBottom w:val="0"/>
      <w:divBdr>
        <w:top w:val="none" w:sz="0" w:space="0" w:color="auto"/>
        <w:left w:val="none" w:sz="0" w:space="0" w:color="auto"/>
        <w:bottom w:val="none" w:sz="0" w:space="0" w:color="auto"/>
        <w:right w:val="none" w:sz="0" w:space="0" w:color="auto"/>
      </w:divBdr>
    </w:div>
    <w:div w:id="758720107">
      <w:bodyDiv w:val="1"/>
      <w:marLeft w:val="0"/>
      <w:marRight w:val="0"/>
      <w:marTop w:val="0"/>
      <w:marBottom w:val="0"/>
      <w:divBdr>
        <w:top w:val="none" w:sz="0" w:space="0" w:color="auto"/>
        <w:left w:val="none" w:sz="0" w:space="0" w:color="auto"/>
        <w:bottom w:val="none" w:sz="0" w:space="0" w:color="auto"/>
        <w:right w:val="none" w:sz="0" w:space="0" w:color="auto"/>
      </w:divBdr>
    </w:div>
    <w:div w:id="758990480">
      <w:bodyDiv w:val="1"/>
      <w:marLeft w:val="0"/>
      <w:marRight w:val="0"/>
      <w:marTop w:val="0"/>
      <w:marBottom w:val="0"/>
      <w:divBdr>
        <w:top w:val="none" w:sz="0" w:space="0" w:color="auto"/>
        <w:left w:val="none" w:sz="0" w:space="0" w:color="auto"/>
        <w:bottom w:val="none" w:sz="0" w:space="0" w:color="auto"/>
        <w:right w:val="none" w:sz="0" w:space="0" w:color="auto"/>
      </w:divBdr>
    </w:div>
    <w:div w:id="776674725">
      <w:bodyDiv w:val="1"/>
      <w:marLeft w:val="0"/>
      <w:marRight w:val="0"/>
      <w:marTop w:val="0"/>
      <w:marBottom w:val="0"/>
      <w:divBdr>
        <w:top w:val="none" w:sz="0" w:space="0" w:color="auto"/>
        <w:left w:val="none" w:sz="0" w:space="0" w:color="auto"/>
        <w:bottom w:val="none" w:sz="0" w:space="0" w:color="auto"/>
        <w:right w:val="none" w:sz="0" w:space="0" w:color="auto"/>
      </w:divBdr>
    </w:div>
    <w:div w:id="813596124">
      <w:bodyDiv w:val="1"/>
      <w:marLeft w:val="0"/>
      <w:marRight w:val="0"/>
      <w:marTop w:val="0"/>
      <w:marBottom w:val="0"/>
      <w:divBdr>
        <w:top w:val="none" w:sz="0" w:space="0" w:color="auto"/>
        <w:left w:val="none" w:sz="0" w:space="0" w:color="auto"/>
        <w:bottom w:val="none" w:sz="0" w:space="0" w:color="auto"/>
        <w:right w:val="none" w:sz="0" w:space="0" w:color="auto"/>
      </w:divBdr>
    </w:div>
    <w:div w:id="850338529">
      <w:bodyDiv w:val="1"/>
      <w:marLeft w:val="0"/>
      <w:marRight w:val="0"/>
      <w:marTop w:val="0"/>
      <w:marBottom w:val="0"/>
      <w:divBdr>
        <w:top w:val="none" w:sz="0" w:space="0" w:color="auto"/>
        <w:left w:val="none" w:sz="0" w:space="0" w:color="auto"/>
        <w:bottom w:val="none" w:sz="0" w:space="0" w:color="auto"/>
        <w:right w:val="none" w:sz="0" w:space="0" w:color="auto"/>
      </w:divBdr>
    </w:div>
    <w:div w:id="857157692">
      <w:bodyDiv w:val="1"/>
      <w:marLeft w:val="0"/>
      <w:marRight w:val="0"/>
      <w:marTop w:val="0"/>
      <w:marBottom w:val="0"/>
      <w:divBdr>
        <w:top w:val="none" w:sz="0" w:space="0" w:color="auto"/>
        <w:left w:val="none" w:sz="0" w:space="0" w:color="auto"/>
        <w:bottom w:val="none" w:sz="0" w:space="0" w:color="auto"/>
        <w:right w:val="none" w:sz="0" w:space="0" w:color="auto"/>
      </w:divBdr>
    </w:div>
    <w:div w:id="899824518">
      <w:bodyDiv w:val="1"/>
      <w:marLeft w:val="0"/>
      <w:marRight w:val="0"/>
      <w:marTop w:val="0"/>
      <w:marBottom w:val="0"/>
      <w:divBdr>
        <w:top w:val="none" w:sz="0" w:space="0" w:color="auto"/>
        <w:left w:val="none" w:sz="0" w:space="0" w:color="auto"/>
        <w:bottom w:val="none" w:sz="0" w:space="0" w:color="auto"/>
        <w:right w:val="none" w:sz="0" w:space="0" w:color="auto"/>
      </w:divBdr>
    </w:div>
    <w:div w:id="911085621">
      <w:bodyDiv w:val="1"/>
      <w:marLeft w:val="0"/>
      <w:marRight w:val="0"/>
      <w:marTop w:val="0"/>
      <w:marBottom w:val="0"/>
      <w:divBdr>
        <w:top w:val="none" w:sz="0" w:space="0" w:color="auto"/>
        <w:left w:val="none" w:sz="0" w:space="0" w:color="auto"/>
        <w:bottom w:val="none" w:sz="0" w:space="0" w:color="auto"/>
        <w:right w:val="none" w:sz="0" w:space="0" w:color="auto"/>
      </w:divBdr>
    </w:div>
    <w:div w:id="997343583">
      <w:bodyDiv w:val="1"/>
      <w:marLeft w:val="0"/>
      <w:marRight w:val="0"/>
      <w:marTop w:val="0"/>
      <w:marBottom w:val="0"/>
      <w:divBdr>
        <w:top w:val="none" w:sz="0" w:space="0" w:color="auto"/>
        <w:left w:val="none" w:sz="0" w:space="0" w:color="auto"/>
        <w:bottom w:val="none" w:sz="0" w:space="0" w:color="auto"/>
        <w:right w:val="none" w:sz="0" w:space="0" w:color="auto"/>
      </w:divBdr>
    </w:div>
    <w:div w:id="1037513819">
      <w:bodyDiv w:val="1"/>
      <w:marLeft w:val="0"/>
      <w:marRight w:val="0"/>
      <w:marTop w:val="0"/>
      <w:marBottom w:val="0"/>
      <w:divBdr>
        <w:top w:val="none" w:sz="0" w:space="0" w:color="auto"/>
        <w:left w:val="none" w:sz="0" w:space="0" w:color="auto"/>
        <w:bottom w:val="none" w:sz="0" w:space="0" w:color="auto"/>
        <w:right w:val="none" w:sz="0" w:space="0" w:color="auto"/>
      </w:divBdr>
    </w:div>
    <w:div w:id="1099761074">
      <w:bodyDiv w:val="1"/>
      <w:marLeft w:val="0"/>
      <w:marRight w:val="0"/>
      <w:marTop w:val="0"/>
      <w:marBottom w:val="0"/>
      <w:divBdr>
        <w:top w:val="none" w:sz="0" w:space="0" w:color="auto"/>
        <w:left w:val="none" w:sz="0" w:space="0" w:color="auto"/>
        <w:bottom w:val="none" w:sz="0" w:space="0" w:color="auto"/>
        <w:right w:val="none" w:sz="0" w:space="0" w:color="auto"/>
      </w:divBdr>
    </w:div>
    <w:div w:id="1112474671">
      <w:bodyDiv w:val="1"/>
      <w:marLeft w:val="0"/>
      <w:marRight w:val="0"/>
      <w:marTop w:val="0"/>
      <w:marBottom w:val="0"/>
      <w:divBdr>
        <w:top w:val="none" w:sz="0" w:space="0" w:color="auto"/>
        <w:left w:val="none" w:sz="0" w:space="0" w:color="auto"/>
        <w:bottom w:val="none" w:sz="0" w:space="0" w:color="auto"/>
        <w:right w:val="none" w:sz="0" w:space="0" w:color="auto"/>
      </w:divBdr>
      <w:divsChild>
        <w:div w:id="362436906">
          <w:marLeft w:val="0"/>
          <w:marRight w:val="0"/>
          <w:marTop w:val="0"/>
          <w:marBottom w:val="0"/>
          <w:divBdr>
            <w:top w:val="none" w:sz="0" w:space="0" w:color="auto"/>
            <w:left w:val="none" w:sz="0" w:space="0" w:color="auto"/>
            <w:bottom w:val="none" w:sz="0" w:space="0" w:color="auto"/>
            <w:right w:val="none" w:sz="0" w:space="0" w:color="auto"/>
          </w:divBdr>
          <w:divsChild>
            <w:div w:id="848909065">
              <w:marLeft w:val="0"/>
              <w:marRight w:val="0"/>
              <w:marTop w:val="0"/>
              <w:marBottom w:val="0"/>
              <w:divBdr>
                <w:top w:val="none" w:sz="0" w:space="0" w:color="auto"/>
                <w:left w:val="none" w:sz="0" w:space="0" w:color="auto"/>
                <w:bottom w:val="none" w:sz="0" w:space="0" w:color="auto"/>
                <w:right w:val="none" w:sz="0" w:space="0" w:color="auto"/>
              </w:divBdr>
              <w:divsChild>
                <w:div w:id="1728455330">
                  <w:marLeft w:val="0"/>
                  <w:marRight w:val="0"/>
                  <w:marTop w:val="0"/>
                  <w:marBottom w:val="0"/>
                  <w:divBdr>
                    <w:top w:val="none" w:sz="0" w:space="0" w:color="auto"/>
                    <w:left w:val="none" w:sz="0" w:space="0" w:color="auto"/>
                    <w:bottom w:val="none" w:sz="0" w:space="0" w:color="auto"/>
                    <w:right w:val="none" w:sz="0" w:space="0" w:color="auto"/>
                  </w:divBdr>
                  <w:divsChild>
                    <w:div w:id="1227839653">
                      <w:marLeft w:val="0"/>
                      <w:marRight w:val="0"/>
                      <w:marTop w:val="0"/>
                      <w:marBottom w:val="0"/>
                      <w:divBdr>
                        <w:top w:val="none" w:sz="0" w:space="0" w:color="auto"/>
                        <w:left w:val="none" w:sz="0" w:space="0" w:color="auto"/>
                        <w:bottom w:val="none" w:sz="0" w:space="0" w:color="auto"/>
                        <w:right w:val="none" w:sz="0" w:space="0" w:color="auto"/>
                      </w:divBdr>
                      <w:divsChild>
                        <w:div w:id="782071968">
                          <w:marLeft w:val="0"/>
                          <w:marRight w:val="0"/>
                          <w:marTop w:val="0"/>
                          <w:marBottom w:val="0"/>
                          <w:divBdr>
                            <w:top w:val="none" w:sz="0" w:space="0" w:color="auto"/>
                            <w:left w:val="none" w:sz="0" w:space="0" w:color="auto"/>
                            <w:bottom w:val="none" w:sz="0" w:space="0" w:color="auto"/>
                            <w:right w:val="none" w:sz="0" w:space="0" w:color="auto"/>
                          </w:divBdr>
                          <w:divsChild>
                            <w:div w:id="113143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9305383">
      <w:bodyDiv w:val="1"/>
      <w:marLeft w:val="0"/>
      <w:marRight w:val="0"/>
      <w:marTop w:val="0"/>
      <w:marBottom w:val="0"/>
      <w:divBdr>
        <w:top w:val="none" w:sz="0" w:space="0" w:color="auto"/>
        <w:left w:val="none" w:sz="0" w:space="0" w:color="auto"/>
        <w:bottom w:val="none" w:sz="0" w:space="0" w:color="auto"/>
        <w:right w:val="none" w:sz="0" w:space="0" w:color="auto"/>
      </w:divBdr>
    </w:div>
    <w:div w:id="1416315859">
      <w:bodyDiv w:val="1"/>
      <w:marLeft w:val="0"/>
      <w:marRight w:val="0"/>
      <w:marTop w:val="0"/>
      <w:marBottom w:val="0"/>
      <w:divBdr>
        <w:top w:val="none" w:sz="0" w:space="0" w:color="auto"/>
        <w:left w:val="none" w:sz="0" w:space="0" w:color="auto"/>
        <w:bottom w:val="none" w:sz="0" w:space="0" w:color="auto"/>
        <w:right w:val="none" w:sz="0" w:space="0" w:color="auto"/>
      </w:divBdr>
    </w:div>
    <w:div w:id="1420784242">
      <w:bodyDiv w:val="1"/>
      <w:marLeft w:val="0"/>
      <w:marRight w:val="0"/>
      <w:marTop w:val="0"/>
      <w:marBottom w:val="0"/>
      <w:divBdr>
        <w:top w:val="none" w:sz="0" w:space="0" w:color="auto"/>
        <w:left w:val="none" w:sz="0" w:space="0" w:color="auto"/>
        <w:bottom w:val="none" w:sz="0" w:space="0" w:color="auto"/>
        <w:right w:val="none" w:sz="0" w:space="0" w:color="auto"/>
      </w:divBdr>
    </w:div>
    <w:div w:id="1423912678">
      <w:bodyDiv w:val="1"/>
      <w:marLeft w:val="0"/>
      <w:marRight w:val="0"/>
      <w:marTop w:val="0"/>
      <w:marBottom w:val="0"/>
      <w:divBdr>
        <w:top w:val="none" w:sz="0" w:space="0" w:color="auto"/>
        <w:left w:val="none" w:sz="0" w:space="0" w:color="auto"/>
        <w:bottom w:val="none" w:sz="0" w:space="0" w:color="auto"/>
        <w:right w:val="none" w:sz="0" w:space="0" w:color="auto"/>
      </w:divBdr>
    </w:div>
    <w:div w:id="1467580194">
      <w:bodyDiv w:val="1"/>
      <w:marLeft w:val="0"/>
      <w:marRight w:val="0"/>
      <w:marTop w:val="0"/>
      <w:marBottom w:val="0"/>
      <w:divBdr>
        <w:top w:val="none" w:sz="0" w:space="0" w:color="auto"/>
        <w:left w:val="none" w:sz="0" w:space="0" w:color="auto"/>
        <w:bottom w:val="none" w:sz="0" w:space="0" w:color="auto"/>
        <w:right w:val="none" w:sz="0" w:space="0" w:color="auto"/>
      </w:divBdr>
    </w:div>
    <w:div w:id="1607887571">
      <w:bodyDiv w:val="1"/>
      <w:marLeft w:val="0"/>
      <w:marRight w:val="0"/>
      <w:marTop w:val="0"/>
      <w:marBottom w:val="0"/>
      <w:divBdr>
        <w:top w:val="none" w:sz="0" w:space="0" w:color="auto"/>
        <w:left w:val="none" w:sz="0" w:space="0" w:color="auto"/>
        <w:bottom w:val="none" w:sz="0" w:space="0" w:color="auto"/>
        <w:right w:val="none" w:sz="0" w:space="0" w:color="auto"/>
      </w:divBdr>
    </w:div>
    <w:div w:id="1686133877">
      <w:bodyDiv w:val="1"/>
      <w:marLeft w:val="0"/>
      <w:marRight w:val="0"/>
      <w:marTop w:val="0"/>
      <w:marBottom w:val="0"/>
      <w:divBdr>
        <w:top w:val="none" w:sz="0" w:space="0" w:color="auto"/>
        <w:left w:val="none" w:sz="0" w:space="0" w:color="auto"/>
        <w:bottom w:val="none" w:sz="0" w:space="0" w:color="auto"/>
        <w:right w:val="none" w:sz="0" w:space="0" w:color="auto"/>
      </w:divBdr>
      <w:divsChild>
        <w:div w:id="1996298855">
          <w:marLeft w:val="0"/>
          <w:marRight w:val="0"/>
          <w:marTop w:val="0"/>
          <w:marBottom w:val="0"/>
          <w:divBdr>
            <w:top w:val="none" w:sz="0" w:space="0" w:color="auto"/>
            <w:left w:val="none" w:sz="0" w:space="0" w:color="auto"/>
            <w:bottom w:val="none" w:sz="0" w:space="0" w:color="auto"/>
            <w:right w:val="none" w:sz="0" w:space="0" w:color="auto"/>
          </w:divBdr>
          <w:divsChild>
            <w:div w:id="653608131">
              <w:marLeft w:val="0"/>
              <w:marRight w:val="0"/>
              <w:marTop w:val="0"/>
              <w:marBottom w:val="0"/>
              <w:divBdr>
                <w:top w:val="none" w:sz="0" w:space="0" w:color="auto"/>
                <w:left w:val="none" w:sz="0" w:space="0" w:color="auto"/>
                <w:bottom w:val="none" w:sz="0" w:space="0" w:color="auto"/>
                <w:right w:val="none" w:sz="0" w:space="0" w:color="auto"/>
              </w:divBdr>
              <w:divsChild>
                <w:div w:id="1119492776">
                  <w:marLeft w:val="0"/>
                  <w:marRight w:val="0"/>
                  <w:marTop w:val="0"/>
                  <w:marBottom w:val="0"/>
                  <w:divBdr>
                    <w:top w:val="none" w:sz="0" w:space="0" w:color="auto"/>
                    <w:left w:val="none" w:sz="0" w:space="0" w:color="auto"/>
                    <w:bottom w:val="none" w:sz="0" w:space="0" w:color="auto"/>
                    <w:right w:val="none" w:sz="0" w:space="0" w:color="auto"/>
                  </w:divBdr>
                  <w:divsChild>
                    <w:div w:id="1523547113">
                      <w:marLeft w:val="0"/>
                      <w:marRight w:val="0"/>
                      <w:marTop w:val="0"/>
                      <w:marBottom w:val="0"/>
                      <w:divBdr>
                        <w:top w:val="none" w:sz="0" w:space="0" w:color="auto"/>
                        <w:left w:val="none" w:sz="0" w:space="0" w:color="auto"/>
                        <w:bottom w:val="none" w:sz="0" w:space="0" w:color="auto"/>
                        <w:right w:val="none" w:sz="0" w:space="0" w:color="auto"/>
                      </w:divBdr>
                      <w:divsChild>
                        <w:div w:id="1673987912">
                          <w:marLeft w:val="0"/>
                          <w:marRight w:val="0"/>
                          <w:marTop w:val="0"/>
                          <w:marBottom w:val="0"/>
                          <w:divBdr>
                            <w:top w:val="none" w:sz="0" w:space="0" w:color="auto"/>
                            <w:left w:val="none" w:sz="0" w:space="0" w:color="auto"/>
                            <w:bottom w:val="none" w:sz="0" w:space="0" w:color="auto"/>
                            <w:right w:val="none" w:sz="0" w:space="0" w:color="auto"/>
                          </w:divBdr>
                          <w:divsChild>
                            <w:div w:id="2340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9201768">
      <w:bodyDiv w:val="1"/>
      <w:marLeft w:val="0"/>
      <w:marRight w:val="0"/>
      <w:marTop w:val="0"/>
      <w:marBottom w:val="0"/>
      <w:divBdr>
        <w:top w:val="none" w:sz="0" w:space="0" w:color="auto"/>
        <w:left w:val="none" w:sz="0" w:space="0" w:color="auto"/>
        <w:bottom w:val="none" w:sz="0" w:space="0" w:color="auto"/>
        <w:right w:val="none" w:sz="0" w:space="0" w:color="auto"/>
      </w:divBdr>
    </w:div>
    <w:div w:id="1802069694">
      <w:bodyDiv w:val="1"/>
      <w:marLeft w:val="0"/>
      <w:marRight w:val="0"/>
      <w:marTop w:val="0"/>
      <w:marBottom w:val="0"/>
      <w:divBdr>
        <w:top w:val="none" w:sz="0" w:space="0" w:color="auto"/>
        <w:left w:val="none" w:sz="0" w:space="0" w:color="auto"/>
        <w:bottom w:val="none" w:sz="0" w:space="0" w:color="auto"/>
        <w:right w:val="none" w:sz="0" w:space="0" w:color="auto"/>
      </w:divBdr>
    </w:div>
    <w:div w:id="1898739950">
      <w:bodyDiv w:val="1"/>
      <w:marLeft w:val="0"/>
      <w:marRight w:val="0"/>
      <w:marTop w:val="0"/>
      <w:marBottom w:val="0"/>
      <w:divBdr>
        <w:top w:val="none" w:sz="0" w:space="0" w:color="auto"/>
        <w:left w:val="none" w:sz="0" w:space="0" w:color="auto"/>
        <w:bottom w:val="none" w:sz="0" w:space="0" w:color="auto"/>
        <w:right w:val="none" w:sz="0" w:space="0" w:color="auto"/>
      </w:divBdr>
    </w:div>
    <w:div w:id="1967545714">
      <w:bodyDiv w:val="1"/>
      <w:marLeft w:val="0"/>
      <w:marRight w:val="0"/>
      <w:marTop w:val="0"/>
      <w:marBottom w:val="0"/>
      <w:divBdr>
        <w:top w:val="none" w:sz="0" w:space="0" w:color="auto"/>
        <w:left w:val="none" w:sz="0" w:space="0" w:color="auto"/>
        <w:bottom w:val="none" w:sz="0" w:space="0" w:color="auto"/>
        <w:right w:val="none" w:sz="0" w:space="0" w:color="auto"/>
      </w:divBdr>
    </w:div>
    <w:div w:id="2036274567">
      <w:bodyDiv w:val="1"/>
      <w:marLeft w:val="0"/>
      <w:marRight w:val="0"/>
      <w:marTop w:val="0"/>
      <w:marBottom w:val="0"/>
      <w:divBdr>
        <w:top w:val="none" w:sz="0" w:space="0" w:color="auto"/>
        <w:left w:val="none" w:sz="0" w:space="0" w:color="auto"/>
        <w:bottom w:val="none" w:sz="0" w:space="0" w:color="auto"/>
        <w:right w:val="none" w:sz="0" w:space="0" w:color="auto"/>
      </w:divBdr>
    </w:div>
    <w:div w:id="2043095504">
      <w:bodyDiv w:val="1"/>
      <w:marLeft w:val="0"/>
      <w:marRight w:val="0"/>
      <w:marTop w:val="0"/>
      <w:marBottom w:val="0"/>
      <w:divBdr>
        <w:top w:val="none" w:sz="0" w:space="0" w:color="auto"/>
        <w:left w:val="none" w:sz="0" w:space="0" w:color="auto"/>
        <w:bottom w:val="none" w:sz="0" w:space="0" w:color="auto"/>
        <w:right w:val="none" w:sz="0" w:space="0" w:color="auto"/>
      </w:divBdr>
    </w:div>
    <w:div w:id="20444786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Metadata/LabelInfo.xml><?xml version="1.0" encoding="utf-8"?>
<clbl:labelList xmlns:clbl="http://schemas.microsoft.com/office/2020/mipLabelMetadata">
  <clbl:label id="{3cf1f214-12dc-4628-b93b-6ee6575cda47}" enabled="1" method="Privileged" siteId="{ddd66cce-ffe1-4029-967c-5e15ef73127f}" removed="0"/>
</clbl:labelList>
</file>

<file path=docProps/app.xml><?xml version="1.0" encoding="utf-8"?>
<Properties xmlns="http://schemas.openxmlformats.org/officeDocument/2006/extended-properties" xmlns:vt="http://schemas.openxmlformats.org/officeDocument/2006/docPropsVTypes">
  <Template>Normal</Template>
  <TotalTime>168</TotalTime>
  <Pages>11</Pages>
  <Words>5804</Words>
  <Characters>33144</Characters>
  <Application>Microsoft Office Word</Application>
  <DocSecurity>0</DocSecurity>
  <Lines>1441</Lines>
  <Paragraphs>721</Paragraphs>
  <ScaleCrop>false</ScaleCrop>
  <Company>University of Wales Trinity Saint David</Company>
  <LinksUpToDate>false</LinksUpToDate>
  <CharactersWithSpaces>38227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Kelsea Peterson</cp:lastModifiedBy>
  <cp:revision>78</cp:revision>
  <dcterms:created xsi:type="dcterms:W3CDTF">2025-10-07T12:35:00Z</dcterms:created>
  <dcterms:modified xsi:type="dcterms:W3CDTF">2026-01-05T10:26:00Z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