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2916" w:rsidRDefault="00EC4409" w:rsidP="00EC4409">
      <w:pPr>
        <w:jc w:val="center"/>
        <w:rPr>
          <w:b/>
          <w:sz w:val="24"/>
          <w:szCs w:val="24"/>
          <w:u w:val="single"/>
        </w:rPr>
      </w:pPr>
      <w:r>
        <w:rPr>
          <w:b/>
          <w:sz w:val="24"/>
          <w:szCs w:val="24"/>
          <w:u w:val="single"/>
        </w:rPr>
        <w:t xml:space="preserve">Offer 4 different examples of how social groups maintain order </w:t>
      </w:r>
    </w:p>
    <w:p w:rsidR="00EC4409" w:rsidRDefault="00EC4409" w:rsidP="00EC4409">
      <w:pPr>
        <w:rPr>
          <w:sz w:val="24"/>
          <w:szCs w:val="24"/>
        </w:rPr>
      </w:pPr>
    </w:p>
    <w:p w:rsidR="00EC4409" w:rsidRDefault="00EC4409" w:rsidP="00EC4409">
      <w:pPr>
        <w:rPr>
          <w:sz w:val="24"/>
          <w:szCs w:val="24"/>
        </w:rPr>
      </w:pPr>
      <w:r>
        <w:rPr>
          <w:sz w:val="24"/>
          <w:szCs w:val="24"/>
        </w:rPr>
        <w:t xml:space="preserve">Within this </w:t>
      </w:r>
      <w:r w:rsidRPr="009D74AA">
        <w:rPr>
          <w:noProof/>
          <w:sz w:val="24"/>
          <w:szCs w:val="24"/>
        </w:rPr>
        <w:t>essay</w:t>
      </w:r>
      <w:r w:rsidR="009D74AA">
        <w:rPr>
          <w:noProof/>
          <w:sz w:val="24"/>
          <w:szCs w:val="24"/>
        </w:rPr>
        <w:t>,</w:t>
      </w:r>
      <w:r>
        <w:rPr>
          <w:sz w:val="24"/>
          <w:szCs w:val="24"/>
        </w:rPr>
        <w:t xml:space="preserve"> I will offer four different examples of how social groups maintain order using fear systems. </w:t>
      </w:r>
      <w:r w:rsidR="005904A6">
        <w:rPr>
          <w:sz w:val="24"/>
          <w:szCs w:val="24"/>
        </w:rPr>
        <w:t>Although fear is a common control mechanism across the world, it is not always consciously used</w:t>
      </w:r>
      <w:r w:rsidR="004C5C1A">
        <w:rPr>
          <w:sz w:val="24"/>
          <w:szCs w:val="24"/>
        </w:rPr>
        <w:t xml:space="preserve">, </w:t>
      </w:r>
      <w:r w:rsidR="00702631">
        <w:rPr>
          <w:sz w:val="24"/>
          <w:szCs w:val="24"/>
        </w:rPr>
        <w:t xml:space="preserve">in </w:t>
      </w:r>
      <w:r w:rsidR="00702631" w:rsidRPr="009D74AA">
        <w:rPr>
          <w:noProof/>
          <w:sz w:val="24"/>
          <w:szCs w:val="24"/>
        </w:rPr>
        <w:t>fact</w:t>
      </w:r>
      <w:r w:rsidR="00702631">
        <w:rPr>
          <w:sz w:val="24"/>
          <w:szCs w:val="24"/>
        </w:rPr>
        <w:t xml:space="preserve"> it seems more commonly underlying</w:t>
      </w:r>
      <w:r w:rsidR="00CC1636">
        <w:rPr>
          <w:sz w:val="24"/>
          <w:szCs w:val="24"/>
        </w:rPr>
        <w:t>, with reward taking a back seat</w:t>
      </w:r>
      <w:r w:rsidR="005904A6">
        <w:rPr>
          <w:sz w:val="24"/>
          <w:szCs w:val="24"/>
        </w:rPr>
        <w:t>.</w:t>
      </w:r>
      <w:r w:rsidR="00CF79D6">
        <w:rPr>
          <w:sz w:val="24"/>
          <w:szCs w:val="24"/>
        </w:rPr>
        <w:t xml:space="preserve"> In order to show this, where </w:t>
      </w:r>
      <w:r w:rsidR="00E62518">
        <w:rPr>
          <w:sz w:val="24"/>
          <w:szCs w:val="24"/>
        </w:rPr>
        <w:t>applicable</w:t>
      </w:r>
      <w:r w:rsidR="00CF79D6">
        <w:rPr>
          <w:sz w:val="24"/>
          <w:szCs w:val="24"/>
        </w:rPr>
        <w:t xml:space="preserve"> within my examples I will </w:t>
      </w:r>
      <w:r w:rsidR="0017579C">
        <w:rPr>
          <w:sz w:val="24"/>
          <w:szCs w:val="24"/>
        </w:rPr>
        <w:t xml:space="preserve">briefly state </w:t>
      </w:r>
      <w:r w:rsidR="00CF79D6">
        <w:rPr>
          <w:sz w:val="24"/>
          <w:szCs w:val="24"/>
        </w:rPr>
        <w:t>their reward structures, giving a</w:t>
      </w:r>
      <w:r w:rsidR="00E62518">
        <w:rPr>
          <w:sz w:val="24"/>
          <w:szCs w:val="24"/>
        </w:rPr>
        <w:t xml:space="preserve"> </w:t>
      </w:r>
      <w:r w:rsidR="0017579C">
        <w:rPr>
          <w:sz w:val="24"/>
          <w:szCs w:val="24"/>
        </w:rPr>
        <w:t>fleeting</w:t>
      </w:r>
      <w:r w:rsidR="00CF79D6">
        <w:rPr>
          <w:sz w:val="24"/>
          <w:szCs w:val="24"/>
        </w:rPr>
        <w:t xml:space="preserve"> idea as to how both </w:t>
      </w:r>
      <w:r w:rsidR="0017579C">
        <w:rPr>
          <w:sz w:val="24"/>
          <w:szCs w:val="24"/>
        </w:rPr>
        <w:t>can play a part in</w:t>
      </w:r>
      <w:r w:rsidR="00CF79D6">
        <w:rPr>
          <w:sz w:val="24"/>
          <w:szCs w:val="24"/>
        </w:rPr>
        <w:t xml:space="preserve"> maintain</w:t>
      </w:r>
      <w:r w:rsidR="0017579C">
        <w:rPr>
          <w:sz w:val="24"/>
          <w:szCs w:val="24"/>
        </w:rPr>
        <w:t>ing</w:t>
      </w:r>
      <w:r w:rsidR="00CF79D6">
        <w:rPr>
          <w:sz w:val="24"/>
          <w:szCs w:val="24"/>
        </w:rPr>
        <w:t xml:space="preserve"> order within a society.</w:t>
      </w:r>
      <w:r w:rsidR="0059159A">
        <w:rPr>
          <w:sz w:val="24"/>
          <w:szCs w:val="24"/>
        </w:rPr>
        <w:t xml:space="preserve"> Within the Mbuti I hope to show that fear of upsetting their environment</w:t>
      </w:r>
      <w:r w:rsidR="006E7081">
        <w:rPr>
          <w:sz w:val="24"/>
          <w:szCs w:val="24"/>
        </w:rPr>
        <w:t xml:space="preserve"> and being ridiculed by others</w:t>
      </w:r>
      <w:r w:rsidR="0059159A">
        <w:rPr>
          <w:sz w:val="24"/>
          <w:szCs w:val="24"/>
        </w:rPr>
        <w:t xml:space="preserve"> creates </w:t>
      </w:r>
      <w:r w:rsidR="00DC1995">
        <w:rPr>
          <w:sz w:val="24"/>
          <w:szCs w:val="24"/>
        </w:rPr>
        <w:t>social order</w:t>
      </w:r>
      <w:r w:rsidR="006E7081">
        <w:rPr>
          <w:sz w:val="24"/>
          <w:szCs w:val="24"/>
        </w:rPr>
        <w:t xml:space="preserve"> (Mosko, 1987; Turnbull, 1987; Turnbull, 1961)</w:t>
      </w:r>
      <w:r w:rsidR="0059159A">
        <w:rPr>
          <w:sz w:val="24"/>
          <w:szCs w:val="24"/>
        </w:rPr>
        <w:t>.</w:t>
      </w:r>
      <w:r w:rsidR="00146D12">
        <w:rPr>
          <w:sz w:val="24"/>
          <w:szCs w:val="24"/>
        </w:rPr>
        <w:t xml:space="preserve"> </w:t>
      </w:r>
      <w:r w:rsidR="002B213C">
        <w:rPr>
          <w:sz w:val="24"/>
          <w:szCs w:val="24"/>
        </w:rPr>
        <w:t>The Kogi also fear upsetting their enviro</w:t>
      </w:r>
      <w:r w:rsidR="002B213C" w:rsidRPr="009D74AA">
        <w:rPr>
          <w:noProof/>
          <w:sz w:val="24"/>
          <w:szCs w:val="24"/>
        </w:rPr>
        <w:t>nment</w:t>
      </w:r>
      <w:r w:rsidR="002B213C">
        <w:rPr>
          <w:sz w:val="24"/>
          <w:szCs w:val="24"/>
        </w:rPr>
        <w:t xml:space="preserve"> though with the added element of responsibility</w:t>
      </w:r>
      <w:r w:rsidR="009D74AA">
        <w:rPr>
          <w:sz w:val="24"/>
          <w:szCs w:val="24"/>
        </w:rPr>
        <w:t>,</w:t>
      </w:r>
      <w:r w:rsidR="002B213C">
        <w:rPr>
          <w:sz w:val="24"/>
          <w:szCs w:val="24"/>
        </w:rPr>
        <w:t xml:space="preserve"> as if their environment should die so might the world in its entirety (Ereira, 1990; Dodd, 1997). </w:t>
      </w:r>
      <w:r w:rsidR="00CC1636">
        <w:rPr>
          <w:sz w:val="24"/>
          <w:szCs w:val="24"/>
        </w:rPr>
        <w:t xml:space="preserve">The Sambia’s fear stems from a genetic disposition and a state of constant warfare, creating a unique social order (Herdt, 1986; Herdt, 1990; Herdt, 2003; Creed, 1984). </w:t>
      </w:r>
      <w:r w:rsidR="00ED7652">
        <w:rPr>
          <w:sz w:val="24"/>
          <w:szCs w:val="24"/>
        </w:rPr>
        <w:t>Finally,</w:t>
      </w:r>
      <w:r w:rsidR="00CC1636">
        <w:rPr>
          <w:sz w:val="24"/>
          <w:szCs w:val="24"/>
        </w:rPr>
        <w:t xml:space="preserve"> I will look at the Semai, who’s fear is simply of violence, however this creates a strict but peaceful social order (Denton, 2003; Denton, 2001; Edo et al, 2009)</w:t>
      </w:r>
      <w:r w:rsidR="006372F7">
        <w:rPr>
          <w:sz w:val="24"/>
          <w:szCs w:val="24"/>
        </w:rPr>
        <w:t>.</w:t>
      </w:r>
    </w:p>
    <w:p w:rsidR="00702631" w:rsidRDefault="00D220DA" w:rsidP="00EC4409">
      <w:pPr>
        <w:rPr>
          <w:sz w:val="24"/>
          <w:szCs w:val="24"/>
        </w:rPr>
      </w:pPr>
      <w:r>
        <w:rPr>
          <w:sz w:val="24"/>
          <w:szCs w:val="24"/>
        </w:rPr>
        <w:t xml:space="preserve">The Mbuti cosmology revolves around the forest, and the concept of wombs (Mosko, 1987). Each person lives within the </w:t>
      </w:r>
      <w:r w:rsidRPr="009D74AA">
        <w:rPr>
          <w:noProof/>
          <w:sz w:val="24"/>
          <w:szCs w:val="24"/>
        </w:rPr>
        <w:t>cent</w:t>
      </w:r>
      <w:r w:rsidR="009D74AA">
        <w:rPr>
          <w:noProof/>
          <w:sz w:val="24"/>
          <w:szCs w:val="24"/>
        </w:rPr>
        <w:t>er</w:t>
      </w:r>
      <w:r>
        <w:rPr>
          <w:sz w:val="24"/>
          <w:szCs w:val="24"/>
        </w:rPr>
        <w:t xml:space="preserve"> of their own “sphere” or “womb”, as people move around their sphere moves with them. </w:t>
      </w:r>
      <w:r w:rsidRPr="009D74AA">
        <w:rPr>
          <w:noProof/>
          <w:sz w:val="24"/>
          <w:szCs w:val="24"/>
        </w:rPr>
        <w:t>However</w:t>
      </w:r>
      <w:r w:rsidR="009D74AA">
        <w:rPr>
          <w:noProof/>
          <w:sz w:val="24"/>
          <w:szCs w:val="24"/>
        </w:rPr>
        <w:t>,</w:t>
      </w:r>
      <w:r>
        <w:rPr>
          <w:sz w:val="24"/>
          <w:szCs w:val="24"/>
        </w:rPr>
        <w:t xml:space="preserve"> if a person was to move too ferociously or too abruptly then they might reach the outer edge of their sphere before it has the chance to catch up with their movement. This is called </w:t>
      </w:r>
      <w:r w:rsidRPr="009D74AA">
        <w:rPr>
          <w:i/>
          <w:noProof/>
          <w:sz w:val="24"/>
          <w:szCs w:val="24"/>
        </w:rPr>
        <w:t>wazi</w:t>
      </w:r>
      <w:r>
        <w:rPr>
          <w:i/>
          <w:sz w:val="24"/>
          <w:szCs w:val="24"/>
        </w:rPr>
        <w:t>-</w:t>
      </w:r>
      <w:r w:rsidRPr="009D74AA">
        <w:rPr>
          <w:i/>
          <w:noProof/>
          <w:sz w:val="24"/>
          <w:szCs w:val="24"/>
        </w:rPr>
        <w:t>wazi</w:t>
      </w:r>
      <w:r>
        <w:rPr>
          <w:sz w:val="24"/>
          <w:szCs w:val="24"/>
        </w:rPr>
        <w:t xml:space="preserve">, where a person becomes confused and </w:t>
      </w:r>
      <w:r w:rsidR="00DC1995">
        <w:rPr>
          <w:sz w:val="24"/>
          <w:szCs w:val="24"/>
        </w:rPr>
        <w:t xml:space="preserve">volatile (Turnbull 1978: 166). If that person continues to move </w:t>
      </w:r>
      <w:r w:rsidR="00DC1995" w:rsidRPr="009D74AA">
        <w:rPr>
          <w:noProof/>
          <w:sz w:val="24"/>
          <w:szCs w:val="24"/>
        </w:rPr>
        <w:t>violently</w:t>
      </w:r>
      <w:r w:rsidR="00DC1995">
        <w:rPr>
          <w:sz w:val="24"/>
          <w:szCs w:val="24"/>
        </w:rPr>
        <w:t xml:space="preserve"> or becomes more violent still, then they risk breaking through their sp</w:t>
      </w:r>
      <w:r w:rsidR="00DC1995" w:rsidRPr="009D74AA">
        <w:rPr>
          <w:noProof/>
          <w:sz w:val="24"/>
          <w:szCs w:val="24"/>
        </w:rPr>
        <w:t>here an</w:t>
      </w:r>
      <w:r w:rsidR="00DC1995">
        <w:rPr>
          <w:sz w:val="24"/>
          <w:szCs w:val="24"/>
        </w:rPr>
        <w:t xml:space="preserve">d into the other world (Turnbull 1978: 166). This is one way in which the Mbuti maintain order, as the fear of being </w:t>
      </w:r>
      <w:r w:rsidR="00DC1995" w:rsidRPr="009D74AA">
        <w:rPr>
          <w:i/>
          <w:noProof/>
          <w:sz w:val="24"/>
          <w:szCs w:val="24"/>
        </w:rPr>
        <w:t>wazi</w:t>
      </w:r>
      <w:r w:rsidR="00DC1995">
        <w:rPr>
          <w:i/>
          <w:sz w:val="24"/>
          <w:szCs w:val="24"/>
        </w:rPr>
        <w:t>-</w:t>
      </w:r>
      <w:r w:rsidR="00DC1995" w:rsidRPr="009D74AA">
        <w:rPr>
          <w:i/>
          <w:noProof/>
          <w:sz w:val="24"/>
          <w:szCs w:val="24"/>
        </w:rPr>
        <w:t>wazi</w:t>
      </w:r>
      <w:r w:rsidR="00DC1995">
        <w:t xml:space="preserve"> </w:t>
      </w:r>
      <w:r w:rsidR="00DC1995" w:rsidRPr="009F53E2">
        <w:rPr>
          <w:sz w:val="24"/>
          <w:szCs w:val="24"/>
        </w:rPr>
        <w:t xml:space="preserve">or breaking through to the other world causes them to move peacefully and calmly through life. </w:t>
      </w:r>
      <w:r w:rsidR="003F32CC">
        <w:rPr>
          <w:sz w:val="24"/>
          <w:szCs w:val="24"/>
        </w:rPr>
        <w:t xml:space="preserve">As Turnbull (1961: 114) states </w:t>
      </w:r>
      <w:r w:rsidR="00F029ED">
        <w:rPr>
          <w:sz w:val="24"/>
          <w:szCs w:val="24"/>
        </w:rPr>
        <w:t xml:space="preserve">ostracism is also used within the Mbuti, though more from fear of being ostracised as opposed to the act itself. The Mbuti show concern towards attitudes of disapproval and </w:t>
      </w:r>
      <w:r w:rsidR="000A7923" w:rsidRPr="000A7923">
        <w:rPr>
          <w:sz w:val="24"/>
          <w:szCs w:val="24"/>
        </w:rPr>
        <w:t>ridicule (Turnbull 1961:114)</w:t>
      </w:r>
      <w:r w:rsidR="000A7923">
        <w:rPr>
          <w:sz w:val="24"/>
          <w:szCs w:val="24"/>
        </w:rPr>
        <w:t xml:space="preserve">, so these are used as a form of ostracism. Disapproval is shown by ignoring a </w:t>
      </w:r>
      <w:r w:rsidR="000A7923" w:rsidRPr="009D74AA">
        <w:rPr>
          <w:noProof/>
          <w:sz w:val="24"/>
          <w:szCs w:val="24"/>
        </w:rPr>
        <w:t>pers</w:t>
      </w:r>
      <w:r w:rsidR="009D74AA">
        <w:rPr>
          <w:noProof/>
          <w:sz w:val="24"/>
          <w:szCs w:val="24"/>
        </w:rPr>
        <w:t>o</w:t>
      </w:r>
      <w:r w:rsidR="009D74AA" w:rsidRPr="009D74AA">
        <w:rPr>
          <w:noProof/>
          <w:sz w:val="24"/>
          <w:szCs w:val="24"/>
        </w:rPr>
        <w:t>n</w:t>
      </w:r>
      <w:r w:rsidR="009D74AA">
        <w:rPr>
          <w:sz w:val="24"/>
          <w:szCs w:val="24"/>
        </w:rPr>
        <w:t xml:space="preserve"> </w:t>
      </w:r>
      <w:r w:rsidR="000A7923" w:rsidRPr="009D74AA">
        <w:rPr>
          <w:noProof/>
          <w:sz w:val="24"/>
          <w:szCs w:val="24"/>
        </w:rPr>
        <w:t>for</w:t>
      </w:r>
      <w:r w:rsidR="000A7923">
        <w:rPr>
          <w:sz w:val="24"/>
          <w:szCs w:val="24"/>
        </w:rPr>
        <w:t xml:space="preserve"> a short amount of time, </w:t>
      </w:r>
      <w:r w:rsidR="000A7923" w:rsidRPr="009D74AA">
        <w:rPr>
          <w:noProof/>
          <w:sz w:val="24"/>
          <w:szCs w:val="24"/>
        </w:rPr>
        <w:t>however</w:t>
      </w:r>
      <w:r w:rsidR="009D74AA">
        <w:rPr>
          <w:noProof/>
          <w:sz w:val="24"/>
          <w:szCs w:val="24"/>
        </w:rPr>
        <w:t>,</w:t>
      </w:r>
      <w:r w:rsidR="000A7923">
        <w:rPr>
          <w:sz w:val="24"/>
          <w:szCs w:val="24"/>
        </w:rPr>
        <w:t xml:space="preserve"> ridicule seems to be more effective whereby their usual sense of </w:t>
      </w:r>
      <w:r w:rsidR="000A7923" w:rsidRPr="009D74AA">
        <w:rPr>
          <w:noProof/>
          <w:sz w:val="24"/>
          <w:szCs w:val="24"/>
        </w:rPr>
        <w:t>humour</w:t>
      </w:r>
      <w:r w:rsidR="000A7923">
        <w:rPr>
          <w:sz w:val="24"/>
          <w:szCs w:val="24"/>
        </w:rPr>
        <w:t xml:space="preserve"> is flipped and used as a form of punishment (Turnbull 1961:114). </w:t>
      </w:r>
      <w:r w:rsidR="006E7081">
        <w:rPr>
          <w:sz w:val="24"/>
          <w:szCs w:val="24"/>
        </w:rPr>
        <w:t>What we can derive from this is that the fear of repercussion is in itself enough to maintain social order.</w:t>
      </w:r>
    </w:p>
    <w:p w:rsidR="002B213C" w:rsidRDefault="001227DA" w:rsidP="00EC4409">
      <w:pPr>
        <w:rPr>
          <w:sz w:val="24"/>
        </w:rPr>
      </w:pPr>
      <w:r w:rsidRPr="00372328">
        <w:rPr>
          <w:sz w:val="24"/>
          <w:szCs w:val="24"/>
        </w:rPr>
        <w:t xml:space="preserve">The Kogi </w:t>
      </w:r>
      <w:r w:rsidR="009B2FB5" w:rsidRPr="00372328">
        <w:rPr>
          <w:sz w:val="24"/>
          <w:szCs w:val="24"/>
        </w:rPr>
        <w:t xml:space="preserve">culture </w:t>
      </w:r>
      <w:r w:rsidR="00ED7652" w:rsidRPr="00372328">
        <w:rPr>
          <w:sz w:val="24"/>
          <w:szCs w:val="24"/>
        </w:rPr>
        <w:t>centres</w:t>
      </w:r>
      <w:r w:rsidR="009B2FB5" w:rsidRPr="00372328">
        <w:rPr>
          <w:sz w:val="24"/>
          <w:szCs w:val="24"/>
        </w:rPr>
        <w:t xml:space="preserve"> around the belief that they live within the heart of the world. They believe that the mother “did not only create the physical </w:t>
      </w:r>
      <w:r w:rsidR="009B2FB5" w:rsidRPr="009D74AA">
        <w:rPr>
          <w:noProof/>
          <w:sz w:val="24"/>
          <w:szCs w:val="24"/>
        </w:rPr>
        <w:t>worl</w:t>
      </w:r>
      <w:r w:rsidR="009D74AA" w:rsidRPr="009D74AA">
        <w:rPr>
          <w:noProof/>
          <w:sz w:val="24"/>
          <w:szCs w:val="24"/>
        </w:rPr>
        <w:t>d</w:t>
      </w:r>
      <w:r w:rsidR="009B2FB5" w:rsidRPr="009D74AA">
        <w:rPr>
          <w:noProof/>
          <w:sz w:val="24"/>
          <w:szCs w:val="24"/>
        </w:rPr>
        <w:t>,</w:t>
      </w:r>
      <w:r w:rsidR="009B2FB5" w:rsidRPr="00372328">
        <w:rPr>
          <w:sz w:val="24"/>
          <w:szCs w:val="24"/>
        </w:rPr>
        <w:t xml:space="preserve"> but also shaped and peopled </w:t>
      </w:r>
      <w:r w:rsidR="009B2FB5" w:rsidRPr="009D74AA">
        <w:rPr>
          <w:i/>
          <w:noProof/>
          <w:sz w:val="24"/>
          <w:szCs w:val="24"/>
        </w:rPr>
        <w:t>aluna</w:t>
      </w:r>
      <w:r w:rsidR="009B2FB5" w:rsidRPr="00372328">
        <w:rPr>
          <w:i/>
          <w:sz w:val="24"/>
          <w:szCs w:val="24"/>
        </w:rPr>
        <w:t xml:space="preserve">, </w:t>
      </w:r>
      <w:r w:rsidR="009B2FB5" w:rsidRPr="00372328">
        <w:rPr>
          <w:sz w:val="24"/>
          <w:szCs w:val="24"/>
        </w:rPr>
        <w:t xml:space="preserve">creating a mother and father for everything that exists” (Ereira, 1990: 88). </w:t>
      </w:r>
      <w:r w:rsidR="009B2FB5" w:rsidRPr="00372328">
        <w:rPr>
          <w:i/>
          <w:sz w:val="24"/>
          <w:szCs w:val="24"/>
        </w:rPr>
        <w:t xml:space="preserve">Aluna </w:t>
      </w:r>
      <w:r w:rsidR="009B2FB5" w:rsidRPr="00372328">
        <w:rPr>
          <w:sz w:val="24"/>
          <w:szCs w:val="24"/>
        </w:rPr>
        <w:t xml:space="preserve">contains everything that is past, present and future, it is intelligence, and it makes birth and growth possible (Ereira, 1990: 116). The world in their cosmology was created from the Sierra </w:t>
      </w:r>
      <w:r w:rsidR="00926735">
        <w:rPr>
          <w:sz w:val="24"/>
          <w:szCs w:val="24"/>
        </w:rPr>
        <w:t xml:space="preserve">Nevada </w:t>
      </w:r>
      <w:r w:rsidR="009B2FB5" w:rsidRPr="00372328">
        <w:rPr>
          <w:sz w:val="24"/>
          <w:szCs w:val="24"/>
        </w:rPr>
        <w:t xml:space="preserve">in which they live, this is where the mother began weaving the rest of the world bringing meaning to why they call it the Heart of the World (Ereira, 1990:117). They call themselves the Elder brother and we are the Younger </w:t>
      </w:r>
      <w:r w:rsidR="009B2FB5" w:rsidRPr="009D74AA">
        <w:rPr>
          <w:noProof/>
          <w:sz w:val="24"/>
          <w:szCs w:val="24"/>
        </w:rPr>
        <w:t>brother</w:t>
      </w:r>
      <w:r w:rsidR="009D74AA">
        <w:rPr>
          <w:noProof/>
          <w:sz w:val="24"/>
          <w:szCs w:val="24"/>
        </w:rPr>
        <w:t>s</w:t>
      </w:r>
      <w:r w:rsidR="009B2FB5" w:rsidRPr="00372328">
        <w:rPr>
          <w:sz w:val="24"/>
          <w:szCs w:val="24"/>
        </w:rPr>
        <w:t xml:space="preserve">, as such we were </w:t>
      </w:r>
      <w:r w:rsidR="009B2FB5" w:rsidRPr="00372328">
        <w:rPr>
          <w:sz w:val="24"/>
          <w:szCs w:val="24"/>
        </w:rPr>
        <w:lastRenderedPageBreak/>
        <w:t xml:space="preserve">created much later (Ereira, 1990: 118). </w:t>
      </w:r>
      <w:r w:rsidR="00372328" w:rsidRPr="00372328">
        <w:rPr>
          <w:sz w:val="24"/>
          <w:szCs w:val="24"/>
        </w:rPr>
        <w:t>It is the duty of the Elder brother to care for the heart of the world and everything, both spiritual and material, within it (Ereira, 1990:119)</w:t>
      </w:r>
      <w:r w:rsidR="00372328" w:rsidRPr="009D74AA">
        <w:rPr>
          <w:noProof/>
          <w:sz w:val="24"/>
          <w:szCs w:val="24"/>
        </w:rPr>
        <w:t>.</w:t>
      </w:r>
      <w:r w:rsidR="009D74AA">
        <w:rPr>
          <w:noProof/>
          <w:sz w:val="24"/>
          <w:szCs w:val="24"/>
        </w:rPr>
        <w:t xml:space="preserve"> </w:t>
      </w:r>
      <w:r w:rsidR="00372328" w:rsidRPr="009D74AA">
        <w:rPr>
          <w:noProof/>
          <w:sz w:val="24"/>
          <w:szCs w:val="24"/>
        </w:rPr>
        <w:t>They</w:t>
      </w:r>
      <w:r w:rsidR="00372328" w:rsidRPr="00372328">
        <w:rPr>
          <w:sz w:val="24"/>
          <w:szCs w:val="24"/>
        </w:rPr>
        <w:t xml:space="preserve"> believe that if work is not fully thought through then this can cause unknown </w:t>
      </w:r>
      <w:r w:rsidR="00372328">
        <w:rPr>
          <w:sz w:val="24"/>
          <w:szCs w:val="24"/>
        </w:rPr>
        <w:t xml:space="preserve">consequences and the “health of the world will be disturbed” (Ereira, 1990:125). </w:t>
      </w:r>
      <w:r w:rsidR="00146D12">
        <w:rPr>
          <w:sz w:val="24"/>
          <w:szCs w:val="24"/>
        </w:rPr>
        <w:t xml:space="preserve">Everything has a spirit form, and every action has an effect within the material world and the spirit world (Ereira, 1990:63). The Kogi </w:t>
      </w:r>
      <w:r w:rsidR="00146D12" w:rsidRPr="00146D12">
        <w:rPr>
          <w:i/>
          <w:sz w:val="24"/>
          <w:szCs w:val="24"/>
        </w:rPr>
        <w:t xml:space="preserve">mamas </w:t>
      </w:r>
      <w:r w:rsidR="00146D12" w:rsidRPr="00146D12">
        <w:rPr>
          <w:sz w:val="24"/>
          <w:szCs w:val="24"/>
        </w:rPr>
        <w:t xml:space="preserve">govern their </w:t>
      </w:r>
      <w:r w:rsidR="00146D12" w:rsidRPr="009D74AA">
        <w:rPr>
          <w:noProof/>
          <w:sz w:val="24"/>
          <w:szCs w:val="24"/>
        </w:rPr>
        <w:t>world</w:t>
      </w:r>
      <w:r w:rsidR="00146D12" w:rsidRPr="00146D12">
        <w:rPr>
          <w:sz w:val="24"/>
          <w:szCs w:val="24"/>
        </w:rPr>
        <w:t xml:space="preserve"> and are “masters of the Law of the Mother” (Ereira, 1990:52) giv</w:t>
      </w:r>
      <w:r w:rsidR="00146D12">
        <w:rPr>
          <w:sz w:val="24"/>
          <w:szCs w:val="24"/>
        </w:rPr>
        <w:t>ing</w:t>
      </w:r>
      <w:r w:rsidR="00146D12" w:rsidRPr="00146D12">
        <w:rPr>
          <w:sz w:val="24"/>
          <w:szCs w:val="24"/>
        </w:rPr>
        <w:t xml:space="preserve"> guidance on the correct way to live.</w:t>
      </w:r>
      <w:r w:rsidR="00146D12">
        <w:t xml:space="preserve"> </w:t>
      </w:r>
      <w:r w:rsidR="00146D12">
        <w:rPr>
          <w:sz w:val="24"/>
        </w:rPr>
        <w:t xml:space="preserve">From this belief system stems an underlying fear and responsibility to protect the Earth. If there were to be </w:t>
      </w:r>
      <w:r w:rsidR="009D74AA">
        <w:rPr>
          <w:sz w:val="24"/>
        </w:rPr>
        <w:t xml:space="preserve">an </w:t>
      </w:r>
      <w:r w:rsidR="00146D12" w:rsidRPr="009D74AA">
        <w:rPr>
          <w:noProof/>
          <w:sz w:val="24"/>
        </w:rPr>
        <w:t>uproar</w:t>
      </w:r>
      <w:r w:rsidR="00146D12">
        <w:rPr>
          <w:sz w:val="24"/>
        </w:rPr>
        <w:t xml:space="preserve"> within their society then the heart of the world could fall into ill health, perhaps even leading to death. As the Elder brother, if they do not take care of the world then there will be no one else to do it, and </w:t>
      </w:r>
      <w:r w:rsidR="002B213C">
        <w:rPr>
          <w:sz w:val="24"/>
        </w:rPr>
        <w:t xml:space="preserve">so “the earth remains </w:t>
      </w:r>
      <w:r w:rsidR="002B213C" w:rsidRPr="009D74AA">
        <w:rPr>
          <w:noProof/>
          <w:sz w:val="24"/>
        </w:rPr>
        <w:t>honored</w:t>
      </w:r>
      <w:r w:rsidR="002B213C">
        <w:rPr>
          <w:sz w:val="24"/>
        </w:rPr>
        <w:t xml:space="preserve"> in daily life” (Dodd, </w:t>
      </w:r>
      <w:r w:rsidR="002B213C" w:rsidRPr="009D74AA">
        <w:rPr>
          <w:noProof/>
          <w:sz w:val="24"/>
        </w:rPr>
        <w:t>1997</w:t>
      </w:r>
      <w:r w:rsidR="009D74AA">
        <w:rPr>
          <w:noProof/>
          <w:sz w:val="24"/>
        </w:rPr>
        <w:t xml:space="preserve">: </w:t>
      </w:r>
      <w:r w:rsidR="002B213C">
        <w:rPr>
          <w:sz w:val="24"/>
        </w:rPr>
        <w:t>85).</w:t>
      </w:r>
    </w:p>
    <w:p w:rsidR="00767077" w:rsidRPr="0078700B" w:rsidRDefault="00767077" w:rsidP="00EC4409">
      <w:pPr>
        <w:rPr>
          <w:sz w:val="24"/>
        </w:rPr>
      </w:pPr>
      <w:r>
        <w:rPr>
          <w:sz w:val="24"/>
        </w:rPr>
        <w:t xml:space="preserve">Within </w:t>
      </w:r>
      <w:r w:rsidRPr="009D74AA">
        <w:rPr>
          <w:noProof/>
          <w:sz w:val="24"/>
        </w:rPr>
        <w:t>Sambia</w:t>
      </w:r>
      <w:r>
        <w:rPr>
          <w:sz w:val="24"/>
        </w:rPr>
        <w:t xml:space="preserve"> </w:t>
      </w:r>
      <w:r w:rsidR="00D76296">
        <w:rPr>
          <w:sz w:val="24"/>
        </w:rPr>
        <w:t xml:space="preserve">culture fear is especially prominent. </w:t>
      </w:r>
      <w:r w:rsidR="00E62518">
        <w:rPr>
          <w:sz w:val="24"/>
        </w:rPr>
        <w:t>This appears to stem</w:t>
      </w:r>
      <w:r w:rsidR="00402E6C">
        <w:rPr>
          <w:sz w:val="24"/>
        </w:rPr>
        <w:t xml:space="preserve">, in part, </w:t>
      </w:r>
      <w:r w:rsidR="00E62518">
        <w:rPr>
          <w:sz w:val="24"/>
        </w:rPr>
        <w:t xml:space="preserve">from a genetic predisposition to </w:t>
      </w:r>
      <w:r w:rsidR="00E62518" w:rsidRPr="00E62518">
        <w:rPr>
          <w:sz w:val="24"/>
        </w:rPr>
        <w:t>5-alpha reductase deficiency</w:t>
      </w:r>
      <w:r w:rsidR="00E62518">
        <w:rPr>
          <w:sz w:val="24"/>
        </w:rPr>
        <w:t xml:space="preserve">, a rare form of hermaphroditism (Herdt, 1990). They regard this as a “sad and mysterious quirk” (Herdt, 1990:439), though it is subtly ridiculed it is not however </w:t>
      </w:r>
      <w:r w:rsidR="0078700B">
        <w:rPr>
          <w:sz w:val="24"/>
        </w:rPr>
        <w:t xml:space="preserve">excluded from daily society. This can even be seen within the </w:t>
      </w:r>
      <w:r w:rsidR="0078700B" w:rsidRPr="009D74AA">
        <w:rPr>
          <w:noProof/>
          <w:sz w:val="24"/>
        </w:rPr>
        <w:t>myth</w:t>
      </w:r>
      <w:r w:rsidR="009D74AA">
        <w:rPr>
          <w:noProof/>
          <w:sz w:val="24"/>
        </w:rPr>
        <w:t>o</w:t>
      </w:r>
      <w:r w:rsidR="0078700B" w:rsidRPr="009D74AA">
        <w:rPr>
          <w:noProof/>
          <w:sz w:val="24"/>
        </w:rPr>
        <w:t>logical</w:t>
      </w:r>
      <w:r w:rsidR="0078700B">
        <w:rPr>
          <w:sz w:val="24"/>
        </w:rPr>
        <w:t xml:space="preserve"> story of their original ancestor, </w:t>
      </w:r>
      <w:r w:rsidR="0078700B">
        <w:rPr>
          <w:i/>
          <w:sz w:val="24"/>
        </w:rPr>
        <w:t>numboolyu</w:t>
      </w:r>
      <w:r w:rsidR="0078700B">
        <w:rPr>
          <w:sz w:val="24"/>
        </w:rPr>
        <w:t xml:space="preserve">, and his counterpart </w:t>
      </w:r>
      <w:r w:rsidR="0078700B">
        <w:rPr>
          <w:i/>
          <w:sz w:val="24"/>
        </w:rPr>
        <w:t>Chemchi</w:t>
      </w:r>
      <w:r w:rsidR="0078700B">
        <w:rPr>
          <w:sz w:val="24"/>
        </w:rPr>
        <w:t xml:space="preserve">. Both of these ancestors were hermaphrodites, having both breasts and a penis, though </w:t>
      </w:r>
      <w:r w:rsidR="0078700B">
        <w:rPr>
          <w:i/>
          <w:sz w:val="24"/>
        </w:rPr>
        <w:t xml:space="preserve">numboolyu </w:t>
      </w:r>
      <w:r w:rsidR="00402E6C">
        <w:rPr>
          <w:sz w:val="24"/>
        </w:rPr>
        <w:t>through fellatio managed to transition to being a male and thus became the male role model for all Sambian’s (Herdt 2006:120). Due to this genetic disposition, there is a fear that females or hermaphrodites will become sexually dominant (Herdt, 1990:441). The component of their society that really forces them to fear is that they are in a</w:t>
      </w:r>
      <w:r w:rsidR="009D74AA">
        <w:rPr>
          <w:sz w:val="24"/>
        </w:rPr>
        <w:t>n incessant state of warfare (Herdt, 2006:138).</w:t>
      </w:r>
      <w:r w:rsidR="00926735">
        <w:rPr>
          <w:sz w:val="24"/>
        </w:rPr>
        <w:t xml:space="preserve"> </w:t>
      </w:r>
      <w:proofErr w:type="gramStart"/>
      <w:r w:rsidR="00AB6AC9">
        <w:rPr>
          <w:sz w:val="24"/>
        </w:rPr>
        <w:t>In order to</w:t>
      </w:r>
      <w:proofErr w:type="gramEnd"/>
      <w:r w:rsidR="00AB6AC9">
        <w:rPr>
          <w:sz w:val="24"/>
        </w:rPr>
        <w:t xml:space="preserve"> deal with this</w:t>
      </w:r>
      <w:r w:rsidR="00ED7652">
        <w:rPr>
          <w:sz w:val="24"/>
        </w:rPr>
        <w:t>,</w:t>
      </w:r>
      <w:r w:rsidR="00AB6AC9">
        <w:rPr>
          <w:sz w:val="24"/>
        </w:rPr>
        <w:t xml:space="preserve"> males must become warriors and undergo a brutal and harrowing ritual (Herdt, 1986:162)</w:t>
      </w:r>
      <w:r w:rsidR="0017579C">
        <w:rPr>
          <w:sz w:val="24"/>
        </w:rPr>
        <w:t>, though once they have completed this ritual they are rewarded with being able to marry, and thus have children (Creed, 1984)</w:t>
      </w:r>
      <w:r w:rsidR="00AB6AC9">
        <w:rPr>
          <w:sz w:val="24"/>
        </w:rPr>
        <w:t xml:space="preserve">. Within this ritual, associations with the deity story can be found, and a high importance on becoming masculine is prevalent throughout (Herdt, 1986:162-163). From this we can extrapolate that fear of having a lack of men, and thus a lack of warriors, is a terrifying prospect to the Sambia, for without warriors they could be wiped out. Social order is brought about through this fear by </w:t>
      </w:r>
      <w:r w:rsidR="0017579C">
        <w:rPr>
          <w:sz w:val="24"/>
        </w:rPr>
        <w:t xml:space="preserve">completely separating men and women, even having gendered pathways (Herdt, 2003:77) and specific gender roles being particularly prevalent. </w:t>
      </w:r>
    </w:p>
    <w:p w:rsidR="002B213C" w:rsidRDefault="00ED7652" w:rsidP="00EC4409">
      <w:pPr>
        <w:rPr>
          <w:sz w:val="24"/>
          <w:szCs w:val="24"/>
        </w:rPr>
      </w:pPr>
      <w:r>
        <w:rPr>
          <w:sz w:val="24"/>
          <w:szCs w:val="24"/>
        </w:rPr>
        <w:t>Lastly,</w:t>
      </w:r>
      <w:r w:rsidR="00732EE5">
        <w:rPr>
          <w:sz w:val="24"/>
          <w:szCs w:val="24"/>
        </w:rPr>
        <w:t xml:space="preserve"> I will look at the Semai, a non-violent and peaceful people</w:t>
      </w:r>
      <w:r w:rsidR="001370A3">
        <w:rPr>
          <w:sz w:val="24"/>
          <w:szCs w:val="24"/>
        </w:rPr>
        <w:t>. Violence, especially killing is extremely rare within the Semai (</w:t>
      </w:r>
      <w:r w:rsidR="00E9035C">
        <w:rPr>
          <w:sz w:val="24"/>
          <w:szCs w:val="24"/>
        </w:rPr>
        <w:t xml:space="preserve">Dentan, 2003), they say it is “better to be cautious than to be brave” (Dentan, 2003:170). </w:t>
      </w:r>
      <w:r w:rsidR="00954D17">
        <w:rPr>
          <w:sz w:val="24"/>
          <w:szCs w:val="24"/>
        </w:rPr>
        <w:t>Traditionally they live in an egalitarian society, working at sustaining peace, sharing and cooperating with one another (Edo Et Al, 2009).</w:t>
      </w:r>
      <w:r w:rsidR="00B64FAC">
        <w:rPr>
          <w:sz w:val="24"/>
          <w:szCs w:val="24"/>
        </w:rPr>
        <w:t xml:space="preserve"> Many stories are told </w:t>
      </w:r>
      <w:r>
        <w:rPr>
          <w:sz w:val="24"/>
          <w:szCs w:val="24"/>
        </w:rPr>
        <w:t>to</w:t>
      </w:r>
      <w:r w:rsidR="00B64FAC">
        <w:rPr>
          <w:sz w:val="24"/>
          <w:szCs w:val="24"/>
        </w:rPr>
        <w:t xml:space="preserve"> instil fear into children, this is to make sure that they fear strangers and can continue in traditional values (</w:t>
      </w:r>
      <w:r w:rsidR="00661D46">
        <w:rPr>
          <w:sz w:val="24"/>
          <w:szCs w:val="24"/>
        </w:rPr>
        <w:t xml:space="preserve">Dentan, 2001). They </w:t>
      </w:r>
      <w:r>
        <w:rPr>
          <w:sz w:val="24"/>
          <w:szCs w:val="24"/>
        </w:rPr>
        <w:t>believe</w:t>
      </w:r>
      <w:r w:rsidR="00661D46">
        <w:rPr>
          <w:sz w:val="24"/>
          <w:szCs w:val="24"/>
        </w:rPr>
        <w:t xml:space="preserve"> that “counterviolence is useless; one just gets hurt again” (Dentan, 2003:173). They do however recognise that conflict will arise on occasion, the way in which they deal with it is usually to bend to the conflict or flee </w:t>
      </w:r>
      <w:r w:rsidR="00661D46">
        <w:rPr>
          <w:sz w:val="24"/>
          <w:szCs w:val="24"/>
        </w:rPr>
        <w:lastRenderedPageBreak/>
        <w:t xml:space="preserve">from it (Dentan, 2003). </w:t>
      </w:r>
      <w:r w:rsidR="00B73E33">
        <w:rPr>
          <w:sz w:val="24"/>
          <w:szCs w:val="24"/>
        </w:rPr>
        <w:t xml:space="preserve">The Semai seem to fear the world as they believe it is filled with danger and therefore their survival relies on keeping violence to a minimum and cooperating with one another to their full ability (Dentan, </w:t>
      </w:r>
      <w:r w:rsidR="00CC1636">
        <w:rPr>
          <w:sz w:val="24"/>
          <w:szCs w:val="24"/>
        </w:rPr>
        <w:t>2003</w:t>
      </w:r>
      <w:r w:rsidR="00B73E33">
        <w:rPr>
          <w:sz w:val="24"/>
          <w:szCs w:val="24"/>
        </w:rPr>
        <w:t>). From this brief insight into the Semai we can deduce that the fear of violence and danger within the world models their daily lives, the</w:t>
      </w:r>
      <w:r w:rsidR="00BF4D67">
        <w:rPr>
          <w:sz w:val="24"/>
          <w:szCs w:val="24"/>
        </w:rPr>
        <w:t>y</w:t>
      </w:r>
      <w:r w:rsidR="00B73E33">
        <w:rPr>
          <w:sz w:val="24"/>
          <w:szCs w:val="24"/>
        </w:rPr>
        <w:t xml:space="preserve"> must work to sustain peace (Edo Et Al, </w:t>
      </w:r>
      <w:r w:rsidR="00CC1636">
        <w:rPr>
          <w:sz w:val="24"/>
          <w:szCs w:val="24"/>
        </w:rPr>
        <w:t>2009).</w:t>
      </w:r>
    </w:p>
    <w:p w:rsidR="001566BB" w:rsidRDefault="00CC1636" w:rsidP="006E7081">
      <w:pPr>
        <w:rPr>
          <w:sz w:val="24"/>
          <w:szCs w:val="24"/>
        </w:rPr>
      </w:pPr>
      <w:r>
        <w:rPr>
          <w:sz w:val="24"/>
          <w:szCs w:val="24"/>
        </w:rPr>
        <w:t xml:space="preserve">In conclusion, we can see that although fear is not always at the forefront of social control mechanisms it does always appear to be present. </w:t>
      </w:r>
      <w:r w:rsidRPr="00CC1636">
        <w:rPr>
          <w:sz w:val="24"/>
          <w:szCs w:val="24"/>
        </w:rPr>
        <w:t>A noticeable point is</w:t>
      </w:r>
      <w:r w:rsidRPr="00CC1636">
        <w:rPr>
          <w:sz w:val="24"/>
          <w:szCs w:val="24"/>
        </w:rPr>
        <w:t xml:space="preserve"> that fear as a control mechanism is far more prominent than reward and leaves you to wonder whether fear is a more effective method than reward, or perhaps it could leave you to consider whether fear is simply easier</w:t>
      </w:r>
      <w:r w:rsidRPr="00CC1636">
        <w:rPr>
          <w:sz w:val="24"/>
          <w:szCs w:val="24"/>
        </w:rPr>
        <w:t xml:space="preserve"> to put into practice. Fear comes in various forms, but within these examples emerges as the root of control.</w:t>
      </w:r>
    </w:p>
    <w:p w:rsidR="001566BB" w:rsidRDefault="001566BB" w:rsidP="006E7081">
      <w:pPr>
        <w:rPr>
          <w:b/>
          <w:sz w:val="24"/>
          <w:szCs w:val="24"/>
          <w:u w:val="single"/>
        </w:rPr>
      </w:pPr>
      <w:r>
        <w:rPr>
          <w:b/>
          <w:sz w:val="24"/>
          <w:szCs w:val="24"/>
          <w:u w:val="single"/>
        </w:rPr>
        <w:t>References</w:t>
      </w:r>
    </w:p>
    <w:p w:rsidR="008E11D5" w:rsidRDefault="008E11D5" w:rsidP="008E11D5">
      <w:pPr>
        <w:rPr>
          <w:sz w:val="24"/>
          <w:szCs w:val="24"/>
        </w:rPr>
      </w:pPr>
      <w:r w:rsidRPr="006372F7">
        <w:rPr>
          <w:sz w:val="24"/>
          <w:szCs w:val="24"/>
        </w:rPr>
        <w:t xml:space="preserve">Creed, G. (1984) “Sexual Subordination: Institutionalized Homosexuality and Social Control in Melanesia”, </w:t>
      </w:r>
      <w:r w:rsidRPr="006372F7">
        <w:rPr>
          <w:i/>
          <w:sz w:val="24"/>
          <w:szCs w:val="24"/>
        </w:rPr>
        <w:t xml:space="preserve">Ethnology. </w:t>
      </w:r>
      <w:r w:rsidRPr="006372F7">
        <w:rPr>
          <w:sz w:val="24"/>
          <w:szCs w:val="24"/>
        </w:rPr>
        <w:t>Vol 23, No 3: Pages 157-176</w:t>
      </w:r>
    </w:p>
    <w:p w:rsidR="008E11D5" w:rsidRDefault="008E11D5" w:rsidP="008E11D5">
      <w:pPr>
        <w:spacing w:line="480" w:lineRule="auto"/>
        <w:rPr>
          <w:sz w:val="24"/>
          <w:szCs w:val="24"/>
        </w:rPr>
      </w:pPr>
      <w:r>
        <w:rPr>
          <w:sz w:val="24"/>
          <w:szCs w:val="24"/>
        </w:rPr>
        <w:t xml:space="preserve">Dentan, R. (2001) “Ambivalences in child training by the Semai of peninsular Malaysia and other peoples”, </w:t>
      </w:r>
      <w:r>
        <w:rPr>
          <w:i/>
          <w:sz w:val="24"/>
          <w:szCs w:val="24"/>
        </w:rPr>
        <w:t xml:space="preserve">Crossroads: An interdisciplinary journal of southwest Asian studies. </w:t>
      </w:r>
      <w:r>
        <w:rPr>
          <w:sz w:val="24"/>
          <w:szCs w:val="24"/>
        </w:rPr>
        <w:t>Vol15, No 1, P89-129</w:t>
      </w:r>
    </w:p>
    <w:p w:rsidR="008E11D5" w:rsidRPr="006372F7" w:rsidRDefault="008E11D5" w:rsidP="008E11D5">
      <w:pPr>
        <w:spacing w:line="480" w:lineRule="auto"/>
        <w:rPr>
          <w:sz w:val="24"/>
          <w:szCs w:val="24"/>
        </w:rPr>
      </w:pPr>
      <w:r>
        <w:rPr>
          <w:sz w:val="24"/>
          <w:szCs w:val="24"/>
        </w:rPr>
        <w:t xml:space="preserve">Dentan, R. (2003) “Cautious, Alert, Polite and Elusive: The Semai of Central Peninsular Malaysia” </w:t>
      </w:r>
      <w:r>
        <w:rPr>
          <w:i/>
          <w:sz w:val="24"/>
          <w:szCs w:val="24"/>
        </w:rPr>
        <w:t xml:space="preserve">Keeping the Peace: Conflict Resolution and Peaceful Societies Around the World. </w:t>
      </w:r>
      <w:r>
        <w:rPr>
          <w:sz w:val="24"/>
          <w:szCs w:val="24"/>
        </w:rPr>
        <w:t>New York: Routledge</w:t>
      </w:r>
    </w:p>
    <w:p w:rsidR="008E11D5" w:rsidRDefault="008E11D5" w:rsidP="008E11D5">
      <w:pPr>
        <w:rPr>
          <w:i/>
          <w:sz w:val="24"/>
          <w:szCs w:val="24"/>
        </w:rPr>
      </w:pPr>
      <w:r w:rsidRPr="006372F7">
        <w:rPr>
          <w:sz w:val="24"/>
          <w:szCs w:val="24"/>
        </w:rPr>
        <w:t xml:space="preserve">Dodd, E. (1997) </w:t>
      </w:r>
      <w:r w:rsidRPr="006372F7">
        <w:rPr>
          <w:i/>
          <w:sz w:val="24"/>
          <w:szCs w:val="24"/>
        </w:rPr>
        <w:t>The Mamas and the Papas: Goddess Worship, the Kogi Indians, and Ecofeminism</w:t>
      </w:r>
    </w:p>
    <w:p w:rsidR="008E11D5" w:rsidRPr="008E11D5" w:rsidRDefault="008E11D5" w:rsidP="008E11D5">
      <w:pPr>
        <w:spacing w:line="480" w:lineRule="auto"/>
        <w:rPr>
          <w:sz w:val="24"/>
          <w:szCs w:val="24"/>
        </w:rPr>
      </w:pPr>
      <w:r>
        <w:rPr>
          <w:sz w:val="24"/>
          <w:szCs w:val="24"/>
        </w:rPr>
        <w:t xml:space="preserve">Edo, J and Williams-Hunt, A and Dentan, R. (2009) “Surrender, peacekeeping and internal colonialism”, </w:t>
      </w:r>
      <w:proofErr w:type="spellStart"/>
      <w:r>
        <w:rPr>
          <w:i/>
          <w:sz w:val="24"/>
          <w:szCs w:val="24"/>
        </w:rPr>
        <w:t>Bijdragen</w:t>
      </w:r>
      <w:proofErr w:type="spellEnd"/>
      <w:r>
        <w:rPr>
          <w:i/>
          <w:sz w:val="24"/>
          <w:szCs w:val="24"/>
        </w:rPr>
        <w:t xml:space="preserve"> to de </w:t>
      </w:r>
      <w:proofErr w:type="spellStart"/>
      <w:r>
        <w:rPr>
          <w:i/>
          <w:sz w:val="24"/>
          <w:szCs w:val="24"/>
        </w:rPr>
        <w:t>Taal</w:t>
      </w:r>
      <w:proofErr w:type="spellEnd"/>
      <w:r>
        <w:rPr>
          <w:i/>
          <w:sz w:val="24"/>
          <w:szCs w:val="24"/>
        </w:rPr>
        <w:t xml:space="preserve">-, Land- </w:t>
      </w:r>
      <w:proofErr w:type="spellStart"/>
      <w:r>
        <w:rPr>
          <w:i/>
          <w:sz w:val="24"/>
          <w:szCs w:val="24"/>
        </w:rPr>
        <w:t>en</w:t>
      </w:r>
      <w:proofErr w:type="spellEnd"/>
      <w:r>
        <w:rPr>
          <w:i/>
          <w:sz w:val="24"/>
          <w:szCs w:val="24"/>
        </w:rPr>
        <w:t xml:space="preserve"> </w:t>
      </w:r>
      <w:proofErr w:type="spellStart"/>
      <w:r>
        <w:rPr>
          <w:i/>
          <w:sz w:val="24"/>
          <w:szCs w:val="24"/>
        </w:rPr>
        <w:t>Volkenkunde</w:t>
      </w:r>
      <w:proofErr w:type="spellEnd"/>
      <w:r>
        <w:rPr>
          <w:i/>
          <w:sz w:val="24"/>
          <w:szCs w:val="24"/>
        </w:rPr>
        <w:t xml:space="preserve">. </w:t>
      </w:r>
      <w:r>
        <w:rPr>
          <w:sz w:val="24"/>
          <w:szCs w:val="24"/>
        </w:rPr>
        <w:t>Vol 165, No 2-3, P215-240</w:t>
      </w:r>
    </w:p>
    <w:p w:rsidR="008E11D5" w:rsidRPr="006372F7" w:rsidRDefault="008E11D5" w:rsidP="008E11D5">
      <w:pPr>
        <w:rPr>
          <w:sz w:val="24"/>
          <w:szCs w:val="24"/>
        </w:rPr>
      </w:pPr>
      <w:r w:rsidRPr="006372F7">
        <w:rPr>
          <w:sz w:val="24"/>
          <w:szCs w:val="24"/>
        </w:rPr>
        <w:t xml:space="preserve">Ereira, A. (1990) </w:t>
      </w:r>
      <w:r w:rsidRPr="006372F7">
        <w:rPr>
          <w:i/>
          <w:sz w:val="24"/>
          <w:szCs w:val="24"/>
        </w:rPr>
        <w:t>The Heart of the World</w:t>
      </w:r>
      <w:r w:rsidRPr="006372F7">
        <w:rPr>
          <w:sz w:val="24"/>
          <w:szCs w:val="24"/>
        </w:rPr>
        <w:t>. London: Butler and Tanner LTD</w:t>
      </w:r>
    </w:p>
    <w:p w:rsidR="009E3932" w:rsidRDefault="009E3932" w:rsidP="009E3932">
      <w:pPr>
        <w:spacing w:line="480" w:lineRule="auto"/>
        <w:rPr>
          <w:sz w:val="24"/>
          <w:szCs w:val="24"/>
        </w:rPr>
      </w:pPr>
      <w:r w:rsidRPr="006372F7">
        <w:rPr>
          <w:sz w:val="24"/>
          <w:szCs w:val="24"/>
        </w:rPr>
        <w:t xml:space="preserve">Herdt, G. (1986) “Aspects of Socialization for Aggression in Sambia Ritual and Warfare”, </w:t>
      </w:r>
      <w:r w:rsidRPr="006372F7">
        <w:rPr>
          <w:i/>
          <w:sz w:val="24"/>
          <w:szCs w:val="24"/>
        </w:rPr>
        <w:t xml:space="preserve">Anthropological Quarterly. </w:t>
      </w:r>
      <w:r w:rsidRPr="006372F7">
        <w:rPr>
          <w:sz w:val="24"/>
          <w:szCs w:val="24"/>
        </w:rPr>
        <w:t>Vol 59, No 4, P160-164&amp;200-204</w:t>
      </w:r>
    </w:p>
    <w:p w:rsidR="009E3932" w:rsidRDefault="009E3932" w:rsidP="009E3932">
      <w:pPr>
        <w:rPr>
          <w:sz w:val="24"/>
          <w:szCs w:val="24"/>
        </w:rPr>
      </w:pPr>
      <w:r w:rsidRPr="006372F7">
        <w:rPr>
          <w:sz w:val="24"/>
          <w:szCs w:val="24"/>
        </w:rPr>
        <w:lastRenderedPageBreak/>
        <w:t xml:space="preserve">Herdt, G. (1990) “Mistaken Gender: 5-Alpha Reductase Hermaphroditism and Biological Reductionism in Sexual Identity Reconsidered”, </w:t>
      </w:r>
      <w:r w:rsidRPr="006372F7">
        <w:rPr>
          <w:i/>
          <w:sz w:val="24"/>
          <w:szCs w:val="24"/>
        </w:rPr>
        <w:t xml:space="preserve">American Anthropologist. </w:t>
      </w:r>
      <w:r w:rsidRPr="006372F7">
        <w:rPr>
          <w:sz w:val="24"/>
          <w:szCs w:val="24"/>
        </w:rPr>
        <w:t>Vol 92, No 2, P433-446</w:t>
      </w:r>
    </w:p>
    <w:p w:rsidR="009E3932" w:rsidRPr="006372F7" w:rsidRDefault="009E3932" w:rsidP="009E3932">
      <w:pPr>
        <w:rPr>
          <w:sz w:val="24"/>
          <w:szCs w:val="24"/>
        </w:rPr>
      </w:pPr>
      <w:r w:rsidRPr="006372F7">
        <w:rPr>
          <w:sz w:val="24"/>
          <w:szCs w:val="24"/>
        </w:rPr>
        <w:t xml:space="preserve">Herdt, G. (2003) </w:t>
      </w:r>
      <w:r w:rsidRPr="006372F7">
        <w:rPr>
          <w:i/>
          <w:sz w:val="24"/>
          <w:szCs w:val="24"/>
        </w:rPr>
        <w:t xml:space="preserve">Secrecy and Cultural Reality: Utopian Ideologies of the New Guinea Men’s House. </w:t>
      </w:r>
      <w:r w:rsidRPr="006372F7">
        <w:rPr>
          <w:sz w:val="24"/>
          <w:szCs w:val="24"/>
        </w:rPr>
        <w:t>University of Michigan: University of Michigan Press</w:t>
      </w:r>
    </w:p>
    <w:p w:rsidR="009E3932" w:rsidRPr="006372F7" w:rsidRDefault="009E3932" w:rsidP="009E3932">
      <w:pPr>
        <w:rPr>
          <w:sz w:val="24"/>
          <w:szCs w:val="24"/>
        </w:rPr>
      </w:pPr>
      <w:r w:rsidRPr="006372F7">
        <w:rPr>
          <w:sz w:val="24"/>
          <w:szCs w:val="24"/>
        </w:rPr>
        <w:t xml:space="preserve">Herdt, G. (2006) </w:t>
      </w:r>
      <w:r w:rsidRPr="006372F7">
        <w:rPr>
          <w:i/>
          <w:sz w:val="24"/>
          <w:szCs w:val="24"/>
        </w:rPr>
        <w:t xml:space="preserve">The Sambia: Ritual, Sexuality </w:t>
      </w:r>
      <w:r w:rsidRPr="006372F7">
        <w:rPr>
          <w:i/>
          <w:noProof/>
          <w:sz w:val="24"/>
          <w:szCs w:val="24"/>
        </w:rPr>
        <w:t>and</w:t>
      </w:r>
      <w:r w:rsidRPr="006372F7">
        <w:rPr>
          <w:i/>
          <w:sz w:val="24"/>
          <w:szCs w:val="24"/>
        </w:rPr>
        <w:t xml:space="preserve"> Change in Papua New Guinea. </w:t>
      </w:r>
      <w:r w:rsidRPr="006372F7">
        <w:rPr>
          <w:sz w:val="24"/>
          <w:szCs w:val="24"/>
        </w:rPr>
        <w:t>San Francisco: Wadsworth Centage Learning</w:t>
      </w:r>
    </w:p>
    <w:p w:rsidR="009E3932" w:rsidRPr="006372F7" w:rsidRDefault="009E3932" w:rsidP="009E3932">
      <w:pPr>
        <w:rPr>
          <w:sz w:val="24"/>
          <w:szCs w:val="24"/>
        </w:rPr>
      </w:pPr>
      <w:r w:rsidRPr="006372F7">
        <w:rPr>
          <w:sz w:val="24"/>
          <w:szCs w:val="24"/>
        </w:rPr>
        <w:t xml:space="preserve">Mosko, M. (1987) “Symbols of Forest”, </w:t>
      </w:r>
      <w:r w:rsidRPr="006372F7">
        <w:rPr>
          <w:i/>
          <w:sz w:val="24"/>
          <w:szCs w:val="24"/>
        </w:rPr>
        <w:t xml:space="preserve">American Anthropologist. </w:t>
      </w:r>
      <w:r w:rsidRPr="006372F7">
        <w:rPr>
          <w:sz w:val="24"/>
          <w:szCs w:val="24"/>
        </w:rPr>
        <w:t>Vol 89, No 4, P896-913</w:t>
      </w:r>
    </w:p>
    <w:p w:rsidR="009E3932" w:rsidRDefault="009E3932" w:rsidP="00EC4409">
      <w:pPr>
        <w:rPr>
          <w:sz w:val="24"/>
          <w:szCs w:val="24"/>
        </w:rPr>
      </w:pPr>
      <w:r w:rsidRPr="006372F7">
        <w:rPr>
          <w:sz w:val="24"/>
          <w:szCs w:val="24"/>
        </w:rPr>
        <w:t xml:space="preserve">Turnbull, C. (1961) </w:t>
      </w:r>
      <w:r w:rsidRPr="006372F7">
        <w:rPr>
          <w:i/>
          <w:sz w:val="24"/>
          <w:szCs w:val="24"/>
        </w:rPr>
        <w:t xml:space="preserve">The Forest People. </w:t>
      </w:r>
      <w:r w:rsidRPr="006372F7">
        <w:rPr>
          <w:sz w:val="24"/>
          <w:szCs w:val="24"/>
        </w:rPr>
        <w:t>USA: Simon and Schuster</w:t>
      </w:r>
      <w:bookmarkStart w:id="0" w:name="_GoBack"/>
      <w:bookmarkEnd w:id="0"/>
    </w:p>
    <w:p w:rsidR="006E7081" w:rsidRPr="006372F7" w:rsidRDefault="001566BB" w:rsidP="00EC4409">
      <w:pPr>
        <w:rPr>
          <w:sz w:val="24"/>
          <w:szCs w:val="24"/>
        </w:rPr>
      </w:pPr>
      <w:r w:rsidRPr="006372F7">
        <w:rPr>
          <w:sz w:val="24"/>
          <w:szCs w:val="24"/>
        </w:rPr>
        <w:t xml:space="preserve">Turnbull, C (1978) The Politics of Non-aggression. In Learning Non-aggression: The Experiences of </w:t>
      </w:r>
      <w:r w:rsidRPr="006372F7">
        <w:rPr>
          <w:noProof/>
          <w:sz w:val="24"/>
          <w:szCs w:val="24"/>
        </w:rPr>
        <w:t>Non literate</w:t>
      </w:r>
      <w:r w:rsidRPr="006372F7">
        <w:rPr>
          <w:sz w:val="24"/>
          <w:szCs w:val="24"/>
        </w:rPr>
        <w:t xml:space="preserve"> Societies. A. Montague, ed. Pp. 161-221. New York: Oxford University Press</w:t>
      </w:r>
    </w:p>
    <w:p w:rsidR="00E44E32" w:rsidRPr="006372F7" w:rsidRDefault="00E44E32" w:rsidP="00E44E32">
      <w:pPr>
        <w:rPr>
          <w:sz w:val="24"/>
          <w:szCs w:val="24"/>
        </w:rPr>
      </w:pPr>
    </w:p>
    <w:sectPr w:rsidR="00E44E32" w:rsidRPr="006372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Y3NTEwNzU3MTY0tTBT0lEKTi0uzszPAykwrgUAJ3pMCywAAAA="/>
  </w:docVars>
  <w:rsids>
    <w:rsidRoot w:val="00EC4409"/>
    <w:rsid w:val="000A7923"/>
    <w:rsid w:val="001227DA"/>
    <w:rsid w:val="001370A3"/>
    <w:rsid w:val="00146D12"/>
    <w:rsid w:val="001566BB"/>
    <w:rsid w:val="0017579C"/>
    <w:rsid w:val="001918DC"/>
    <w:rsid w:val="002B213C"/>
    <w:rsid w:val="00372328"/>
    <w:rsid w:val="003F32CC"/>
    <w:rsid w:val="00402E6C"/>
    <w:rsid w:val="00421304"/>
    <w:rsid w:val="004C5C1A"/>
    <w:rsid w:val="005904A6"/>
    <w:rsid w:val="0059159A"/>
    <w:rsid w:val="006372F7"/>
    <w:rsid w:val="00661D46"/>
    <w:rsid w:val="00675218"/>
    <w:rsid w:val="00682D56"/>
    <w:rsid w:val="006E7081"/>
    <w:rsid w:val="00702631"/>
    <w:rsid w:val="00732EE5"/>
    <w:rsid w:val="007572CE"/>
    <w:rsid w:val="00767077"/>
    <w:rsid w:val="0078700B"/>
    <w:rsid w:val="008E11D5"/>
    <w:rsid w:val="00926735"/>
    <w:rsid w:val="00954D17"/>
    <w:rsid w:val="009B2FB5"/>
    <w:rsid w:val="009D74AA"/>
    <w:rsid w:val="009E3932"/>
    <w:rsid w:val="009F53E2"/>
    <w:rsid w:val="00AB6AC9"/>
    <w:rsid w:val="00B64FAC"/>
    <w:rsid w:val="00B73E33"/>
    <w:rsid w:val="00B770AE"/>
    <w:rsid w:val="00BF4D67"/>
    <w:rsid w:val="00CC1636"/>
    <w:rsid w:val="00CF79D6"/>
    <w:rsid w:val="00D220DA"/>
    <w:rsid w:val="00D76296"/>
    <w:rsid w:val="00DB28EA"/>
    <w:rsid w:val="00DC1995"/>
    <w:rsid w:val="00E44E32"/>
    <w:rsid w:val="00E62518"/>
    <w:rsid w:val="00E82916"/>
    <w:rsid w:val="00E9035C"/>
    <w:rsid w:val="00EC4409"/>
    <w:rsid w:val="00ED7652"/>
    <w:rsid w:val="00F02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742A1"/>
  <w15:chartTrackingRefBased/>
  <w15:docId w15:val="{351BF16E-C24B-4CFA-AC7D-9015FF475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372F7"/>
    <w:rPr>
      <w:b/>
      <w:bCs/>
    </w:rPr>
  </w:style>
  <w:style w:type="character" w:styleId="Emphasis">
    <w:name w:val="Emphasis"/>
    <w:basedOn w:val="DefaultParagraphFont"/>
    <w:uiPriority w:val="20"/>
    <w:qFormat/>
    <w:rsid w:val="006372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624926">
      <w:bodyDiv w:val="1"/>
      <w:marLeft w:val="0"/>
      <w:marRight w:val="0"/>
      <w:marTop w:val="0"/>
      <w:marBottom w:val="0"/>
      <w:divBdr>
        <w:top w:val="none" w:sz="0" w:space="0" w:color="auto"/>
        <w:left w:val="none" w:sz="0" w:space="0" w:color="auto"/>
        <w:bottom w:val="none" w:sz="0" w:space="0" w:color="auto"/>
        <w:right w:val="none" w:sz="0" w:space="0" w:color="auto"/>
      </w:divBdr>
    </w:div>
    <w:div w:id="706028390">
      <w:bodyDiv w:val="1"/>
      <w:marLeft w:val="0"/>
      <w:marRight w:val="0"/>
      <w:marTop w:val="0"/>
      <w:marBottom w:val="0"/>
      <w:divBdr>
        <w:top w:val="none" w:sz="0" w:space="0" w:color="auto"/>
        <w:left w:val="none" w:sz="0" w:space="0" w:color="auto"/>
        <w:bottom w:val="none" w:sz="0" w:space="0" w:color="auto"/>
        <w:right w:val="none" w:sz="0" w:space="0" w:color="auto"/>
      </w:divBdr>
    </w:div>
    <w:div w:id="211616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1EC1F-AFF0-4364-8339-564DFB133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4</Pages>
  <Words>1433</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Evans (1802313)</dc:creator>
  <cp:keywords/>
  <dc:description/>
  <cp:lastModifiedBy>Jessica Evans (1802313)</cp:lastModifiedBy>
  <cp:revision>9</cp:revision>
  <dcterms:created xsi:type="dcterms:W3CDTF">2018-10-11T17:53:00Z</dcterms:created>
  <dcterms:modified xsi:type="dcterms:W3CDTF">2018-10-12T19:26:00Z</dcterms:modified>
</cp:coreProperties>
</file>