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1F1772" w14:textId="77777777" w:rsidR="006D39D7" w:rsidRPr="003161B9" w:rsidRDefault="00351F2E" w:rsidP="00351F2E">
      <w:pPr>
        <w:jc w:val="center"/>
        <w:rPr>
          <w:u w:val="single"/>
        </w:rPr>
      </w:pPr>
      <w:r w:rsidRPr="003161B9">
        <w:rPr>
          <w:u w:val="single"/>
        </w:rPr>
        <w:t>Would you identify the Athenian or the Spartan strategy as more successful in the Peloponnesian War (431 – 404 BCE)</w:t>
      </w:r>
    </w:p>
    <w:p w14:paraId="672A6659" w14:textId="77777777" w:rsidR="00351F2E" w:rsidRPr="003161B9" w:rsidRDefault="00351F2E" w:rsidP="00351F2E">
      <w:pPr>
        <w:jc w:val="center"/>
        <w:rPr>
          <w:u w:val="single"/>
        </w:rPr>
      </w:pPr>
    </w:p>
    <w:p w14:paraId="33FE6C65" w14:textId="61071843" w:rsidR="00351F2E" w:rsidRPr="003161B9" w:rsidRDefault="004C5085" w:rsidP="00351F2E">
      <w:r w:rsidRPr="003161B9">
        <w:t>The Peloponnesian War was a period of twenty-seven years and was</w:t>
      </w:r>
      <w:r w:rsidR="003617A9" w:rsidRPr="003161B9">
        <w:t xml:space="preserve"> fought between Sparta and its allies, known as the Peloponnesian League,</w:t>
      </w:r>
      <w:r w:rsidR="003617A9" w:rsidRPr="003161B9">
        <w:rPr>
          <w:rStyle w:val="FootnoteReference"/>
        </w:rPr>
        <w:footnoteReference w:id="1"/>
      </w:r>
      <w:r w:rsidRPr="003161B9">
        <w:t xml:space="preserve"> </w:t>
      </w:r>
      <w:r w:rsidR="003617A9" w:rsidRPr="003161B9">
        <w:t>against the Delian League</w:t>
      </w:r>
      <w:r w:rsidR="004C0271" w:rsidRPr="003161B9">
        <w:t xml:space="preserve"> (Athens and its allies).</w:t>
      </w:r>
      <w:r w:rsidR="00A81110" w:rsidRPr="003161B9">
        <w:rPr>
          <w:rStyle w:val="FootnoteReference"/>
        </w:rPr>
        <w:footnoteReference w:id="2"/>
      </w:r>
      <w:r w:rsidR="004C0271" w:rsidRPr="003161B9">
        <w:t xml:space="preserve"> </w:t>
      </w:r>
      <w:r w:rsidR="00A81110" w:rsidRPr="003161B9">
        <w:t>The cause for the Peloponnesian War, in Thucydides’ eyes, was Athens rise in power that threatened Sparta's dominance.</w:t>
      </w:r>
      <w:r w:rsidR="00A81110" w:rsidRPr="003161B9">
        <w:rPr>
          <w:rStyle w:val="FootnoteReference"/>
        </w:rPr>
        <w:footnoteReference w:id="3"/>
      </w:r>
      <w:r w:rsidR="00A81110" w:rsidRPr="003161B9">
        <w:t xml:space="preserve"> </w:t>
      </w:r>
      <w:r w:rsidR="004C0271" w:rsidRPr="003161B9">
        <w:t xml:space="preserve">The Peloponnesian War can be </w:t>
      </w:r>
      <w:r w:rsidRPr="003161B9">
        <w:t>split up into three parts. The first phase of the war is known as the Archidamian War which lasted from 431 BC to 421 BC. This period was then followed by the Peace of Nikias which lasted until 413 BC, when war broke out again</w:t>
      </w:r>
      <w:r w:rsidR="003617A9" w:rsidRPr="003161B9">
        <w:t>. The final phase of the war is known as the Decelean War which ended in 404 BC with Sparta</w:t>
      </w:r>
      <w:r w:rsidR="004C0271" w:rsidRPr="003161B9">
        <w:t xml:space="preserve"> and its alli</w:t>
      </w:r>
      <w:r w:rsidR="003617A9" w:rsidRPr="003161B9">
        <w:t xml:space="preserve">es coming out of the war victorious.  </w:t>
      </w:r>
    </w:p>
    <w:p w14:paraId="110ACE49" w14:textId="75FD995A" w:rsidR="004C0271" w:rsidRPr="003161B9" w:rsidRDefault="66CE6A1D" w:rsidP="00351F2E">
      <w:r w:rsidRPr="003161B9">
        <w:t>Th</w:t>
      </w:r>
      <w:r w:rsidR="003161B9">
        <w:t>is Essay will argue that th</w:t>
      </w:r>
      <w:r w:rsidRPr="003161B9">
        <w:t xml:space="preserve">e Athenian strategy during the first part of the war can be seen as the more successful of the Peloponnesian War as the Archidamian War ended with Sparta agreeing to a peace treaty. This can be seen as Sparta effectively losing the first part of the war as they were put in a position where they had to agree to a peace treaty with Athens. However, it is during the Peace of Nikias and the Decelean War where Spartan strategic skills, combined with Athens' failings, sees Sparta’s strategy as more successful in the Peloponnesian War. </w:t>
      </w:r>
    </w:p>
    <w:p w14:paraId="2CA8ADEA" w14:textId="6A2D6C85" w:rsidR="007C15CA" w:rsidRPr="003161B9" w:rsidRDefault="00666DAC" w:rsidP="00351F2E">
      <w:r w:rsidRPr="003161B9">
        <w:t>The Spartan</w:t>
      </w:r>
      <w:r w:rsidR="00A81110" w:rsidRPr="003161B9">
        <w:t xml:space="preserve"> main strategy in the Archidamian War was to </w:t>
      </w:r>
      <w:r w:rsidRPr="003161B9">
        <w:t>starve Athens into surrendering. They did this by yearly attacks on Attika which sought to destroy Athenian crops.</w:t>
      </w:r>
      <w:r w:rsidRPr="003161B9">
        <w:rPr>
          <w:rStyle w:val="FootnoteReference"/>
        </w:rPr>
        <w:footnoteReference w:id="4"/>
      </w:r>
      <w:r w:rsidR="000C1D6A" w:rsidRPr="003161B9">
        <w:t xml:space="preserve"> Another strategy of Sparta was to play against Athens' weakness and engage in more land battles with Athens, rather than sea battles (where Athens were stronger),'s as Sparta's land army was notably stronger than Athens' land army.</w:t>
      </w:r>
      <w:r w:rsidR="000C1D6A" w:rsidRPr="003161B9">
        <w:rPr>
          <w:rStyle w:val="FootnoteReference"/>
        </w:rPr>
        <w:footnoteReference w:id="5"/>
      </w:r>
      <w:r w:rsidR="000C1D6A" w:rsidRPr="003161B9">
        <w:t xml:space="preserve">   </w:t>
      </w:r>
    </w:p>
    <w:p w14:paraId="6B8C0D73" w14:textId="0267E131" w:rsidR="000C1D6A" w:rsidRPr="003161B9" w:rsidRDefault="000C1D6A" w:rsidP="00351F2E">
      <w:r w:rsidRPr="003161B9">
        <w:t xml:space="preserve">Athens main strategy in the Archidamian war was to follow the advice of one of their Athenian generals, Perikles, </w:t>
      </w:r>
      <w:r w:rsidR="00583DE9" w:rsidRPr="003161B9">
        <w:t>who suggested that Athens ignore the attacks on Attika and instead use the Athenian fleet to invade the Peloponnese.</w:t>
      </w:r>
      <w:r w:rsidR="00504D68" w:rsidRPr="003161B9">
        <w:rPr>
          <w:rStyle w:val="FootnoteReference"/>
        </w:rPr>
        <w:footnoteReference w:id="6"/>
      </w:r>
      <w:r w:rsidR="00583DE9" w:rsidRPr="003161B9">
        <w:t xml:space="preserve">  </w:t>
      </w:r>
    </w:p>
    <w:p w14:paraId="4F4BA7D5" w14:textId="7403FB57" w:rsidR="00DF232C" w:rsidRPr="003161B9" w:rsidRDefault="00351A73" w:rsidP="00351F2E">
      <w:r w:rsidRPr="003161B9">
        <w:t>Before the</w:t>
      </w:r>
      <w:r w:rsidR="00BA77AB" w:rsidRPr="003161B9">
        <w:t xml:space="preserve"> war had even begun, Athens were making strategic moves in their power expansion that would enable them to have the upper hand over Sparta when war broke out. </w:t>
      </w:r>
      <w:r w:rsidRPr="003161B9">
        <w:t>This can be seen in 435 BC where Athens becomes involved in a conflict between Corinth and Corcyra, in which Athens sides with the Corcyraeans.</w:t>
      </w:r>
      <w:r w:rsidRPr="003161B9">
        <w:rPr>
          <w:rStyle w:val="FootnoteReference"/>
        </w:rPr>
        <w:footnoteReference w:id="7"/>
      </w:r>
      <w:r w:rsidRPr="003161B9">
        <w:t xml:space="preserve"> By siding with Corcyra, Athens granted itself the support of the second biggest naval power after itself, meaning that the Corcyraeans would not side wi</w:t>
      </w:r>
      <w:r w:rsidR="00DF232C" w:rsidRPr="003161B9">
        <w:t>th Sparta</w:t>
      </w:r>
      <w:r w:rsidR="0005456A" w:rsidRPr="003161B9">
        <w:t xml:space="preserve"> in the Peloponnesian War because if they had, it would have</w:t>
      </w:r>
      <w:r w:rsidR="00DF232C" w:rsidRPr="003161B9">
        <w:t xml:space="preserve"> potentially given Sparta a naval army to match that of Athens. </w:t>
      </w:r>
    </w:p>
    <w:p w14:paraId="025F4800" w14:textId="77777777" w:rsidR="00CE0F71" w:rsidRPr="003161B9" w:rsidRDefault="00CE0F71" w:rsidP="00351F2E">
      <w:r w:rsidRPr="003161B9">
        <w:t>Athens a year into the war (430 BC) made a tactical move to create an alliance with Akarnania.</w:t>
      </w:r>
      <w:r w:rsidR="00070F18" w:rsidRPr="003161B9">
        <w:rPr>
          <w:rStyle w:val="FootnoteReference"/>
        </w:rPr>
        <w:footnoteReference w:id="8"/>
      </w:r>
      <w:r w:rsidRPr="003161B9">
        <w:t xml:space="preserve"> </w:t>
      </w:r>
      <w:r w:rsidR="00070F18" w:rsidRPr="003161B9">
        <w:t xml:space="preserve">By creating </w:t>
      </w:r>
      <w:r w:rsidR="002306EF" w:rsidRPr="003161B9">
        <w:t xml:space="preserve">the </w:t>
      </w:r>
      <w:r w:rsidR="00070F18" w:rsidRPr="003161B9">
        <w:t>alliance with Akarnania,</w:t>
      </w:r>
      <w:r w:rsidR="002306EF" w:rsidRPr="003161B9">
        <w:t xml:space="preserve"> bearing in mind</w:t>
      </w:r>
      <w:r w:rsidR="00070F18" w:rsidRPr="003161B9">
        <w:t xml:space="preserve"> the </w:t>
      </w:r>
      <w:r w:rsidR="002306EF" w:rsidRPr="003161B9">
        <w:t>alliances Athens already held, it</w:t>
      </w:r>
      <w:r w:rsidR="00070F18" w:rsidRPr="003161B9">
        <w:t xml:space="preserve"> provided Athens with a strong Geographic position to prevent supplies and support from the west getting to the Peloponnese. </w:t>
      </w:r>
    </w:p>
    <w:p w14:paraId="48EADE45" w14:textId="6F7BF104" w:rsidR="00244FB9" w:rsidRPr="003161B9" w:rsidRDefault="00244FB9" w:rsidP="00351F2E">
      <w:r w:rsidRPr="003161B9">
        <w:lastRenderedPageBreak/>
        <w:t>Sparta's yearly attack on Attika from the onset seems like a great strategic move that would cause Athens a great deal of harm. However, within the first ten years of</w:t>
      </w:r>
      <w:r w:rsidR="00140B9E" w:rsidRPr="003161B9">
        <w:t xml:space="preserve"> the</w:t>
      </w:r>
      <w:r w:rsidRPr="003161B9">
        <w:t xml:space="preserve"> conflict (the Archidamian War) Spartan forces only spent </w:t>
      </w:r>
      <w:r w:rsidR="00140B9E" w:rsidRPr="003161B9">
        <w:t>one hundred and twenty days invading and destroying crops in Attika.</w:t>
      </w:r>
      <w:r w:rsidR="00140B9E" w:rsidRPr="003161B9">
        <w:rPr>
          <w:rStyle w:val="FootnoteReference"/>
        </w:rPr>
        <w:footnoteReference w:id="9"/>
      </w:r>
      <w:r w:rsidR="003900F4" w:rsidRPr="003161B9">
        <w:t xml:space="preserve"> One of the causes for Sparta not invading Attika more frequently was because of the plague that hit Athens</w:t>
      </w:r>
      <w:r w:rsidR="005F4D52" w:rsidRPr="003161B9">
        <w:rPr>
          <w:rStyle w:val="FootnoteReference"/>
        </w:rPr>
        <w:footnoteReference w:id="10"/>
      </w:r>
      <w:r w:rsidR="003900F4" w:rsidRPr="003161B9">
        <w:t xml:space="preserve"> </w:t>
      </w:r>
      <w:r w:rsidR="005F4D52" w:rsidRPr="003161B9">
        <w:t xml:space="preserve">in 430 BC and lasted until 427 BC. Sparta, of course, would not have wanted to invade during this period in fear that their soldiers would catch the plague themselves. </w:t>
      </w:r>
    </w:p>
    <w:p w14:paraId="0C89AA70" w14:textId="4EA57B2F" w:rsidR="005F4D52" w:rsidRPr="003161B9" w:rsidRDefault="048FA94C" w:rsidP="00351F2E">
      <w:r w:rsidRPr="003161B9">
        <w:t>More strategical moves made by Sparta during this time period can be seen by Sparta inciting the Mytilenean revolt,</w:t>
      </w:r>
      <w:r w:rsidR="00B63939">
        <w:rPr>
          <w:rStyle w:val="FootnoteReference"/>
        </w:rPr>
        <w:footnoteReference w:id="11"/>
      </w:r>
      <w:r w:rsidRPr="003161B9">
        <w:t xml:space="preserve"> the taking Plataia and the founding of the colony at Herakleia. The Mytilenean revolt in 428 BC was a good strategic move by Sparta as Sparta was able to convince one of Athens allies to revolt. The revolt meant that Athens attention was taken away momentarily from its conflict with Sparta to deal with the revolt. However, Sparta's slow response to help Mytileneans in their revolt meant that Athens were able to take control of the revolt and maintain support of their allies.</w:t>
      </w:r>
      <w:r w:rsidR="00B63939">
        <w:rPr>
          <w:rStyle w:val="FootnoteReference"/>
        </w:rPr>
        <w:footnoteReference w:id="12"/>
      </w:r>
      <w:r w:rsidRPr="003161B9">
        <w:t xml:space="preserve"> </w:t>
      </w:r>
    </w:p>
    <w:p w14:paraId="76C356FB" w14:textId="773AE052" w:rsidR="001328CB" w:rsidRPr="003161B9" w:rsidRDefault="0049339A" w:rsidP="00351F2E">
      <w:r w:rsidRPr="003161B9">
        <w:t>In 429 BC Sparta encourages the Plataeans to join their side,</w:t>
      </w:r>
      <w:r w:rsidRPr="003161B9">
        <w:rPr>
          <w:rStyle w:val="FootnoteReference"/>
        </w:rPr>
        <w:footnoteReference w:id="13"/>
      </w:r>
      <w:r w:rsidRPr="003161B9">
        <w:t xml:space="preserve"> however, the Plataeans refused, staying loyal to Athens</w:t>
      </w:r>
      <w:r w:rsidRPr="003161B9">
        <w:rPr>
          <w:rStyle w:val="FootnoteReference"/>
        </w:rPr>
        <w:footnoteReference w:id="14"/>
      </w:r>
      <w:r w:rsidRPr="003161B9">
        <w:t xml:space="preserve"> which in turn resulted in Sparta and its allies besieging Plataia for two years. </w:t>
      </w:r>
      <w:r w:rsidR="00CE0A93" w:rsidRPr="003161B9">
        <w:t>This was a tactical move by Sparta as by taking Plataia, Sparta was able to maintain the support of Thebes,</w:t>
      </w:r>
      <w:r w:rsidR="00F34900" w:rsidRPr="003161B9">
        <w:rPr>
          <w:rStyle w:val="FootnoteReference"/>
        </w:rPr>
        <w:footnoteReference w:id="15"/>
      </w:r>
      <w:r w:rsidR="00CE0A93" w:rsidRPr="003161B9">
        <w:t xml:space="preserve"> a city that had already tried to take Plataia in 431 BC but failed.</w:t>
      </w:r>
      <w:r w:rsidR="00CE0A93" w:rsidRPr="003161B9">
        <w:rPr>
          <w:rStyle w:val="FootnoteReference"/>
        </w:rPr>
        <w:footnoteReference w:id="16"/>
      </w:r>
      <w:r w:rsidR="00F34900" w:rsidRPr="003161B9">
        <w:t xml:space="preserve"> </w:t>
      </w:r>
      <w:r w:rsidR="006C6E3B" w:rsidRPr="003161B9">
        <w:t>This was also a strategic move because thanks to the peace treaty of Nicias, Plataia never went back into the hands of Athens but stayed under the control of Thebes.</w:t>
      </w:r>
      <w:r w:rsidR="006C6E3B" w:rsidRPr="003161B9">
        <w:rPr>
          <w:rStyle w:val="FootnoteReference"/>
        </w:rPr>
        <w:footnoteReference w:id="17"/>
      </w:r>
      <w:r w:rsidR="006C6E3B" w:rsidRPr="003161B9">
        <w:t xml:space="preserve"> This meant that Athens was no longer a place of power in the Boeotia. </w:t>
      </w:r>
    </w:p>
    <w:p w14:paraId="72D8DAA1" w14:textId="16F92DEF" w:rsidR="006C6E3B" w:rsidRPr="003161B9" w:rsidRDefault="006C6E3B" w:rsidP="00351F2E">
      <w:r w:rsidRPr="003161B9">
        <w:t xml:space="preserve">The colony at Herakleia was another </w:t>
      </w:r>
      <w:r w:rsidR="00EB0F5A" w:rsidRPr="003161B9">
        <w:t xml:space="preserve">good strategy by Sparta </w:t>
      </w:r>
      <w:r w:rsidR="000E15CD" w:rsidRPr="003161B9">
        <w:t>as it gave Sparta the opportunity to build up a naval fleet and put pressure on Euboia,</w:t>
      </w:r>
      <w:r w:rsidR="000E15CD" w:rsidRPr="003161B9">
        <w:rPr>
          <w:rStyle w:val="FootnoteReference"/>
        </w:rPr>
        <w:footnoteReference w:id="18"/>
      </w:r>
      <w:r w:rsidR="000E15CD" w:rsidRPr="003161B9">
        <w:t xml:space="preserve"> an ally of Athens, where Athenian livestock was kept. However, the establishment of Herakleia does not seem to have effected Euboia greatly as </w:t>
      </w:r>
      <w:r w:rsidR="0089450F" w:rsidRPr="003161B9">
        <w:t>Herakleia was harshly g</w:t>
      </w:r>
      <w:r w:rsidR="00B854B1" w:rsidRPr="003161B9">
        <w:t>overned and the Spartan presence</w:t>
      </w:r>
      <w:r w:rsidR="0089450F" w:rsidRPr="003161B9">
        <w:t xml:space="preserve"> scared off the local inhabitants meaning that the colony did not thrive.</w:t>
      </w:r>
      <w:r w:rsidR="0089450F" w:rsidRPr="003161B9">
        <w:rPr>
          <w:rStyle w:val="FootnoteReference"/>
        </w:rPr>
        <w:footnoteReference w:id="19"/>
      </w:r>
      <w:r w:rsidR="0089450F" w:rsidRPr="003161B9">
        <w:t xml:space="preserve"> </w:t>
      </w:r>
    </w:p>
    <w:p w14:paraId="17F6B1F8" w14:textId="4296E744" w:rsidR="000162B2" w:rsidRPr="003161B9" w:rsidRDefault="048FA94C" w:rsidP="00351F2E">
      <w:r w:rsidRPr="003161B9">
        <w:t>The strategic move by Athens, to create an outpost at Pylos in 425 BC and force Sparta's hand into battle, as Sparta feared a helot revolt due to the presence of the Athenian army</w:t>
      </w:r>
      <w:r w:rsidR="00741BAC">
        <w:rPr>
          <w:rStyle w:val="FootnoteReference"/>
        </w:rPr>
        <w:footnoteReference w:id="20"/>
      </w:r>
      <w:r w:rsidRPr="003161B9">
        <w:t xml:space="preserve"> that attracted helot runaways due to the Athens treating their helots more kindly than Sparta did, resulted in a long siege that saw Athens victorious with the capture of around 400 Spartans.</w:t>
      </w:r>
      <w:r w:rsidR="00D83A2A">
        <w:rPr>
          <w:rStyle w:val="FootnoteReference"/>
        </w:rPr>
        <w:footnoteReference w:id="21"/>
      </w:r>
      <w:r w:rsidRPr="003161B9">
        <w:t xml:space="preserve"> </w:t>
      </w:r>
    </w:p>
    <w:p w14:paraId="73F4C013" w14:textId="33F3CDBE" w:rsidR="00B854B1" w:rsidRDefault="048FA94C" w:rsidP="00351F2E">
      <w:r w:rsidRPr="003161B9">
        <w:t>A notable figure from the battle of Pylos, that was not captured, was Brasidas who went on in 424 BC to campaign in northern Greece with a force of helots. Upon reaching Chalcidice, Brasidas</w:t>
      </w:r>
      <w:r>
        <w:t xml:space="preserve"> was </w:t>
      </w:r>
      <w:r w:rsidRPr="003B5605">
        <w:t>able to encourage Athenian</w:t>
      </w:r>
      <w:r>
        <w:t xml:space="preserve"> Allies to revolt, notably the Amphipolis.</w:t>
      </w:r>
      <w:r w:rsidR="00D83A2A">
        <w:rPr>
          <w:rStyle w:val="FootnoteReference"/>
        </w:rPr>
        <w:footnoteReference w:id="22"/>
      </w:r>
      <w:r>
        <w:t xml:space="preserve"> </w:t>
      </w:r>
    </w:p>
    <w:p w14:paraId="7578D5CC" w14:textId="5219B66A" w:rsidR="00784B90" w:rsidRDefault="00784B90" w:rsidP="00784B90">
      <w:r>
        <w:lastRenderedPageBreak/>
        <w:t>By 421 BC both sides were exhausted and persuaded for peace. Sparta notabl</w:t>
      </w:r>
      <w:r w:rsidR="003161B9">
        <w:t>y</w:t>
      </w:r>
      <w:r>
        <w:t xml:space="preserve"> had more cause for peace than Athens at this point as their fifty year truce with Argos was about to end</w:t>
      </w:r>
      <w:r w:rsidR="003161B9">
        <w:t>,</w:t>
      </w:r>
      <w:r>
        <w:t xml:space="preserve"> and Sparta wanted their prisoners of war back that they lost during Pylos. However, from this ten year conflict with Athens, Sparta had gained the knowledge that it was easy to incite Athens allies to revolt. </w:t>
      </w:r>
    </w:p>
    <w:p w14:paraId="37AEE90C" w14:textId="79B2808C" w:rsidR="00784B90" w:rsidRDefault="00784B90" w:rsidP="00784B90">
      <w:r>
        <w:t>Athens</w:t>
      </w:r>
      <w:r w:rsidR="003161B9">
        <w:t>’</w:t>
      </w:r>
      <w:r>
        <w:t xml:space="preserve"> strategic downfall now comes during the Peace of Nikias and the Decelean War. The first part of Athens downfall was the destruction of Melos in 416 BC that saw the execution, after Melos surrendered to Athens, of all the fully grown men and the enslavement of all the women and children.</w:t>
      </w:r>
      <w:r>
        <w:rPr>
          <w:rStyle w:val="FootnoteReference"/>
        </w:rPr>
        <w:footnoteReference w:id="23"/>
      </w:r>
      <w:r>
        <w:t xml:space="preserve"> This left a bad taste in Greek mouths towards Athens because of what they had done. The second part of Athens strategic downfall was to help Amorges, a rebel satrap, against the Persian King in 412 BC.</w:t>
      </w:r>
      <w:r>
        <w:rPr>
          <w:rStyle w:val="FootnoteReference"/>
        </w:rPr>
        <w:footnoteReference w:id="24"/>
      </w:r>
      <w:r>
        <w:t xml:space="preserve"> This intervention by Athens brought </w:t>
      </w:r>
      <w:r w:rsidR="003161B9">
        <w:t>Persia</w:t>
      </w:r>
      <w:r>
        <w:t xml:space="preserve"> back into Greek politics after Persian influence in Greek politics was taken away after the Persian War.  The final part of Athens strategic downfall was the Sicilian Expedition in 415 BC that saw one of Athens</w:t>
      </w:r>
      <w:r w:rsidR="003161B9">
        <w:t>’</w:t>
      </w:r>
      <w:r>
        <w:t xml:space="preserve"> lead strategist</w:t>
      </w:r>
      <w:r w:rsidR="003161B9">
        <w:t>s</w:t>
      </w:r>
      <w:r>
        <w:t>, Alkibiades, defect to Sparta</w:t>
      </w:r>
      <w:r w:rsidR="003161B9">
        <w:t>n</w:t>
      </w:r>
      <w:r>
        <w:t xml:space="preserve"> side in fear for his own life. </w:t>
      </w:r>
    </w:p>
    <w:p w14:paraId="4C2F479A" w14:textId="3CC6DCAA" w:rsidR="00784B90" w:rsidRDefault="00784B90" w:rsidP="00784B90">
      <w:r>
        <w:t>From the Sicilian Expedition</w:t>
      </w:r>
      <w:r w:rsidR="003161B9">
        <w:t>,</w:t>
      </w:r>
      <w:r>
        <w:t xml:space="preserve"> Sparta</w:t>
      </w:r>
      <w:r w:rsidR="003161B9">
        <w:t>’s</w:t>
      </w:r>
      <w:r>
        <w:t xml:space="preserve"> strategic game was up with Alkibiades advising them to send help to Syracuse (the city of Sicily), to fortify Dekeleia and to help encourage Athenian allies to revolt.</w:t>
      </w:r>
      <w:r>
        <w:rPr>
          <w:rStyle w:val="FootnoteReference"/>
        </w:rPr>
        <w:footnoteReference w:id="25"/>
      </w:r>
      <w:r>
        <w:t xml:space="preserve"> By sending help to Syracuse, the </w:t>
      </w:r>
      <w:r w:rsidRPr="00BF099F">
        <w:t>Syracusan</w:t>
      </w:r>
      <w:r>
        <w:t>s were able to defeat and destroy more than half of Athens</w:t>
      </w:r>
      <w:r w:rsidR="003161B9">
        <w:t>’</w:t>
      </w:r>
      <w:r>
        <w:t xml:space="preserve"> naval fleet.</w:t>
      </w:r>
      <w:r>
        <w:rPr>
          <w:rStyle w:val="FootnoteReference"/>
        </w:rPr>
        <w:footnoteReference w:id="26"/>
      </w:r>
      <w:r>
        <w:t xml:space="preserve"> The damage sustained by Athens was also down to Nicias, </w:t>
      </w:r>
      <w:r w:rsidR="003161B9">
        <w:t xml:space="preserve">the </w:t>
      </w:r>
      <w:r>
        <w:t>Athenian commander</w:t>
      </w:r>
      <w:r w:rsidR="003161B9">
        <w:t>, refusing to leave the h</w:t>
      </w:r>
      <w:r>
        <w:t>arbour any sooner</w:t>
      </w:r>
      <w:r w:rsidR="003161B9">
        <w:t>,</w:t>
      </w:r>
      <w:r>
        <w:t xml:space="preserve"> due to a bad omen.</w:t>
      </w:r>
      <w:r>
        <w:rPr>
          <w:rStyle w:val="FootnoteReference"/>
        </w:rPr>
        <w:footnoteReference w:id="27"/>
      </w:r>
      <w:r>
        <w:t xml:space="preserve">  The Athenian fleet being damaged during the Sicilian Expedition gave Sparta a chance to fight the Athenians at sea with a more equal chance at winning. </w:t>
      </w:r>
    </w:p>
    <w:p w14:paraId="4CDABB68" w14:textId="5CE7FDC3" w:rsidR="00784B90" w:rsidRDefault="00784B90" w:rsidP="00784B90">
      <w:r>
        <w:t>The fortifying of Dekeleia was a good strategy used by Sparta as it provided a permanent presence of Sparta in Attika</w:t>
      </w:r>
      <w:r w:rsidR="003161B9">
        <w:t>,</w:t>
      </w:r>
      <w:r>
        <w:t xml:space="preserve"> which as a created problems in getting supplies to Athens.</w:t>
      </w:r>
      <w:r>
        <w:rPr>
          <w:rStyle w:val="FootnoteReference"/>
        </w:rPr>
        <w:footnoteReference w:id="28"/>
      </w:r>
      <w:r>
        <w:t xml:space="preserve"> The fortification process also saw notable damage to Athenian property</w:t>
      </w:r>
      <w:r w:rsidR="003161B9">
        <w:t>, in addition,</w:t>
      </w:r>
      <w:r>
        <w:t xml:space="preserve"> the invasion </w:t>
      </w:r>
      <w:r w:rsidR="003161B9">
        <w:t>party forced</w:t>
      </w:r>
      <w:r>
        <w:t xml:space="preserve"> the Athenians to stay within their city walls throughout the year.</w:t>
      </w:r>
      <w:r>
        <w:rPr>
          <w:rStyle w:val="FootnoteReference"/>
        </w:rPr>
        <w:footnoteReference w:id="29"/>
      </w:r>
      <w:r>
        <w:t xml:space="preserve"> The final strategic move used by Spar</w:t>
      </w:r>
      <w:r w:rsidR="003161B9">
        <w:t>ta was to ally them with Persia</w:t>
      </w:r>
      <w:r>
        <w:t xml:space="preserve"> at the cost of giving up control of Asia Minor.</w:t>
      </w:r>
      <w:r>
        <w:rPr>
          <w:rStyle w:val="FootnoteReference"/>
        </w:rPr>
        <w:footnoteReference w:id="30"/>
      </w:r>
      <w:r>
        <w:t xml:space="preserve"> </w:t>
      </w:r>
    </w:p>
    <w:p w14:paraId="7E546429" w14:textId="1A6D27BD" w:rsidR="00784B90" w:rsidRDefault="00784B90" w:rsidP="00784B90">
      <w:r>
        <w:t>In conclusion, at the beginning of the Peloponnesian War Athens</w:t>
      </w:r>
      <w:r w:rsidR="003B5605">
        <w:t>’</w:t>
      </w:r>
      <w:r>
        <w:t xml:space="preserve"> strategy was more successful, however, it was the Athenian strategies during the Peace of Nicias and the Decelean War that failed them and allowed Spartan strategies to prevail and come out on top. </w:t>
      </w:r>
    </w:p>
    <w:p w14:paraId="069381DE" w14:textId="77777777" w:rsidR="00784B90" w:rsidRDefault="00784B90" w:rsidP="00784B90"/>
    <w:p w14:paraId="63E9D69F" w14:textId="77777777" w:rsidR="00784B90" w:rsidRDefault="00784B90" w:rsidP="00784B90">
      <w:r>
        <w:t xml:space="preserve">  </w:t>
      </w:r>
    </w:p>
    <w:p w14:paraId="1CDB7BB6" w14:textId="77777777" w:rsidR="00784B90" w:rsidRDefault="00784B90" w:rsidP="00784B90"/>
    <w:p w14:paraId="2B25C8D0" w14:textId="77777777" w:rsidR="00784B90" w:rsidRDefault="00784B90" w:rsidP="00784B90"/>
    <w:p w14:paraId="6395A947" w14:textId="77777777" w:rsidR="00784B90" w:rsidRDefault="00784B90" w:rsidP="00784B90"/>
    <w:p w14:paraId="7F8C0133" w14:textId="77777777" w:rsidR="00784B90" w:rsidRDefault="00784B90" w:rsidP="00784B90"/>
    <w:p w14:paraId="3916FDC2" w14:textId="77777777" w:rsidR="00784B90" w:rsidRDefault="00784B90" w:rsidP="00784B90"/>
    <w:p w14:paraId="4211DB9C" w14:textId="77777777" w:rsidR="00784B90" w:rsidRDefault="00784B90" w:rsidP="00784B90"/>
    <w:p w14:paraId="1E7B264B" w14:textId="77777777" w:rsidR="00784B90" w:rsidRDefault="00784B90" w:rsidP="00351F2E"/>
    <w:p w14:paraId="6B9F123D" w14:textId="511953B2" w:rsidR="00095739" w:rsidRPr="00095739" w:rsidRDefault="00DF232C" w:rsidP="003B5605">
      <w:pPr>
        <w:rPr>
          <w:rFonts w:eastAsia="Times New Roman" w:cstheme="minorHAnsi"/>
          <w:b/>
          <w:color w:val="58666E"/>
          <w:sz w:val="21"/>
          <w:szCs w:val="21"/>
          <w:lang w:eastAsia="en-GB"/>
        </w:rPr>
      </w:pPr>
      <w:r>
        <w:t xml:space="preserve"> </w:t>
      </w:r>
      <w:r w:rsidR="00351A73">
        <w:t xml:space="preserve"> </w:t>
      </w:r>
      <w:r w:rsidR="00095739" w:rsidRPr="00095739">
        <w:rPr>
          <w:rFonts w:eastAsia="Times New Roman" w:cstheme="minorHAnsi"/>
          <w:b/>
          <w:bCs/>
          <w:color w:val="58666E"/>
          <w:sz w:val="24"/>
          <w:szCs w:val="24"/>
          <w:u w:val="single"/>
          <w:lang w:val="en" w:eastAsia="en-GB"/>
        </w:rPr>
        <w:t>Bibliography</w:t>
      </w:r>
    </w:p>
    <w:p w14:paraId="14DD0798" w14:textId="77777777" w:rsidR="00095739" w:rsidRPr="00095739" w:rsidRDefault="00095739" w:rsidP="00095739">
      <w:pPr>
        <w:shd w:val="clear" w:color="auto" w:fill="FFFFFF"/>
        <w:spacing w:after="150" w:line="420" w:lineRule="atLeast"/>
        <w:rPr>
          <w:rFonts w:eastAsia="Times New Roman" w:cstheme="minorHAnsi"/>
          <w:sz w:val="21"/>
          <w:szCs w:val="21"/>
          <w:lang w:eastAsia="en-GB"/>
        </w:rPr>
      </w:pPr>
      <w:r w:rsidRPr="00095739">
        <w:rPr>
          <w:rFonts w:eastAsia="Times New Roman" w:cstheme="minorHAnsi"/>
          <w:bCs/>
          <w:sz w:val="24"/>
          <w:szCs w:val="24"/>
          <w:u w:val="single"/>
          <w:lang w:val="en" w:eastAsia="en-GB"/>
        </w:rPr>
        <w:t>Ancient Historians</w:t>
      </w:r>
    </w:p>
    <w:p w14:paraId="488C61E5" w14:textId="0716B32A" w:rsidR="00095739" w:rsidRPr="00D83A2A" w:rsidRDefault="00095739" w:rsidP="00095739">
      <w:pPr>
        <w:shd w:val="clear" w:color="auto" w:fill="FFFFFF"/>
        <w:spacing w:after="150" w:line="420" w:lineRule="atLeast"/>
        <w:rPr>
          <w:rFonts w:eastAsia="Times New Roman" w:cstheme="minorHAnsi"/>
          <w:sz w:val="24"/>
          <w:szCs w:val="24"/>
          <w:lang w:eastAsia="en-GB"/>
        </w:rPr>
      </w:pPr>
      <w:r w:rsidRPr="00D83A2A">
        <w:rPr>
          <w:rFonts w:eastAsia="Times New Roman" w:cstheme="minorHAnsi"/>
          <w:sz w:val="24"/>
          <w:szCs w:val="24"/>
          <w:lang w:eastAsia="en-GB"/>
        </w:rPr>
        <w:t>Thucydides. </w:t>
      </w:r>
      <w:r w:rsidRPr="00D83A2A">
        <w:rPr>
          <w:rFonts w:eastAsia="Times New Roman" w:cstheme="minorHAnsi"/>
          <w:i/>
          <w:iCs/>
          <w:sz w:val="24"/>
          <w:szCs w:val="24"/>
          <w:lang w:eastAsia="en-GB"/>
        </w:rPr>
        <w:t>The Landmark Thucydides a Comprehensive Guide to the Peloponnesian War</w:t>
      </w:r>
      <w:r w:rsidRPr="00D83A2A">
        <w:rPr>
          <w:rFonts w:eastAsia="Times New Roman" w:cstheme="minorHAnsi"/>
          <w:sz w:val="24"/>
          <w:szCs w:val="24"/>
          <w:lang w:eastAsia="en-GB"/>
        </w:rPr>
        <w:t>. Richard Crawley (trans). 2008. New York: Free Press.</w:t>
      </w:r>
    </w:p>
    <w:p w14:paraId="0CE414A6" w14:textId="04C99FD8" w:rsidR="00784B90" w:rsidRPr="00D83A2A" w:rsidRDefault="00784B90" w:rsidP="00095739">
      <w:pPr>
        <w:shd w:val="clear" w:color="auto" w:fill="FFFFFF"/>
        <w:spacing w:after="150" w:line="420" w:lineRule="atLeast"/>
        <w:rPr>
          <w:rFonts w:eastAsia="Times New Roman" w:cstheme="minorHAnsi"/>
          <w:sz w:val="21"/>
          <w:szCs w:val="21"/>
          <w:lang w:eastAsia="en-GB"/>
        </w:rPr>
      </w:pPr>
      <w:r w:rsidRPr="00D83A2A">
        <w:rPr>
          <w:rFonts w:eastAsia="Times New Roman" w:cstheme="minorHAnsi"/>
          <w:sz w:val="24"/>
          <w:szCs w:val="24"/>
          <w:lang w:eastAsia="en-GB"/>
        </w:rPr>
        <w:t xml:space="preserve">Xenophon. </w:t>
      </w:r>
      <w:r w:rsidRPr="00D83A2A">
        <w:rPr>
          <w:rFonts w:eastAsia="Times New Roman" w:cstheme="minorHAnsi"/>
          <w:i/>
          <w:sz w:val="24"/>
          <w:szCs w:val="24"/>
          <w:lang w:eastAsia="en-GB"/>
        </w:rPr>
        <w:t>The Landmark Xenophon’s Hellenika.</w:t>
      </w:r>
      <w:r w:rsidRPr="00D83A2A">
        <w:rPr>
          <w:rFonts w:eastAsia="Times New Roman" w:cstheme="minorHAnsi"/>
          <w:sz w:val="24"/>
          <w:szCs w:val="24"/>
          <w:lang w:eastAsia="en-GB"/>
        </w:rPr>
        <w:t xml:space="preserve"> Robert B. Strassler (ed), John Marincola (trans). 2009. New York: Anchor Books</w:t>
      </w:r>
    </w:p>
    <w:p w14:paraId="32BCE18B" w14:textId="77777777" w:rsidR="00095739" w:rsidRPr="00D83A2A" w:rsidRDefault="00095739" w:rsidP="00095739">
      <w:pPr>
        <w:shd w:val="clear" w:color="auto" w:fill="FFFFFF"/>
        <w:spacing w:after="150" w:line="420" w:lineRule="atLeast"/>
        <w:rPr>
          <w:rFonts w:eastAsia="Times New Roman" w:cstheme="minorHAnsi"/>
          <w:sz w:val="21"/>
          <w:szCs w:val="21"/>
          <w:lang w:eastAsia="en-GB"/>
        </w:rPr>
      </w:pPr>
      <w:r w:rsidRPr="00D83A2A">
        <w:rPr>
          <w:rFonts w:eastAsia="Times New Roman" w:cstheme="minorHAnsi"/>
          <w:bCs/>
          <w:sz w:val="24"/>
          <w:szCs w:val="24"/>
          <w:u w:val="single"/>
          <w:lang w:val="en" w:eastAsia="en-GB"/>
        </w:rPr>
        <w:t>Modern Historians </w:t>
      </w:r>
    </w:p>
    <w:p w14:paraId="3BC022CC" w14:textId="4A273288" w:rsidR="00C26B56" w:rsidRPr="00D83A2A" w:rsidRDefault="00C26B56" w:rsidP="00095739">
      <w:pPr>
        <w:shd w:val="clear" w:color="auto" w:fill="FFFFFF"/>
        <w:spacing w:after="150" w:line="240" w:lineRule="auto"/>
        <w:rPr>
          <w:rFonts w:eastAsia="Times New Roman" w:cstheme="minorHAnsi"/>
          <w:sz w:val="24"/>
          <w:szCs w:val="24"/>
          <w:lang w:eastAsia="en-GB"/>
        </w:rPr>
      </w:pPr>
      <w:r w:rsidRPr="00D83A2A">
        <w:rPr>
          <w:rFonts w:eastAsia="Times New Roman" w:cstheme="minorHAnsi"/>
          <w:sz w:val="24"/>
          <w:szCs w:val="24"/>
          <w:lang w:eastAsia="en-GB"/>
        </w:rPr>
        <w:t>Brunt, P. 1965. Spartan Policy and Strategy in the Archidamian War. </w:t>
      </w:r>
      <w:r w:rsidRPr="00D83A2A">
        <w:rPr>
          <w:rFonts w:eastAsia="Times New Roman" w:cstheme="minorHAnsi"/>
          <w:i/>
          <w:iCs/>
          <w:sz w:val="24"/>
          <w:szCs w:val="24"/>
          <w:lang w:eastAsia="en-GB"/>
        </w:rPr>
        <w:t>Phoenix,</w:t>
      </w:r>
      <w:r w:rsidRPr="00D83A2A">
        <w:rPr>
          <w:rFonts w:eastAsia="Times New Roman" w:cstheme="minorHAnsi"/>
          <w:sz w:val="24"/>
          <w:szCs w:val="24"/>
          <w:lang w:eastAsia="en-GB"/>
        </w:rPr>
        <w:t> </w:t>
      </w:r>
      <w:r w:rsidRPr="00D83A2A">
        <w:rPr>
          <w:rFonts w:eastAsia="Times New Roman" w:cstheme="minorHAnsi"/>
          <w:i/>
          <w:iCs/>
          <w:sz w:val="24"/>
          <w:szCs w:val="24"/>
          <w:lang w:eastAsia="en-GB"/>
        </w:rPr>
        <w:t>19</w:t>
      </w:r>
      <w:r w:rsidRPr="00D83A2A">
        <w:rPr>
          <w:rFonts w:eastAsia="Times New Roman" w:cstheme="minorHAnsi"/>
          <w:sz w:val="24"/>
          <w:szCs w:val="24"/>
          <w:lang w:eastAsia="en-GB"/>
        </w:rPr>
        <w:t>(4), 255-280. </w:t>
      </w:r>
    </w:p>
    <w:p w14:paraId="67E70A8E" w14:textId="1A21ADAE" w:rsidR="00F34900" w:rsidRPr="00D83A2A" w:rsidRDefault="00F34900" w:rsidP="00095739">
      <w:pPr>
        <w:shd w:val="clear" w:color="auto" w:fill="FFFFFF"/>
        <w:spacing w:after="150" w:line="240" w:lineRule="auto"/>
        <w:rPr>
          <w:rFonts w:eastAsia="Times New Roman" w:cstheme="minorHAnsi"/>
          <w:i/>
          <w:sz w:val="24"/>
          <w:szCs w:val="24"/>
          <w:lang w:eastAsia="en-GB"/>
        </w:rPr>
      </w:pPr>
      <w:r w:rsidRPr="00D83A2A">
        <w:rPr>
          <w:rFonts w:eastAsia="Times New Roman" w:cstheme="minorHAnsi"/>
          <w:sz w:val="24"/>
          <w:szCs w:val="24"/>
          <w:lang w:eastAsia="en-GB"/>
        </w:rPr>
        <w:t xml:space="preserve">Kagan, D. 1974. </w:t>
      </w:r>
      <w:r w:rsidRPr="00D83A2A">
        <w:rPr>
          <w:rFonts w:eastAsia="Times New Roman" w:cstheme="minorHAnsi"/>
          <w:i/>
          <w:sz w:val="24"/>
          <w:szCs w:val="24"/>
          <w:lang w:eastAsia="en-GB"/>
        </w:rPr>
        <w:t xml:space="preserve">The Archidamian War.  </w:t>
      </w:r>
      <w:r w:rsidRPr="00D83A2A">
        <w:rPr>
          <w:rFonts w:eastAsia="Times New Roman" w:cstheme="minorHAnsi"/>
          <w:sz w:val="24"/>
          <w:szCs w:val="24"/>
          <w:lang w:eastAsia="en-GB"/>
        </w:rPr>
        <w:t>London: Cornell University Press</w:t>
      </w:r>
      <w:r w:rsidRPr="00D83A2A">
        <w:rPr>
          <w:rFonts w:eastAsia="Times New Roman" w:cstheme="minorHAnsi"/>
          <w:i/>
          <w:sz w:val="24"/>
          <w:szCs w:val="24"/>
          <w:lang w:eastAsia="en-GB"/>
        </w:rPr>
        <w:t xml:space="preserve"> </w:t>
      </w:r>
    </w:p>
    <w:p w14:paraId="1910BD23" w14:textId="5EB3C9F5" w:rsidR="00D83A2A" w:rsidRPr="00D83A2A" w:rsidRDefault="00D83A2A" w:rsidP="00095739">
      <w:pPr>
        <w:shd w:val="clear" w:color="auto" w:fill="FFFFFF"/>
        <w:spacing w:after="150" w:line="240" w:lineRule="auto"/>
        <w:rPr>
          <w:rFonts w:eastAsia="Times New Roman" w:cstheme="minorHAnsi"/>
          <w:sz w:val="24"/>
          <w:szCs w:val="24"/>
          <w:lang w:eastAsia="en-GB"/>
        </w:rPr>
      </w:pPr>
      <w:r w:rsidRPr="00D83A2A">
        <w:rPr>
          <w:rFonts w:eastAsia="Times New Roman" w:cstheme="minorHAnsi"/>
          <w:sz w:val="24"/>
          <w:szCs w:val="24"/>
          <w:lang w:eastAsia="en-GB"/>
        </w:rPr>
        <w:t xml:space="preserve">Kagan, D. 1981. </w:t>
      </w:r>
      <w:r w:rsidRPr="00D83A2A">
        <w:rPr>
          <w:rFonts w:eastAsia="Times New Roman" w:cstheme="minorHAnsi"/>
          <w:i/>
          <w:sz w:val="24"/>
          <w:szCs w:val="24"/>
          <w:lang w:eastAsia="en-GB"/>
        </w:rPr>
        <w:t>The Peace of Nicias and the Sicilian Expedition</w:t>
      </w:r>
      <w:r w:rsidRPr="00D83A2A">
        <w:rPr>
          <w:rFonts w:eastAsia="Times New Roman" w:cstheme="minorHAnsi"/>
          <w:sz w:val="24"/>
          <w:szCs w:val="24"/>
          <w:lang w:eastAsia="en-GB"/>
        </w:rPr>
        <w:t>. London: Cornell University Press</w:t>
      </w:r>
    </w:p>
    <w:p w14:paraId="175711F2" w14:textId="2AEE2470" w:rsidR="00095739" w:rsidRPr="00D83A2A" w:rsidRDefault="00140B9E" w:rsidP="00095739">
      <w:pPr>
        <w:shd w:val="clear" w:color="auto" w:fill="FFFFFF"/>
        <w:spacing w:after="150" w:line="240" w:lineRule="auto"/>
        <w:rPr>
          <w:rFonts w:eastAsia="Times New Roman" w:cstheme="minorHAnsi"/>
          <w:sz w:val="24"/>
          <w:szCs w:val="24"/>
          <w:lang w:eastAsia="en-GB"/>
        </w:rPr>
      </w:pPr>
      <w:r w:rsidRPr="00D83A2A">
        <w:rPr>
          <w:rFonts w:eastAsia="Times New Roman" w:cstheme="minorHAnsi"/>
          <w:sz w:val="24"/>
          <w:szCs w:val="24"/>
          <w:lang w:eastAsia="en-GB"/>
        </w:rPr>
        <w:t xml:space="preserve">Kelly, T. 1982. ‘Thucydides and Spartan Strategy in the Archidamian War’, </w:t>
      </w:r>
      <w:r w:rsidRPr="00D83A2A">
        <w:rPr>
          <w:rFonts w:eastAsia="Times New Roman" w:cstheme="minorHAnsi"/>
          <w:i/>
          <w:sz w:val="24"/>
          <w:szCs w:val="24"/>
          <w:lang w:eastAsia="en-GB"/>
        </w:rPr>
        <w:t xml:space="preserve">The American Historical Review </w:t>
      </w:r>
      <w:r w:rsidRPr="00D83A2A">
        <w:rPr>
          <w:rFonts w:eastAsia="Times New Roman" w:cstheme="minorHAnsi"/>
          <w:sz w:val="24"/>
          <w:szCs w:val="24"/>
          <w:lang w:eastAsia="en-GB"/>
        </w:rPr>
        <w:t>25-54</w:t>
      </w:r>
    </w:p>
    <w:p w14:paraId="0CF8A299" w14:textId="6766DECE" w:rsidR="00B63939" w:rsidRPr="00B63939" w:rsidRDefault="00B63939" w:rsidP="00095739">
      <w:pPr>
        <w:shd w:val="clear" w:color="auto" w:fill="FFFFFF"/>
        <w:spacing w:after="150" w:line="240" w:lineRule="auto"/>
        <w:rPr>
          <w:rFonts w:eastAsia="Times New Roman" w:cstheme="minorHAnsi"/>
          <w:sz w:val="21"/>
          <w:szCs w:val="21"/>
          <w:lang w:eastAsia="en-GB"/>
        </w:rPr>
      </w:pPr>
      <w:r w:rsidRPr="00D83A2A">
        <w:rPr>
          <w:rFonts w:eastAsia="Times New Roman" w:cstheme="minorHAnsi"/>
          <w:sz w:val="24"/>
          <w:szCs w:val="24"/>
          <w:lang w:eastAsia="en-GB"/>
        </w:rPr>
        <w:t xml:space="preserve">Lazenby, J. F. 2004. </w:t>
      </w:r>
      <w:r w:rsidRPr="00D83A2A">
        <w:rPr>
          <w:rFonts w:eastAsia="Times New Roman" w:cstheme="minorHAnsi"/>
          <w:i/>
          <w:sz w:val="24"/>
          <w:szCs w:val="24"/>
          <w:lang w:eastAsia="en-GB"/>
        </w:rPr>
        <w:t xml:space="preserve">The Peloponnesian War: A Military Study. </w:t>
      </w:r>
      <w:r w:rsidRPr="00D83A2A">
        <w:rPr>
          <w:rFonts w:eastAsia="Times New Roman" w:cstheme="minorHAnsi"/>
          <w:sz w:val="24"/>
          <w:szCs w:val="24"/>
          <w:lang w:eastAsia="en-GB"/>
        </w:rPr>
        <w:t>London:</w:t>
      </w:r>
      <w:r w:rsidR="005A1871" w:rsidRPr="00D83A2A">
        <w:rPr>
          <w:rFonts w:eastAsia="Times New Roman" w:cstheme="minorHAnsi"/>
          <w:sz w:val="24"/>
          <w:szCs w:val="24"/>
          <w:lang w:eastAsia="en-GB"/>
        </w:rPr>
        <w:t xml:space="preserve"> </w:t>
      </w:r>
      <w:r w:rsidRPr="00D83A2A">
        <w:rPr>
          <w:rFonts w:eastAsia="Times New Roman" w:cstheme="minorHAnsi"/>
          <w:sz w:val="24"/>
          <w:szCs w:val="24"/>
          <w:lang w:eastAsia="en-GB"/>
        </w:rPr>
        <w:t>Routledge</w:t>
      </w:r>
    </w:p>
    <w:p w14:paraId="2946DB82" w14:textId="77777777" w:rsidR="00E91B08" w:rsidRPr="00140B9E" w:rsidRDefault="00E91B08" w:rsidP="00351F2E"/>
    <w:sectPr w:rsidR="00E91B08" w:rsidRPr="00140B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97CC1D" w14:textId="77777777" w:rsidR="00EC3283" w:rsidRDefault="00EC3283" w:rsidP="003617A9">
      <w:pPr>
        <w:spacing w:after="0" w:line="240" w:lineRule="auto"/>
      </w:pPr>
      <w:r>
        <w:separator/>
      </w:r>
    </w:p>
  </w:endnote>
  <w:endnote w:type="continuationSeparator" w:id="0">
    <w:p w14:paraId="110FFD37" w14:textId="77777777" w:rsidR="00EC3283" w:rsidRDefault="00EC3283" w:rsidP="003617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699379" w14:textId="77777777" w:rsidR="00EC3283" w:rsidRDefault="00EC3283" w:rsidP="003617A9">
      <w:pPr>
        <w:spacing w:after="0" w:line="240" w:lineRule="auto"/>
      </w:pPr>
      <w:r>
        <w:separator/>
      </w:r>
    </w:p>
  </w:footnote>
  <w:footnote w:type="continuationSeparator" w:id="0">
    <w:p w14:paraId="3FE9F23F" w14:textId="77777777" w:rsidR="00EC3283" w:rsidRDefault="00EC3283" w:rsidP="003617A9">
      <w:pPr>
        <w:spacing w:after="0" w:line="240" w:lineRule="auto"/>
      </w:pPr>
      <w:r>
        <w:continuationSeparator/>
      </w:r>
    </w:p>
  </w:footnote>
  <w:footnote w:id="1">
    <w:p w14:paraId="7EBC1FDE" w14:textId="77777777" w:rsidR="003617A9" w:rsidRDefault="003617A9">
      <w:pPr>
        <w:pStyle w:val="FootnoteText"/>
      </w:pPr>
      <w:r>
        <w:rPr>
          <w:rStyle w:val="FootnoteReference"/>
        </w:rPr>
        <w:footnoteRef/>
      </w:r>
      <w:r>
        <w:t xml:space="preserve"> Thuc. 2.9 </w:t>
      </w:r>
    </w:p>
  </w:footnote>
  <w:footnote w:id="2">
    <w:p w14:paraId="51010DFC" w14:textId="77777777" w:rsidR="00A81110" w:rsidRDefault="00A81110">
      <w:pPr>
        <w:pStyle w:val="FootnoteText"/>
      </w:pPr>
      <w:r>
        <w:rPr>
          <w:rStyle w:val="FootnoteReference"/>
        </w:rPr>
        <w:footnoteRef/>
      </w:r>
      <w:r>
        <w:t xml:space="preserve"> ibid</w:t>
      </w:r>
    </w:p>
  </w:footnote>
  <w:footnote w:id="3">
    <w:p w14:paraId="276F0795" w14:textId="77777777" w:rsidR="00A81110" w:rsidRDefault="00A81110">
      <w:pPr>
        <w:pStyle w:val="FootnoteText"/>
      </w:pPr>
      <w:r>
        <w:rPr>
          <w:rStyle w:val="FootnoteReference"/>
        </w:rPr>
        <w:footnoteRef/>
      </w:r>
      <w:r>
        <w:t xml:space="preserve"> Thuc. 1.23 </w:t>
      </w:r>
    </w:p>
  </w:footnote>
  <w:footnote w:id="4">
    <w:p w14:paraId="29D6B04F" w14:textId="5D0A50DF" w:rsidR="00666DAC" w:rsidRDefault="00666DAC">
      <w:pPr>
        <w:pStyle w:val="FootnoteText"/>
      </w:pPr>
      <w:r>
        <w:rPr>
          <w:rStyle w:val="FootnoteReference"/>
        </w:rPr>
        <w:footnoteRef/>
      </w:r>
      <w:r>
        <w:t xml:space="preserve"> </w:t>
      </w:r>
      <w:r w:rsidR="000D487F">
        <w:t>Kelly 1982: 25;</w:t>
      </w:r>
      <w:r w:rsidR="000D487F" w:rsidRPr="000D487F">
        <w:t xml:space="preserve"> Brunt</w:t>
      </w:r>
      <w:r w:rsidR="000D487F">
        <w:t xml:space="preserve"> 1965: 264</w:t>
      </w:r>
    </w:p>
  </w:footnote>
  <w:footnote w:id="5">
    <w:p w14:paraId="0A6959E7" w14:textId="59CEA80D" w:rsidR="000C1D6A" w:rsidRDefault="000C1D6A">
      <w:pPr>
        <w:pStyle w:val="FootnoteText"/>
      </w:pPr>
      <w:r>
        <w:rPr>
          <w:rStyle w:val="FootnoteReference"/>
        </w:rPr>
        <w:footnoteRef/>
      </w:r>
      <w:r>
        <w:t xml:space="preserve"> </w:t>
      </w:r>
      <w:r w:rsidR="00C26B56">
        <w:t>Kelly 1982: 25</w:t>
      </w:r>
    </w:p>
  </w:footnote>
  <w:footnote w:id="6">
    <w:p w14:paraId="4E22CC68" w14:textId="77777777" w:rsidR="00504D68" w:rsidRDefault="00504D68">
      <w:pPr>
        <w:pStyle w:val="FootnoteText"/>
      </w:pPr>
      <w:r>
        <w:rPr>
          <w:rStyle w:val="FootnoteReference"/>
        </w:rPr>
        <w:footnoteRef/>
      </w:r>
      <w:r>
        <w:t xml:space="preserve"> Thuc. 2.13-14 </w:t>
      </w:r>
    </w:p>
  </w:footnote>
  <w:footnote w:id="7">
    <w:p w14:paraId="7B0652AB" w14:textId="77777777" w:rsidR="00351A73" w:rsidRDefault="00351A73">
      <w:pPr>
        <w:pStyle w:val="FootnoteText"/>
      </w:pPr>
      <w:r>
        <w:rPr>
          <w:rStyle w:val="FootnoteReference"/>
        </w:rPr>
        <w:footnoteRef/>
      </w:r>
      <w:r>
        <w:t xml:space="preserve"> Thuc. 1.24-5 </w:t>
      </w:r>
    </w:p>
  </w:footnote>
  <w:footnote w:id="8">
    <w:p w14:paraId="11904B49" w14:textId="77777777" w:rsidR="00070F18" w:rsidRDefault="00070F18">
      <w:pPr>
        <w:pStyle w:val="FootnoteText"/>
      </w:pPr>
      <w:r>
        <w:rPr>
          <w:rStyle w:val="FootnoteReference"/>
        </w:rPr>
        <w:footnoteRef/>
      </w:r>
      <w:r>
        <w:t xml:space="preserve"> Thuc. 2.68</w:t>
      </w:r>
    </w:p>
  </w:footnote>
  <w:footnote w:id="9">
    <w:p w14:paraId="02DDBCAB" w14:textId="77777777" w:rsidR="00140B9E" w:rsidRDefault="00140B9E">
      <w:pPr>
        <w:pStyle w:val="FootnoteText"/>
      </w:pPr>
      <w:r>
        <w:rPr>
          <w:rStyle w:val="FootnoteReference"/>
        </w:rPr>
        <w:footnoteRef/>
      </w:r>
      <w:r>
        <w:t xml:space="preserve"> Kelly 1982: 53</w:t>
      </w:r>
    </w:p>
  </w:footnote>
  <w:footnote w:id="10">
    <w:p w14:paraId="48F6D3BF" w14:textId="77777777" w:rsidR="005F4D52" w:rsidRDefault="005F4D52">
      <w:pPr>
        <w:pStyle w:val="FootnoteText"/>
      </w:pPr>
      <w:r>
        <w:rPr>
          <w:rStyle w:val="FootnoteReference"/>
        </w:rPr>
        <w:footnoteRef/>
      </w:r>
      <w:r>
        <w:t xml:space="preserve"> </w:t>
      </w:r>
      <w:r w:rsidR="001F54D6">
        <w:t>Thuc. 2. 47</w:t>
      </w:r>
    </w:p>
  </w:footnote>
  <w:footnote w:id="11">
    <w:p w14:paraId="37EF1111" w14:textId="2D527028" w:rsidR="00B63939" w:rsidRPr="00B63939" w:rsidRDefault="00B63939" w:rsidP="00B63939">
      <w:pPr>
        <w:pStyle w:val="FootnoteText"/>
      </w:pPr>
      <w:r>
        <w:rPr>
          <w:rStyle w:val="FootnoteReference"/>
        </w:rPr>
        <w:footnoteRef/>
      </w:r>
      <w:r>
        <w:t xml:space="preserve"> </w:t>
      </w:r>
      <w:r w:rsidRPr="00B63939">
        <w:t>Thuc. 3.8 – 10; Kelly 1982: 43</w:t>
      </w:r>
    </w:p>
  </w:footnote>
  <w:footnote w:id="12">
    <w:p w14:paraId="3D738CF2" w14:textId="4AC2B6DD" w:rsidR="00B63939" w:rsidRDefault="00B63939">
      <w:pPr>
        <w:pStyle w:val="FootnoteText"/>
      </w:pPr>
      <w:r>
        <w:rPr>
          <w:rStyle w:val="FootnoteReference"/>
        </w:rPr>
        <w:footnoteRef/>
      </w:r>
      <w:r>
        <w:t xml:space="preserve"> Kelly 1982: 44-45; Lazenby 2004: 50-51</w:t>
      </w:r>
    </w:p>
  </w:footnote>
  <w:footnote w:id="13">
    <w:p w14:paraId="71A5A21E" w14:textId="77777777" w:rsidR="0049339A" w:rsidRDefault="0049339A">
      <w:pPr>
        <w:pStyle w:val="FootnoteText"/>
      </w:pPr>
      <w:r>
        <w:rPr>
          <w:rStyle w:val="FootnoteReference"/>
        </w:rPr>
        <w:footnoteRef/>
      </w:r>
      <w:r>
        <w:t xml:space="preserve"> Thuc. 2.72</w:t>
      </w:r>
    </w:p>
  </w:footnote>
  <w:footnote w:id="14">
    <w:p w14:paraId="13D6C076" w14:textId="77777777" w:rsidR="0049339A" w:rsidRDefault="0049339A">
      <w:pPr>
        <w:pStyle w:val="FootnoteText"/>
      </w:pPr>
      <w:r>
        <w:rPr>
          <w:rStyle w:val="FootnoteReference"/>
        </w:rPr>
        <w:footnoteRef/>
      </w:r>
      <w:r>
        <w:t xml:space="preserve"> Thuc. 2.74 </w:t>
      </w:r>
    </w:p>
  </w:footnote>
  <w:footnote w:id="15">
    <w:p w14:paraId="5982D49E" w14:textId="77777777" w:rsidR="00F34900" w:rsidRDefault="00F34900">
      <w:pPr>
        <w:pStyle w:val="FootnoteText"/>
      </w:pPr>
      <w:r>
        <w:rPr>
          <w:rStyle w:val="FootnoteReference"/>
        </w:rPr>
        <w:footnoteRef/>
      </w:r>
      <w:r>
        <w:t xml:space="preserve"> Kagan 1974: 103</w:t>
      </w:r>
    </w:p>
  </w:footnote>
  <w:footnote w:id="16">
    <w:p w14:paraId="0403DD18" w14:textId="77777777" w:rsidR="00CE0A93" w:rsidRDefault="00CE0A93">
      <w:pPr>
        <w:pStyle w:val="FootnoteText"/>
      </w:pPr>
      <w:r>
        <w:rPr>
          <w:rStyle w:val="FootnoteReference"/>
        </w:rPr>
        <w:footnoteRef/>
      </w:r>
      <w:r>
        <w:t xml:space="preserve"> Thuc. 2.2 – 4 </w:t>
      </w:r>
    </w:p>
  </w:footnote>
  <w:footnote w:id="17">
    <w:p w14:paraId="100C5B58" w14:textId="179A3FE0" w:rsidR="006C6E3B" w:rsidRDefault="006C6E3B">
      <w:pPr>
        <w:pStyle w:val="FootnoteText"/>
      </w:pPr>
      <w:r>
        <w:rPr>
          <w:rStyle w:val="FootnoteReference"/>
        </w:rPr>
        <w:footnoteRef/>
      </w:r>
      <w:r>
        <w:t xml:space="preserve"> </w:t>
      </w:r>
      <w:r w:rsidR="00D83A2A">
        <w:t>Kegan 1981: 23</w:t>
      </w:r>
    </w:p>
  </w:footnote>
  <w:footnote w:id="18">
    <w:p w14:paraId="40001D39" w14:textId="77777777" w:rsidR="000E15CD" w:rsidRDefault="000E15CD">
      <w:pPr>
        <w:pStyle w:val="FootnoteText"/>
      </w:pPr>
      <w:r>
        <w:rPr>
          <w:rStyle w:val="FootnoteReference"/>
        </w:rPr>
        <w:footnoteRef/>
      </w:r>
      <w:r>
        <w:t xml:space="preserve"> Thuc. 3.92 </w:t>
      </w:r>
    </w:p>
  </w:footnote>
  <w:footnote w:id="19">
    <w:p w14:paraId="57CDBA9D" w14:textId="77777777" w:rsidR="00B854B1" w:rsidRDefault="0089450F">
      <w:pPr>
        <w:pStyle w:val="FootnoteText"/>
      </w:pPr>
      <w:r>
        <w:rPr>
          <w:rStyle w:val="FootnoteReference"/>
        </w:rPr>
        <w:footnoteRef/>
      </w:r>
      <w:r>
        <w:t xml:space="preserve"> Thuc. 3.93 </w:t>
      </w:r>
    </w:p>
  </w:footnote>
  <w:footnote w:id="20">
    <w:p w14:paraId="3232FAB7" w14:textId="721D9640" w:rsidR="00741BAC" w:rsidRDefault="00741BAC">
      <w:pPr>
        <w:pStyle w:val="FootnoteText"/>
      </w:pPr>
      <w:r>
        <w:rPr>
          <w:rStyle w:val="FootnoteReference"/>
        </w:rPr>
        <w:footnoteRef/>
      </w:r>
      <w:r>
        <w:t xml:space="preserve"> Lazenby 2004: 251</w:t>
      </w:r>
    </w:p>
  </w:footnote>
  <w:footnote w:id="21">
    <w:p w14:paraId="247C82CD" w14:textId="568797FE" w:rsidR="00D83A2A" w:rsidRDefault="00D83A2A">
      <w:pPr>
        <w:pStyle w:val="FootnoteText"/>
      </w:pPr>
      <w:r>
        <w:rPr>
          <w:rStyle w:val="FootnoteReference"/>
        </w:rPr>
        <w:footnoteRef/>
      </w:r>
      <w:r>
        <w:t xml:space="preserve"> </w:t>
      </w:r>
      <w:r w:rsidR="00A201EE">
        <w:t xml:space="preserve">Thuc. 4.38. </w:t>
      </w:r>
      <w:r w:rsidR="003F07B2">
        <w:t xml:space="preserve">5 </w:t>
      </w:r>
    </w:p>
  </w:footnote>
  <w:footnote w:id="22">
    <w:p w14:paraId="2B28CA5E" w14:textId="547B8F63" w:rsidR="00D83A2A" w:rsidRDefault="00D83A2A">
      <w:pPr>
        <w:pStyle w:val="FootnoteText"/>
      </w:pPr>
      <w:r>
        <w:rPr>
          <w:rStyle w:val="FootnoteReference"/>
        </w:rPr>
        <w:footnoteRef/>
      </w:r>
      <w:r>
        <w:t>Thuc. 4.81</w:t>
      </w:r>
    </w:p>
  </w:footnote>
  <w:footnote w:id="23">
    <w:p w14:paraId="4222CB3C" w14:textId="77777777" w:rsidR="00784B90" w:rsidRDefault="00784B90" w:rsidP="00784B90">
      <w:pPr>
        <w:pStyle w:val="FootnoteText"/>
      </w:pPr>
      <w:r>
        <w:rPr>
          <w:rStyle w:val="FootnoteReference"/>
        </w:rPr>
        <w:footnoteRef/>
      </w:r>
      <w:r>
        <w:t xml:space="preserve"> Thuc. 5.116</w:t>
      </w:r>
    </w:p>
  </w:footnote>
  <w:footnote w:id="24">
    <w:p w14:paraId="4BDB9549" w14:textId="77777777" w:rsidR="00784B90" w:rsidRDefault="00784B90" w:rsidP="00784B90">
      <w:pPr>
        <w:pStyle w:val="FootnoteText"/>
      </w:pPr>
      <w:r>
        <w:rPr>
          <w:rStyle w:val="FootnoteReference"/>
        </w:rPr>
        <w:footnoteRef/>
      </w:r>
      <w:r>
        <w:t xml:space="preserve"> Thuc. 8.28</w:t>
      </w:r>
    </w:p>
  </w:footnote>
  <w:footnote w:id="25">
    <w:p w14:paraId="41FAFF37" w14:textId="77777777" w:rsidR="00784B90" w:rsidRDefault="00784B90" w:rsidP="00784B90">
      <w:pPr>
        <w:pStyle w:val="FootnoteText"/>
      </w:pPr>
      <w:r>
        <w:rPr>
          <w:rStyle w:val="FootnoteReference"/>
        </w:rPr>
        <w:footnoteRef/>
      </w:r>
      <w:r>
        <w:t xml:space="preserve"> Thuc. 6.91 </w:t>
      </w:r>
    </w:p>
  </w:footnote>
  <w:footnote w:id="26">
    <w:p w14:paraId="551DB7D2" w14:textId="77777777" w:rsidR="00784B90" w:rsidRDefault="00784B90" w:rsidP="00784B90">
      <w:pPr>
        <w:pStyle w:val="FootnoteText"/>
      </w:pPr>
      <w:r>
        <w:rPr>
          <w:rStyle w:val="FootnoteReference"/>
        </w:rPr>
        <w:footnoteRef/>
      </w:r>
      <w:r>
        <w:t xml:space="preserve"> Thuc. 7.21- 7.25; 8.1; Xen. Hell. 1.1.16- 23</w:t>
      </w:r>
    </w:p>
  </w:footnote>
  <w:footnote w:id="27">
    <w:p w14:paraId="7021E122" w14:textId="30F2BBC9" w:rsidR="00784B90" w:rsidRDefault="00784B90" w:rsidP="00784B90">
      <w:pPr>
        <w:pStyle w:val="FootnoteText"/>
      </w:pPr>
      <w:r>
        <w:rPr>
          <w:rStyle w:val="FootnoteReference"/>
        </w:rPr>
        <w:footnoteRef/>
      </w:r>
      <w:r>
        <w:t xml:space="preserve"> </w:t>
      </w:r>
      <w:r w:rsidR="00BF33AC">
        <w:t>ibid</w:t>
      </w:r>
      <w:bookmarkStart w:id="0" w:name="_GoBack"/>
      <w:bookmarkEnd w:id="0"/>
    </w:p>
  </w:footnote>
  <w:footnote w:id="28">
    <w:p w14:paraId="5EC6BA21" w14:textId="77777777" w:rsidR="00784B90" w:rsidRDefault="00784B90" w:rsidP="00784B90">
      <w:pPr>
        <w:pStyle w:val="FootnoteText"/>
      </w:pPr>
      <w:r>
        <w:rPr>
          <w:rStyle w:val="FootnoteReference"/>
        </w:rPr>
        <w:footnoteRef/>
      </w:r>
      <w:r>
        <w:t xml:space="preserve"> Thuc. 7.27-7.28</w:t>
      </w:r>
    </w:p>
  </w:footnote>
  <w:footnote w:id="29">
    <w:p w14:paraId="08DF69AB" w14:textId="77777777" w:rsidR="00784B90" w:rsidRDefault="00784B90" w:rsidP="00784B90">
      <w:pPr>
        <w:pStyle w:val="FootnoteText"/>
      </w:pPr>
      <w:r>
        <w:rPr>
          <w:rStyle w:val="FootnoteReference"/>
        </w:rPr>
        <w:footnoteRef/>
      </w:r>
      <w:r>
        <w:t xml:space="preserve"> Ibid </w:t>
      </w:r>
    </w:p>
  </w:footnote>
  <w:footnote w:id="30">
    <w:p w14:paraId="7DE58B40" w14:textId="77777777" w:rsidR="00784B90" w:rsidRDefault="00784B90" w:rsidP="00784B90">
      <w:pPr>
        <w:pStyle w:val="FootnoteText"/>
      </w:pPr>
      <w:r>
        <w:rPr>
          <w:rStyle w:val="FootnoteReference"/>
        </w:rPr>
        <w:footnoteRef/>
      </w:r>
      <w:r>
        <w:t xml:space="preserve"> Xen. Hell. 1.1.24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CB058CC"/>
    <w:multiLevelType w:val="hybridMultilevel"/>
    <w:tmpl w:val="C4987F3A"/>
    <w:lvl w:ilvl="0" w:tplc="093A5D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1F2E"/>
    <w:rsid w:val="000162B2"/>
    <w:rsid w:val="0005456A"/>
    <w:rsid w:val="00070F18"/>
    <w:rsid w:val="0008587A"/>
    <w:rsid w:val="00095739"/>
    <w:rsid w:val="000C1D6A"/>
    <w:rsid w:val="000D0ECB"/>
    <w:rsid w:val="000D487F"/>
    <w:rsid w:val="000E15CD"/>
    <w:rsid w:val="000F3B6E"/>
    <w:rsid w:val="001328CB"/>
    <w:rsid w:val="00140B9E"/>
    <w:rsid w:val="001F54D6"/>
    <w:rsid w:val="002306EF"/>
    <w:rsid w:val="00244FB9"/>
    <w:rsid w:val="002C2B15"/>
    <w:rsid w:val="002E2304"/>
    <w:rsid w:val="003161B9"/>
    <w:rsid w:val="00351A73"/>
    <w:rsid w:val="00351F2E"/>
    <w:rsid w:val="003617A9"/>
    <w:rsid w:val="003900F4"/>
    <w:rsid w:val="003B5605"/>
    <w:rsid w:val="003F07B2"/>
    <w:rsid w:val="0049339A"/>
    <w:rsid w:val="004C0271"/>
    <w:rsid w:val="004C5085"/>
    <w:rsid w:val="00504D68"/>
    <w:rsid w:val="00562C79"/>
    <w:rsid w:val="00583DE9"/>
    <w:rsid w:val="005A1871"/>
    <w:rsid w:val="005F4D52"/>
    <w:rsid w:val="00666DAC"/>
    <w:rsid w:val="006C6E3B"/>
    <w:rsid w:val="006D39D7"/>
    <w:rsid w:val="006D7107"/>
    <w:rsid w:val="00741BAC"/>
    <w:rsid w:val="00784B90"/>
    <w:rsid w:val="00796162"/>
    <w:rsid w:val="007C15CA"/>
    <w:rsid w:val="0089450F"/>
    <w:rsid w:val="00937D4E"/>
    <w:rsid w:val="00A04A95"/>
    <w:rsid w:val="00A201EE"/>
    <w:rsid w:val="00A81110"/>
    <w:rsid w:val="00A84313"/>
    <w:rsid w:val="00B14923"/>
    <w:rsid w:val="00B63939"/>
    <w:rsid w:val="00B661B7"/>
    <w:rsid w:val="00B854B1"/>
    <w:rsid w:val="00BA77AB"/>
    <w:rsid w:val="00BF33AC"/>
    <w:rsid w:val="00BF5BB4"/>
    <w:rsid w:val="00C26B56"/>
    <w:rsid w:val="00CE0A93"/>
    <w:rsid w:val="00CE0F71"/>
    <w:rsid w:val="00D83A2A"/>
    <w:rsid w:val="00DF232C"/>
    <w:rsid w:val="00E91B08"/>
    <w:rsid w:val="00EB0F5A"/>
    <w:rsid w:val="00EC3283"/>
    <w:rsid w:val="00F34900"/>
    <w:rsid w:val="048FA94C"/>
    <w:rsid w:val="66CE6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E0E0B"/>
  <w15:chartTrackingRefBased/>
  <w15:docId w15:val="{AB95239A-EC46-42C0-9C16-9DE2DAD3F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617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617A9"/>
    <w:rPr>
      <w:sz w:val="20"/>
      <w:szCs w:val="20"/>
    </w:rPr>
  </w:style>
  <w:style w:type="character" w:styleId="FootnoteReference">
    <w:name w:val="footnote reference"/>
    <w:basedOn w:val="DefaultParagraphFont"/>
    <w:uiPriority w:val="99"/>
    <w:semiHidden/>
    <w:unhideWhenUsed/>
    <w:rsid w:val="003617A9"/>
    <w:rPr>
      <w:vertAlign w:val="superscript"/>
    </w:rPr>
  </w:style>
  <w:style w:type="paragraph" w:styleId="ListParagraph">
    <w:name w:val="List Paragraph"/>
    <w:basedOn w:val="Normal"/>
    <w:uiPriority w:val="34"/>
    <w:qFormat/>
    <w:rsid w:val="00095739"/>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2E23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2304"/>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B63939"/>
    <w:rPr>
      <w:b/>
      <w:bCs/>
    </w:rPr>
  </w:style>
  <w:style w:type="character" w:customStyle="1" w:styleId="CommentSubjectChar">
    <w:name w:val="Comment Subject Char"/>
    <w:basedOn w:val="CommentTextChar"/>
    <w:link w:val="CommentSubject"/>
    <w:uiPriority w:val="99"/>
    <w:semiHidden/>
    <w:rsid w:val="00B6393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8797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A85E0E-7431-43C5-A307-11837AAA3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4</Pages>
  <Words>1369</Words>
  <Characters>7804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Diamond (1500193)</dc:creator>
  <cp:keywords/>
  <dc:description/>
  <cp:lastModifiedBy>Rebecca Diamond (1500193)</cp:lastModifiedBy>
  <cp:revision>9</cp:revision>
  <dcterms:created xsi:type="dcterms:W3CDTF">2018-05-18T14:49:00Z</dcterms:created>
  <dcterms:modified xsi:type="dcterms:W3CDTF">2018-05-18T15:23:00Z</dcterms:modified>
</cp:coreProperties>
</file>