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1A426" w14:textId="77777777" w:rsidR="00F735D4" w:rsidRPr="00BD348F" w:rsidRDefault="00F735D4" w:rsidP="00F735D4">
      <w:pPr>
        <w:pStyle w:val="Header"/>
        <w:tabs>
          <w:tab w:val="clear" w:pos="4153"/>
          <w:tab w:val="clear" w:pos="8306"/>
        </w:tabs>
        <w:jc w:val="right"/>
        <w:rPr>
          <w:rFonts w:ascii="Arial" w:hAnsi="Arial" w:cs="Arial"/>
          <w:b/>
          <w:bCs/>
          <w:sz w:val="28"/>
          <w:szCs w:val="28"/>
        </w:rPr>
      </w:pPr>
      <w:r w:rsidRPr="00BD348F">
        <w:rPr>
          <w:rFonts w:ascii="Arial" w:hAnsi="Arial" w:cs="Arial"/>
          <w:noProof/>
        </w:rPr>
        <w:drawing>
          <wp:anchor distT="0" distB="0" distL="114300" distR="114300" simplePos="0" relativeHeight="251659264" behindDoc="0" locked="0" layoutInCell="1" allowOverlap="1" wp14:anchorId="19990224" wp14:editId="1DF3EA29">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D348F">
        <w:rPr>
          <w:rFonts w:ascii="Arial" w:hAnsi="Arial" w:cs="Arial"/>
        </w:rPr>
        <w:t xml:space="preserve"> </w:t>
      </w:r>
      <w:r w:rsidRPr="00BD348F">
        <w:rPr>
          <w:rFonts w:ascii="Arial" w:hAnsi="Arial" w:cs="Arial"/>
        </w:rPr>
        <w:br w:type="textWrapping" w:clear="all"/>
      </w:r>
      <w:r w:rsidRPr="00BD348F">
        <w:rPr>
          <w:rFonts w:ascii="Arial" w:hAnsi="Arial" w:cs="Arial"/>
          <w:b/>
          <w:bCs/>
          <w:sz w:val="28"/>
          <w:szCs w:val="28"/>
        </w:rPr>
        <w:t>APPENDIX GA36c</w:t>
      </w:r>
    </w:p>
    <w:p w14:paraId="23B34EA0" w14:textId="77777777" w:rsidR="00F735D4" w:rsidRPr="00BD348F"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BD348F" w14:paraId="076B4F9E" w14:textId="77777777" w:rsidTr="00303A63">
        <w:tc>
          <w:tcPr>
            <w:tcW w:w="9922" w:type="dxa"/>
            <w:shd w:val="clear" w:color="auto" w:fill="C0C0C0"/>
          </w:tcPr>
          <w:p w14:paraId="30DC1DAD" w14:textId="77777777" w:rsidR="00F735D4" w:rsidRPr="00BD348F" w:rsidRDefault="00F735D4" w:rsidP="00303A63">
            <w:pPr>
              <w:pStyle w:val="Heading4"/>
              <w:rPr>
                <w:rFonts w:ascii="Arial" w:hAnsi="Arial" w:cs="Arial"/>
                <w:b/>
                <w:bCs/>
              </w:rPr>
            </w:pPr>
            <w:r w:rsidRPr="00BD348F">
              <w:rPr>
                <w:rFonts w:ascii="Arial" w:hAnsi="Arial" w:cs="Arial"/>
                <w:b/>
                <w:bCs/>
              </w:rPr>
              <w:t xml:space="preserve">LEVEL 6 ASSESSMENT SPECIFICATION </w:t>
            </w:r>
          </w:p>
        </w:tc>
      </w:tr>
    </w:tbl>
    <w:p w14:paraId="3ADA04BD" w14:textId="77777777" w:rsidR="00F735D4" w:rsidRPr="00BD348F" w:rsidRDefault="00F735D4" w:rsidP="00F735D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BD348F" w14:paraId="41681047" w14:textId="77777777" w:rsidTr="00303A63">
        <w:tc>
          <w:tcPr>
            <w:tcW w:w="2093" w:type="dxa"/>
            <w:shd w:val="clear" w:color="auto" w:fill="auto"/>
          </w:tcPr>
          <w:p w14:paraId="58F4A42B"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Student name:</w:t>
            </w:r>
          </w:p>
        </w:tc>
        <w:tc>
          <w:tcPr>
            <w:tcW w:w="3293" w:type="dxa"/>
          </w:tcPr>
          <w:p w14:paraId="3C4AF9D6" w14:textId="61718925" w:rsidR="00F735D4" w:rsidRPr="00BD348F" w:rsidRDefault="00636B46" w:rsidP="00303A63">
            <w:pPr>
              <w:spacing w:before="120" w:after="120"/>
              <w:jc w:val="both"/>
              <w:rPr>
                <w:rFonts w:ascii="Arial" w:hAnsi="Arial" w:cs="Arial"/>
                <w:b/>
                <w:sz w:val="22"/>
                <w:szCs w:val="22"/>
              </w:rPr>
            </w:pPr>
            <w:r w:rsidRPr="00BD348F">
              <w:rPr>
                <w:rFonts w:ascii="Arial" w:hAnsi="Arial" w:cs="Arial"/>
                <w:b/>
                <w:sz w:val="22"/>
                <w:szCs w:val="22"/>
              </w:rPr>
              <w:t>Umikhair Ahmed</w:t>
            </w:r>
          </w:p>
        </w:tc>
        <w:tc>
          <w:tcPr>
            <w:tcW w:w="2268" w:type="dxa"/>
            <w:shd w:val="clear" w:color="auto" w:fill="D9D9D9" w:themeFill="background1" w:themeFillShade="D9"/>
          </w:tcPr>
          <w:p w14:paraId="235F5605"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Student ID number:</w:t>
            </w:r>
          </w:p>
        </w:tc>
        <w:tc>
          <w:tcPr>
            <w:tcW w:w="2268" w:type="dxa"/>
          </w:tcPr>
          <w:p w14:paraId="1B73B80A" w14:textId="7BD167FC" w:rsidR="00F735D4" w:rsidRPr="00BD348F" w:rsidRDefault="00636B46" w:rsidP="00303A63">
            <w:pPr>
              <w:spacing w:before="120" w:after="120"/>
              <w:jc w:val="both"/>
              <w:rPr>
                <w:rFonts w:ascii="Arial" w:hAnsi="Arial" w:cs="Arial"/>
                <w:b/>
                <w:sz w:val="22"/>
                <w:szCs w:val="22"/>
              </w:rPr>
            </w:pPr>
            <w:r w:rsidRPr="00BD348F">
              <w:rPr>
                <w:rFonts w:ascii="Arial" w:hAnsi="Arial" w:cs="Arial"/>
                <w:b/>
                <w:sz w:val="22"/>
                <w:szCs w:val="22"/>
              </w:rPr>
              <w:t>1800894</w:t>
            </w:r>
          </w:p>
        </w:tc>
      </w:tr>
      <w:tr w:rsidR="00F735D4" w:rsidRPr="00BD348F" w14:paraId="4188F123" w14:textId="77777777" w:rsidTr="00303A63">
        <w:tc>
          <w:tcPr>
            <w:tcW w:w="2093" w:type="dxa"/>
            <w:shd w:val="clear" w:color="auto" w:fill="auto"/>
          </w:tcPr>
          <w:p w14:paraId="504559EB"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Programme:</w:t>
            </w:r>
          </w:p>
        </w:tc>
        <w:tc>
          <w:tcPr>
            <w:tcW w:w="7829" w:type="dxa"/>
            <w:gridSpan w:val="3"/>
          </w:tcPr>
          <w:p w14:paraId="0F977C51"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Secondary PGCE</w:t>
            </w:r>
          </w:p>
        </w:tc>
      </w:tr>
      <w:tr w:rsidR="00F735D4" w:rsidRPr="00BD348F" w14:paraId="5A26A8A3" w14:textId="77777777" w:rsidTr="00303A63">
        <w:tc>
          <w:tcPr>
            <w:tcW w:w="2093" w:type="dxa"/>
            <w:shd w:val="clear" w:color="auto" w:fill="auto"/>
          </w:tcPr>
          <w:p w14:paraId="3D97B105"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Module:</w:t>
            </w:r>
          </w:p>
        </w:tc>
        <w:tc>
          <w:tcPr>
            <w:tcW w:w="7829" w:type="dxa"/>
            <w:gridSpan w:val="3"/>
            <w:shd w:val="clear" w:color="auto" w:fill="auto"/>
          </w:tcPr>
          <w:p w14:paraId="7F6ED678"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 xml:space="preserve">Principles of Teaching, Learning and Pedagogy in the Secondary Sector </w:t>
            </w:r>
          </w:p>
        </w:tc>
      </w:tr>
      <w:tr w:rsidR="00F735D4" w:rsidRPr="00BD348F" w14:paraId="22179C07" w14:textId="77777777" w:rsidTr="00303A63">
        <w:tc>
          <w:tcPr>
            <w:tcW w:w="2093" w:type="dxa"/>
            <w:shd w:val="clear" w:color="auto" w:fill="auto"/>
          </w:tcPr>
          <w:p w14:paraId="1820568D"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Module code:</w:t>
            </w:r>
          </w:p>
        </w:tc>
        <w:tc>
          <w:tcPr>
            <w:tcW w:w="3293" w:type="dxa"/>
          </w:tcPr>
          <w:p w14:paraId="2BA510D4"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ECSP6001</w:t>
            </w:r>
          </w:p>
        </w:tc>
        <w:tc>
          <w:tcPr>
            <w:tcW w:w="2268" w:type="dxa"/>
            <w:shd w:val="clear" w:color="auto" w:fill="D9D9D9" w:themeFill="background1" w:themeFillShade="D9"/>
          </w:tcPr>
          <w:p w14:paraId="768351EE" w14:textId="77777777" w:rsidR="00F735D4" w:rsidRPr="00BD348F" w:rsidRDefault="00F735D4" w:rsidP="00303A63">
            <w:pPr>
              <w:pStyle w:val="Heading2"/>
              <w:rPr>
                <w:rFonts w:ascii="Arial" w:hAnsi="Arial" w:cs="Arial"/>
                <w:sz w:val="22"/>
                <w:szCs w:val="22"/>
              </w:rPr>
            </w:pPr>
            <w:r w:rsidRPr="00BD348F">
              <w:rPr>
                <w:rFonts w:ascii="Arial" w:hAnsi="Arial" w:cs="Arial"/>
                <w:sz w:val="22"/>
                <w:szCs w:val="22"/>
              </w:rPr>
              <w:t>Contribution to Overall Module Assessment (%):</w:t>
            </w:r>
          </w:p>
        </w:tc>
        <w:tc>
          <w:tcPr>
            <w:tcW w:w="2268" w:type="dxa"/>
          </w:tcPr>
          <w:p w14:paraId="26EB0B27"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50%</w:t>
            </w:r>
          </w:p>
        </w:tc>
      </w:tr>
      <w:tr w:rsidR="00F735D4" w:rsidRPr="00BD348F" w14:paraId="631187F1" w14:textId="77777777" w:rsidTr="00303A63">
        <w:tc>
          <w:tcPr>
            <w:tcW w:w="2093" w:type="dxa"/>
            <w:shd w:val="clear" w:color="auto" w:fill="auto"/>
          </w:tcPr>
          <w:p w14:paraId="7EC98F9B"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Lecturer:</w:t>
            </w:r>
          </w:p>
        </w:tc>
        <w:tc>
          <w:tcPr>
            <w:tcW w:w="3293" w:type="dxa"/>
          </w:tcPr>
          <w:p w14:paraId="15973010"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 xml:space="preserve">Alison S Evans </w:t>
            </w:r>
          </w:p>
        </w:tc>
        <w:tc>
          <w:tcPr>
            <w:tcW w:w="2268" w:type="dxa"/>
            <w:shd w:val="clear" w:color="auto" w:fill="D9D9D9" w:themeFill="background1" w:themeFillShade="D9"/>
          </w:tcPr>
          <w:p w14:paraId="641B87F0"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Internal Verifier:</w:t>
            </w:r>
          </w:p>
        </w:tc>
        <w:tc>
          <w:tcPr>
            <w:tcW w:w="2268" w:type="dxa"/>
          </w:tcPr>
          <w:p w14:paraId="0F3AEFE3" w14:textId="77777777" w:rsidR="00F735D4" w:rsidRPr="00BD348F" w:rsidRDefault="00F735D4" w:rsidP="00303A63">
            <w:pPr>
              <w:spacing w:before="120" w:after="120"/>
              <w:jc w:val="both"/>
              <w:rPr>
                <w:rFonts w:ascii="Arial" w:hAnsi="Arial" w:cs="Arial"/>
                <w:b/>
                <w:sz w:val="22"/>
                <w:szCs w:val="22"/>
              </w:rPr>
            </w:pPr>
          </w:p>
        </w:tc>
      </w:tr>
      <w:tr w:rsidR="00F735D4" w:rsidRPr="00BD348F" w14:paraId="196463C1" w14:textId="77777777" w:rsidTr="00303A63">
        <w:tc>
          <w:tcPr>
            <w:tcW w:w="2093" w:type="dxa"/>
            <w:shd w:val="clear" w:color="auto" w:fill="auto"/>
          </w:tcPr>
          <w:p w14:paraId="32991666"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Assignment Title:</w:t>
            </w:r>
          </w:p>
        </w:tc>
        <w:tc>
          <w:tcPr>
            <w:tcW w:w="3293" w:type="dxa"/>
          </w:tcPr>
          <w:p w14:paraId="35FD0579"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 xml:space="preserve">Part B, (i) and (ii) </w:t>
            </w:r>
          </w:p>
        </w:tc>
        <w:tc>
          <w:tcPr>
            <w:tcW w:w="2268" w:type="dxa"/>
            <w:shd w:val="clear" w:color="auto" w:fill="auto"/>
          </w:tcPr>
          <w:p w14:paraId="46C7B232"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Word count (or equivalent):</w:t>
            </w:r>
          </w:p>
        </w:tc>
        <w:tc>
          <w:tcPr>
            <w:tcW w:w="2268" w:type="dxa"/>
          </w:tcPr>
          <w:p w14:paraId="760C0DB0" w14:textId="77777777" w:rsidR="00F735D4" w:rsidRPr="00BD348F" w:rsidRDefault="00F735D4" w:rsidP="00F735D4">
            <w:pPr>
              <w:pStyle w:val="ListParagraph"/>
              <w:numPr>
                <w:ilvl w:val="0"/>
                <w:numId w:val="1"/>
              </w:numPr>
              <w:spacing w:before="120" w:after="120"/>
              <w:jc w:val="both"/>
              <w:rPr>
                <w:rFonts w:ascii="Arial" w:hAnsi="Arial" w:cs="Arial"/>
                <w:b/>
                <w:sz w:val="22"/>
                <w:szCs w:val="22"/>
              </w:rPr>
            </w:pPr>
            <w:r w:rsidRPr="00BD348F">
              <w:rPr>
                <w:rFonts w:ascii="Arial" w:hAnsi="Arial" w:cs="Arial"/>
                <w:b/>
                <w:sz w:val="22"/>
                <w:szCs w:val="22"/>
              </w:rPr>
              <w:t>= 1,500</w:t>
            </w:r>
          </w:p>
          <w:p w14:paraId="47761DDC" w14:textId="77777777" w:rsidR="00F735D4" w:rsidRPr="00BD348F" w:rsidRDefault="00F735D4" w:rsidP="00F735D4">
            <w:pPr>
              <w:pStyle w:val="ListParagraph"/>
              <w:numPr>
                <w:ilvl w:val="0"/>
                <w:numId w:val="1"/>
              </w:numPr>
              <w:spacing w:before="120" w:after="120"/>
              <w:jc w:val="both"/>
              <w:rPr>
                <w:rFonts w:ascii="Arial" w:hAnsi="Arial" w:cs="Arial"/>
                <w:b/>
                <w:sz w:val="22"/>
                <w:szCs w:val="22"/>
              </w:rPr>
            </w:pPr>
            <w:r w:rsidRPr="00BD348F">
              <w:rPr>
                <w:rFonts w:ascii="Arial" w:hAnsi="Arial" w:cs="Arial"/>
                <w:b/>
                <w:sz w:val="22"/>
                <w:szCs w:val="22"/>
              </w:rPr>
              <w:t>= 2,000</w:t>
            </w:r>
          </w:p>
        </w:tc>
      </w:tr>
      <w:tr w:rsidR="00F735D4" w:rsidRPr="00BD348F" w14:paraId="35648C4E" w14:textId="77777777" w:rsidTr="00303A63">
        <w:tc>
          <w:tcPr>
            <w:tcW w:w="2093" w:type="dxa"/>
            <w:shd w:val="clear" w:color="auto" w:fill="auto"/>
          </w:tcPr>
          <w:p w14:paraId="3B53ACFE"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Submission deadline:</w:t>
            </w:r>
          </w:p>
        </w:tc>
        <w:tc>
          <w:tcPr>
            <w:tcW w:w="3293" w:type="dxa"/>
            <w:shd w:val="clear" w:color="auto" w:fill="auto"/>
          </w:tcPr>
          <w:p w14:paraId="142069DD"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26 November 2018</w:t>
            </w:r>
          </w:p>
        </w:tc>
        <w:tc>
          <w:tcPr>
            <w:tcW w:w="2268" w:type="dxa"/>
            <w:shd w:val="clear" w:color="auto" w:fill="auto"/>
          </w:tcPr>
          <w:p w14:paraId="3A89F1BE" w14:textId="77777777" w:rsidR="00F735D4" w:rsidRPr="00BD348F" w:rsidRDefault="00F735D4" w:rsidP="00303A63">
            <w:pPr>
              <w:spacing w:before="120" w:after="120"/>
              <w:jc w:val="both"/>
              <w:rPr>
                <w:rFonts w:ascii="Arial" w:hAnsi="Arial" w:cs="Arial"/>
                <w:b/>
                <w:bCs/>
                <w:sz w:val="22"/>
                <w:szCs w:val="22"/>
              </w:rPr>
            </w:pPr>
            <w:r w:rsidRPr="00BD348F">
              <w:rPr>
                <w:rFonts w:ascii="Arial" w:hAnsi="Arial" w:cs="Arial"/>
                <w:b/>
                <w:bCs/>
                <w:sz w:val="22"/>
                <w:szCs w:val="22"/>
              </w:rPr>
              <w:t>Return date of provisional marks &amp; written feedback:</w:t>
            </w:r>
          </w:p>
        </w:tc>
        <w:tc>
          <w:tcPr>
            <w:tcW w:w="2268" w:type="dxa"/>
          </w:tcPr>
          <w:p w14:paraId="590BD12D" w14:textId="77777777" w:rsidR="00F735D4" w:rsidRPr="00BD348F" w:rsidRDefault="00F735D4" w:rsidP="00303A63">
            <w:pPr>
              <w:spacing w:before="120" w:after="120"/>
              <w:jc w:val="both"/>
              <w:rPr>
                <w:rFonts w:ascii="Arial" w:hAnsi="Arial" w:cs="Arial"/>
                <w:b/>
                <w:sz w:val="22"/>
                <w:szCs w:val="22"/>
              </w:rPr>
            </w:pPr>
            <w:r w:rsidRPr="00BD348F">
              <w:rPr>
                <w:rFonts w:ascii="Arial" w:hAnsi="Arial" w:cs="Arial"/>
                <w:b/>
                <w:sz w:val="22"/>
                <w:szCs w:val="22"/>
              </w:rPr>
              <w:t>17 December 2018</w:t>
            </w:r>
          </w:p>
        </w:tc>
      </w:tr>
    </w:tbl>
    <w:p w14:paraId="0AE8BE48" w14:textId="77777777" w:rsidR="00F735D4" w:rsidRPr="00BD348F" w:rsidRDefault="00F735D4" w:rsidP="00F735D4">
      <w:pPr>
        <w:rPr>
          <w:rFonts w:ascii="Arial" w:hAnsi="Arial" w:cs="Arial"/>
          <w:sz w:val="32"/>
        </w:rPr>
      </w:pPr>
    </w:p>
    <w:p w14:paraId="1DD8832F" w14:textId="77777777" w:rsidR="00F735D4" w:rsidRPr="00BD348F" w:rsidRDefault="00F735D4" w:rsidP="00F735D4">
      <w:pPr>
        <w:rPr>
          <w:rFonts w:ascii="Arial" w:hAnsi="Arial" w:cs="Arial"/>
          <w:sz w:val="32"/>
        </w:rPr>
      </w:pPr>
    </w:p>
    <w:p w14:paraId="162D704D" w14:textId="77777777" w:rsidR="00F735D4" w:rsidRPr="00BD348F" w:rsidRDefault="00F735D4" w:rsidP="00F735D4">
      <w:pPr>
        <w:rPr>
          <w:rFonts w:ascii="Arial" w:hAnsi="Arial" w:cs="Arial"/>
          <w:sz w:val="32"/>
        </w:rPr>
      </w:pPr>
    </w:p>
    <w:p w14:paraId="683A05B9" w14:textId="77777777" w:rsidR="00F735D4" w:rsidRPr="00BD348F" w:rsidRDefault="00F735D4" w:rsidP="00F735D4">
      <w:pPr>
        <w:rPr>
          <w:rFonts w:ascii="Arial" w:hAnsi="Arial" w:cs="Arial"/>
          <w:sz w:val="32"/>
        </w:rPr>
      </w:pPr>
    </w:p>
    <w:p w14:paraId="14FA7C8D" w14:textId="335F2184" w:rsidR="00BD348F" w:rsidRPr="00BD348F" w:rsidRDefault="00BD348F">
      <w:pPr>
        <w:spacing w:after="160" w:line="259" w:lineRule="auto"/>
        <w:rPr>
          <w:rFonts w:ascii="Arial" w:hAnsi="Arial" w:cs="Arial"/>
          <w:sz w:val="32"/>
        </w:rPr>
      </w:pPr>
      <w:r w:rsidRPr="00BD348F">
        <w:rPr>
          <w:rFonts w:ascii="Arial" w:hAnsi="Arial" w:cs="Arial"/>
          <w:sz w:val="32"/>
        </w:rPr>
        <w:br w:type="page"/>
      </w:r>
    </w:p>
    <w:p w14:paraId="44A308D9" w14:textId="77777777" w:rsidR="00BD348F" w:rsidRPr="00BD348F" w:rsidRDefault="00BD348F" w:rsidP="00BD348F">
      <w:pPr>
        <w:autoSpaceDE w:val="0"/>
        <w:autoSpaceDN w:val="0"/>
        <w:adjustRightInd w:val="0"/>
        <w:spacing w:after="240" w:line="264" w:lineRule="auto"/>
        <w:rPr>
          <w:rFonts w:ascii="Avenir Next" w:eastAsiaTheme="minorHAnsi" w:hAnsi="Avenir Next" w:cs="Avenir Next"/>
          <w:color w:val="000000"/>
          <w:sz w:val="40"/>
          <w:szCs w:val="40"/>
          <w:lang w:eastAsia="en-US"/>
        </w:rPr>
      </w:pPr>
      <w:r w:rsidRPr="00BD348F">
        <w:rPr>
          <w:rFonts w:ascii="Avenir Next" w:eastAsiaTheme="minorHAnsi" w:hAnsi="Avenir Next" w:cs="Avenir Next"/>
          <w:color w:val="000000"/>
          <w:sz w:val="40"/>
          <w:szCs w:val="40"/>
          <w:lang w:eastAsia="en-US"/>
        </w:rPr>
        <w:lastRenderedPageBreak/>
        <w:t>PART B (i) – Learning Principles</w:t>
      </w:r>
    </w:p>
    <w:p w14:paraId="3D9734B0"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This assignment is </w:t>
      </w:r>
      <w:proofErr w:type="gramStart"/>
      <w:r w:rsidRPr="00BD348F">
        <w:rPr>
          <w:rFonts w:ascii="Calibri" w:eastAsiaTheme="minorHAnsi" w:hAnsi="Calibri" w:cs="Calibri"/>
          <w:color w:val="000000"/>
          <w:sz w:val="24"/>
          <w:szCs w:val="24"/>
          <w:lang w:eastAsia="en-US"/>
        </w:rPr>
        <w:t>explains</w:t>
      </w:r>
      <w:proofErr w:type="gramEnd"/>
      <w:r w:rsidRPr="00BD348F">
        <w:rPr>
          <w:rFonts w:ascii="Calibri" w:eastAsiaTheme="minorHAnsi" w:hAnsi="Calibri" w:cs="Calibri"/>
          <w:color w:val="000000"/>
          <w:sz w:val="24"/>
          <w:szCs w:val="24"/>
          <w:lang w:eastAsia="en-US"/>
        </w:rPr>
        <w:t xml:space="preserve"> a scheme of work designed for Year 9 students. The scheme of work covers six lessons, one of which was delivered as a Micro Teach session to my PGCE peer group. The overall aim of the scheme of work was to raise the students writing skills from Level 3 to </w:t>
      </w:r>
      <w:r w:rsidRPr="00BD348F">
        <w:rPr>
          <w:rFonts w:ascii="MS Gothic" w:eastAsia="MS Gothic" w:hAnsi="MS Gothic" w:cs="MS Gothic"/>
          <w:color w:val="000000"/>
          <w:sz w:val="24"/>
          <w:szCs w:val="24"/>
          <w:lang w:eastAsia="en-US"/>
        </w:rPr>
        <w:t> </w:t>
      </w:r>
      <w:r w:rsidRPr="00BD348F">
        <w:rPr>
          <w:rFonts w:ascii="Calibri" w:eastAsiaTheme="minorHAnsi" w:hAnsi="Calibri" w:cs="Calibri"/>
          <w:color w:val="000000"/>
          <w:sz w:val="24"/>
          <w:szCs w:val="24"/>
          <w:lang w:eastAsia="en-US"/>
        </w:rPr>
        <w:t>Level 4.</w:t>
      </w:r>
    </w:p>
    <w:p w14:paraId="6CCD2531"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In planning and teaching, I tried to vary my methods and resources so that interest and motivation were maintained. Beverton et al. (2005, p.4) advised teachers to use “a range of strategies to create a positive learning environment” as a range of ideas is “more important than expertise in single methods.”.</w:t>
      </w:r>
    </w:p>
    <w:p w14:paraId="1518C02A"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The scheme of work followed a natural progression starting with some revision of the most basic elements of what constitutes a sentence. It then moved from enriching writing using adjectives and sense words to compound sentences and organisation with paragraphs. The progression culminated in consolidation and controlled writing of short descriptive paragraphs.</w:t>
      </w:r>
    </w:p>
    <w:p w14:paraId="7190CC5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The main learning aspects of this scheme of work were all grammatical, reflecting the strong emphasis placed on teaching grammar in the National Learning Strategy, despite the well-publicised paucity of evidence linking the teaching of grammar to the quality of children’s writing that has lead to widespread resistance to learning grammar (Beard, 2000, p.123, in Harrison, 2002) and satirical opinions such as “teaching children about syntax and the parts of speech will result in better writing, as well as making them politer, more patriotic and less likely to become pregnant.” (Pullman, 2005).</w:t>
      </w:r>
    </w:p>
    <w:p w14:paraId="5AFD2C6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One of the most striking aspects of the scheme of work was its starting point, as the basics of sentence construction are clearly Level 2 concepts (Curriculum for Wales, 2016) whereas the class was supposed to be at Level 3 aiming to attain Level 4. It appears that it is not at all uncommon for students to be below their expected attainment level in writing, with sentence formation skills being recognised as an area needing remedial lessons or structured revision. Previously, resources in the form of Literacy Progress Units have been designed and made available to address achievement gaps in areas such as these. One of the critical features identified was “using full stops, capital letters and commas accurately in longer sentences” and “varying sentence structure” (DfES, 2003, p. iv). These aspects were covered in the first two lessons of the scheme of work.</w:t>
      </w:r>
    </w:p>
    <w:p w14:paraId="3D9E629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In planning of this scheme of work I tried to be guided by Bloom’s Taxonomy (see Dunlosky, 2013) which is basically a continuum from lower to higher order thinking skills (LOTS to HOTS) that follows the principle that concepts need first to be remembered before they can be understood, and similarly, that knowledge and concepts cannot be applied if they are not understood. It is possible to start learning at any point, but prior knowledge and stages are going to influence the learning process.</w:t>
      </w:r>
    </w:p>
    <w:p w14:paraId="0038DA2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I selected the first lesson from the scheme of work for my Micro Teach session. This lesson could have been contentious as its starting point was the raw sentence “the cat sat on the </w:t>
      </w:r>
      <w:r w:rsidRPr="00BD348F">
        <w:rPr>
          <w:rFonts w:ascii="Calibri" w:eastAsiaTheme="minorHAnsi" w:hAnsi="Calibri" w:cs="Calibri"/>
          <w:color w:val="000000"/>
          <w:sz w:val="24"/>
          <w:szCs w:val="24"/>
          <w:lang w:eastAsia="en-US"/>
        </w:rPr>
        <w:lastRenderedPageBreak/>
        <w:t xml:space="preserve">mat” and clearly, a Year 9 class could rightly view this starting point as beneath them. However, as my analysis of the students’ exam results convinced me that quite a number of aspects from Level 2 had not made the progression to Level 3, I felt this to be an ideal starting place rather than starting something new. The reason for this is that I perceive the danger in such situations (and this may be a consequence of my background in ESL teaching) to be that grammatical weaknesses can become fossilised and prove much harder to correct at later stages (Maleki, 2010). In making this decision, I </w:t>
      </w:r>
      <w:proofErr w:type="gramStart"/>
      <w:r w:rsidRPr="00BD348F">
        <w:rPr>
          <w:rFonts w:ascii="Calibri" w:eastAsiaTheme="minorHAnsi" w:hAnsi="Calibri" w:cs="Calibri"/>
          <w:color w:val="000000"/>
          <w:sz w:val="24"/>
          <w:szCs w:val="24"/>
          <w:lang w:eastAsia="en-US"/>
        </w:rPr>
        <w:t>took into account</w:t>
      </w:r>
      <w:proofErr w:type="gramEnd"/>
      <w:r w:rsidRPr="00BD348F">
        <w:rPr>
          <w:rFonts w:ascii="Calibri" w:eastAsiaTheme="minorHAnsi" w:hAnsi="Calibri" w:cs="Calibri"/>
          <w:color w:val="000000"/>
          <w:sz w:val="24"/>
          <w:szCs w:val="24"/>
          <w:lang w:eastAsia="en-US"/>
        </w:rPr>
        <w:t xml:space="preserve"> the fact that there will be students in the class who have mastered the sentence structure. For these students the lesson would have served as a revision session based their prior knowledge of the subject, and as such will act as an additional time-separated cue for subsequent memory retrieval (Dunlosky et al. 2013).</w:t>
      </w:r>
    </w:p>
    <w:p w14:paraId="2016C75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I planned to start the Micro Teach session with a discussion of the sentence on the board. I intended to use Socrates questioning techniques using selected prompts (Elder and Paul, 2008 in Piro and Anderson, 2016) to scaffold and develop the students own definition of a sentence, by asking them to identify errors on the sentence and to examine their ideas logically so that they could determine the validity of their ideas. In reality, however, I found teaching the Micro Teach session challenging because I couldn’t keep the staged reality separate from the objective of teaching Level 2 sentence structure to a Year 9 class. As a </w:t>
      </w:r>
      <w:proofErr w:type="gramStart"/>
      <w:r w:rsidRPr="00BD348F">
        <w:rPr>
          <w:rFonts w:ascii="Calibri" w:eastAsiaTheme="minorHAnsi" w:hAnsi="Calibri" w:cs="Calibri"/>
          <w:color w:val="000000"/>
          <w:sz w:val="24"/>
          <w:szCs w:val="24"/>
          <w:lang w:eastAsia="en-US"/>
        </w:rPr>
        <w:t>result</w:t>
      </w:r>
      <w:proofErr w:type="gramEnd"/>
      <w:r w:rsidRPr="00BD348F">
        <w:rPr>
          <w:rFonts w:ascii="Calibri" w:eastAsiaTheme="minorHAnsi" w:hAnsi="Calibri" w:cs="Calibri"/>
          <w:color w:val="000000"/>
          <w:sz w:val="24"/>
          <w:szCs w:val="24"/>
          <w:lang w:eastAsia="en-US"/>
        </w:rPr>
        <w:t xml:space="preserve"> most of my questioning degenerated into closed questioning whereas open questioning would have been more appropriate to the goal of the students discovering rules for sentences (DfES, 2004b).</w:t>
      </w:r>
    </w:p>
    <w:p w14:paraId="24EA2A0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The Micro Teach session consisted of three separate episodes, each with its own beginning, middle and end. The longest episode was in the middle and the episode with the longest ending was at the end. The reason for organising the lesson into these divisions is because students have limited attention spans (equivalent to their chronological age plus one or two minutes), learn more from a beginning of an activity than the middle, but learn most from the end of the session (DfES, 2004a, p.9).</w:t>
      </w:r>
    </w:p>
    <w:p w14:paraId="465B131A"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According to (Harrison, 2002, p. 28) the National Literacy Strategy favours teaching approaches that that emphasise teacher-student interactions through task-specific processes over the teacher-led and student-led approaches that emphasise error correction and pupil engagement respectively. These are equivalent to Hillocks’s (1985) ‘environmental’, ‘presentational’ and ‘natural process’ categories. I used the three Ps or PPP method (present, practice, produce) approach to teaching grammar as this is a well-known and widely-practiced method, and I felt that by using a familiar method the students would participate willingly. I did not, however, mention the learning objective embedded within the lesson, as this a useful technique for moving lessons forward that can lead to a greater understanding than explicitly explaining the aims (Hattie, 1987).</w:t>
      </w:r>
    </w:p>
    <w:p w14:paraId="2EF8AE01"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I allowed sufficient time for students to ask and answer questions as this has been identified as an area of concern. Teachers often ask too many questions and do not allow enough ‘wait time’ for students to provide a thoughtful answer (DfSE, 2004b). I feel it is crucial to give more time to learners to answer questions because sometimes, although they know </w:t>
      </w:r>
      <w:r w:rsidRPr="00BD348F">
        <w:rPr>
          <w:rFonts w:ascii="Calibri" w:eastAsiaTheme="minorHAnsi" w:hAnsi="Calibri" w:cs="Calibri"/>
          <w:color w:val="000000"/>
          <w:sz w:val="24"/>
          <w:szCs w:val="24"/>
          <w:lang w:eastAsia="en-US"/>
        </w:rPr>
        <w:lastRenderedPageBreak/>
        <w:t xml:space="preserve">the answer, when put on the spot they may be taken by surprise and stumble over the </w:t>
      </w:r>
      <w:proofErr w:type="gramStart"/>
      <w:r w:rsidRPr="00BD348F">
        <w:rPr>
          <w:rFonts w:ascii="Calibri" w:eastAsiaTheme="minorHAnsi" w:hAnsi="Calibri" w:cs="Calibri"/>
          <w:color w:val="000000"/>
          <w:sz w:val="24"/>
          <w:szCs w:val="24"/>
          <w:lang w:eastAsia="en-US"/>
        </w:rPr>
        <w:t>most simple</w:t>
      </w:r>
      <w:proofErr w:type="gramEnd"/>
      <w:r w:rsidRPr="00BD348F">
        <w:rPr>
          <w:rFonts w:ascii="Calibri" w:eastAsiaTheme="minorHAnsi" w:hAnsi="Calibri" w:cs="Calibri"/>
          <w:color w:val="000000"/>
          <w:sz w:val="24"/>
          <w:szCs w:val="24"/>
          <w:lang w:eastAsia="en-US"/>
        </w:rPr>
        <w:t xml:space="preserve"> question.</w:t>
      </w:r>
    </w:p>
    <w:p w14:paraId="153822E0"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My main learning resource was a series of visual aids in the form of a a picture story. The purpose was to help the students demonstrate their ability to give full ideas of each picture before moving on to the next picture as not completing thoughts was one of the weaknesses of the exam.</w:t>
      </w:r>
    </w:p>
    <w:p w14:paraId="259E9BE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 intended the resource to be used in conjunction with Bloom’s taxonomy (see Dunlosky, 2013) to build up from simple observations to complete thoughts and further to descriptive phrases ready for inclusion into a complete thought. This part was also to be modelled so that students could develop and understand what was meant by a complete thought, and what it would look like in writing, by trying to use the target language and link it back to at least the first picture of the series.</w:t>
      </w:r>
    </w:p>
    <w:p w14:paraId="50D0C7E9"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My previous experience as an ESL teacher made me aware that even if a student whose first language is not English appears to be able to communicate with some degree of competence it does not mean that they can follow classroom instructions or participate fully in lessons. Research has shown that the fundamental differences between conversational and academic language means that learners’ everyday language may be several years in advance of their classroom language (Lucas et al., 2008). My EAL planning strategy took this account by adapting both the instructional language and expected student outcomes. The worksheets were the same but were designed with differentiation from the outset.</w:t>
      </w:r>
    </w:p>
    <w:p w14:paraId="7492164D"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236E6DF4"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5E7CE55B" w14:textId="77777777" w:rsidR="00BD348F" w:rsidRPr="00BD348F" w:rsidRDefault="00BD348F" w:rsidP="00BD348F">
      <w:pPr>
        <w:autoSpaceDE w:val="0"/>
        <w:autoSpaceDN w:val="0"/>
        <w:adjustRightInd w:val="0"/>
        <w:spacing w:after="120" w:line="264" w:lineRule="auto"/>
        <w:rPr>
          <w:rFonts w:ascii="Calibri" w:eastAsiaTheme="minorHAnsi" w:hAnsi="Calibri" w:cs="Calibri"/>
          <w:b/>
          <w:bCs/>
          <w:color w:val="000000"/>
          <w:sz w:val="24"/>
          <w:szCs w:val="24"/>
          <w:lang w:eastAsia="en-US"/>
        </w:rPr>
      </w:pPr>
      <w:r w:rsidRPr="00BD348F">
        <w:rPr>
          <w:rFonts w:ascii="Calibri" w:eastAsiaTheme="minorHAnsi" w:hAnsi="Calibri" w:cs="Calibri"/>
          <w:b/>
          <w:bCs/>
          <w:color w:val="000000"/>
          <w:sz w:val="24"/>
          <w:szCs w:val="24"/>
          <w:lang w:eastAsia="en-US"/>
        </w:rPr>
        <w:t>References</w:t>
      </w:r>
    </w:p>
    <w:p w14:paraId="7877CB5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Adamson, B. (2004) 24 Fashions in Language Teaching Methodology. In Davies, A. and Elder C. (eds) The Handbook of Applied Linguistics. Blackwell Publishing Ltd.</w:t>
      </w:r>
    </w:p>
    <w:p w14:paraId="26C0CF6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Beard, R. (2000) Developing Writing 3-13. Hodder and Stoughton Ltd.</w:t>
      </w:r>
    </w:p>
    <w:p w14:paraId="4DE17391"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Beverton, S., Harries, T., Gallannaugh, F., Galloway, D. (2005) Teaching Approaches to Promote Consistent Level 4 Performance in Key Stage 2 English and Mathematics. Department for Education and Skills. Report no. RR699. Available http://learning.gov.wales/docs/learningwales/publications/130425-promote-consistent-performance-in-english-and-maths-en.pdf. Accessed 12/11/18.</w:t>
      </w:r>
    </w:p>
    <w:p w14:paraId="5D1B50A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Curriculum for Wales: Programme of Study for English, Key Stages 2–4 (2016)</w:t>
      </w:r>
    </w:p>
    <w:p w14:paraId="7BF1DB60"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Department for Education and Skills (2003) Key Stage 3 National Strategy: Literacy Progress Unit Sentences. Report DfES 0066/2003. Available http://wsassets.s3.amazonaws.com/ws/nso/pdf/66be5614f33b3a1dc557bb35a0059d13.pdf. Accessed 12/11/18.</w:t>
      </w:r>
    </w:p>
    <w:p w14:paraId="0879E15F"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lastRenderedPageBreak/>
        <w:t>Department for Education and Skills (2004a) Key Stage 3 National Strategy: Pedagogy and Practice: Teaching and Learning in Secondary Schools. Unit 1: Structuring learning. Report DfES 0424-2004 G</w:t>
      </w:r>
    </w:p>
    <w:p w14:paraId="46C7B7C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Department for Education and Skills (2004b) Key Stage 3 National Strategy: Pedagogy and Practice: Teaching and Learning in Secondary Schools. Unit 7: Questioning. Report DfES 0430-2004 G.</w:t>
      </w:r>
    </w:p>
    <w:p w14:paraId="76E224F5"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Dunlosky, J., </w:t>
      </w:r>
      <w:proofErr w:type="gramStart"/>
      <w:r w:rsidRPr="00BD348F">
        <w:rPr>
          <w:rFonts w:ascii="Calibri" w:eastAsiaTheme="minorHAnsi" w:hAnsi="Calibri" w:cs="Calibri"/>
          <w:color w:val="000000"/>
          <w:sz w:val="24"/>
          <w:szCs w:val="24"/>
          <w:lang w:eastAsia="en-US"/>
        </w:rPr>
        <w:t>Rawson,K.</w:t>
      </w:r>
      <w:proofErr w:type="gramEnd"/>
      <w:r w:rsidRPr="00BD348F">
        <w:rPr>
          <w:rFonts w:ascii="Calibri" w:eastAsiaTheme="minorHAnsi" w:hAnsi="Calibri" w:cs="Calibri"/>
          <w:color w:val="000000"/>
          <w:sz w:val="24"/>
          <w:szCs w:val="24"/>
          <w:lang w:eastAsia="en-US"/>
        </w:rPr>
        <w:t xml:space="preserve"> A., Marsh, E. J., Nathan, M. J. and Willingham, D. T. (2013) Improving Students’ Learning With Effective Learning Techniques: Promising Directions From Cognitive and Educational Psychology. </w:t>
      </w:r>
      <w:r w:rsidRPr="00BD348F">
        <w:rPr>
          <w:rFonts w:ascii="Calibri" w:eastAsiaTheme="minorHAnsi" w:hAnsi="Calibri" w:cs="Calibri"/>
          <w:i/>
          <w:iCs/>
          <w:color w:val="000000"/>
          <w:sz w:val="24"/>
          <w:szCs w:val="24"/>
          <w:lang w:eastAsia="en-US"/>
        </w:rPr>
        <w:t>Psychological Science in the Public Interest</w:t>
      </w:r>
      <w:r w:rsidRPr="00BD348F">
        <w:rPr>
          <w:rFonts w:ascii="Calibri" w:eastAsiaTheme="minorHAnsi" w:hAnsi="Calibri" w:cs="Calibri"/>
          <w:color w:val="000000"/>
          <w:sz w:val="24"/>
          <w:szCs w:val="24"/>
          <w:lang w:eastAsia="en-US"/>
        </w:rPr>
        <w:t>. 14(1) 4–58</w:t>
      </w:r>
    </w:p>
    <w:p w14:paraId="5CB0B8C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Elder, L. &amp; Paul, R. (2008). Intellectual standards: The words that name them and the criteria that define them. Dillon Beach, CA: Foundation for Critical Thinking.</w:t>
      </w:r>
    </w:p>
    <w:p w14:paraId="02AD61D2"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Harrison, C. (2002) Key Stage 3 English: Roots and Research. University of Nottingham School of Education. Department for Education and Skills. Report DfES 0353/2002. Available http://dera.ioe.ac.uk/7577/7/aa2e7850a64ca77f0dd2440c5df4f753_Redacted.pdf Accessed 17/11/18</w:t>
      </w:r>
    </w:p>
    <w:p w14:paraId="508E5941"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Hattie, J. and Timperley, H. (2007) The Power of Feedback. </w:t>
      </w:r>
      <w:r w:rsidRPr="00BD348F">
        <w:rPr>
          <w:rFonts w:ascii="Calibri" w:eastAsiaTheme="minorHAnsi" w:hAnsi="Calibri" w:cs="Calibri"/>
          <w:i/>
          <w:iCs/>
          <w:color w:val="000000"/>
          <w:sz w:val="24"/>
          <w:szCs w:val="24"/>
          <w:lang w:eastAsia="en-US"/>
        </w:rPr>
        <w:t>Review of Educational Research</w:t>
      </w:r>
      <w:r w:rsidRPr="00BD348F">
        <w:rPr>
          <w:rFonts w:ascii="Calibri" w:eastAsiaTheme="minorHAnsi" w:hAnsi="Calibri" w:cs="Calibri"/>
          <w:color w:val="000000"/>
          <w:sz w:val="24"/>
          <w:szCs w:val="24"/>
          <w:lang w:eastAsia="en-US"/>
        </w:rPr>
        <w:t xml:space="preserve">. 77: 81 </w:t>
      </w:r>
    </w:p>
    <w:p w14:paraId="0002F3A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Lucas, T., Villegas, A. M. and Freedson-Gonzalez, M. (2008) Linguistically Responsive Teacher Education: Preparing Classroom Teachers to Teach English Language Learners. </w:t>
      </w:r>
      <w:r w:rsidRPr="00BD348F">
        <w:rPr>
          <w:rFonts w:ascii="Calibri" w:eastAsiaTheme="minorHAnsi" w:hAnsi="Calibri" w:cs="Calibri"/>
          <w:i/>
          <w:iCs/>
          <w:color w:val="000000"/>
          <w:sz w:val="24"/>
          <w:szCs w:val="24"/>
          <w:lang w:eastAsia="en-US"/>
        </w:rPr>
        <w:t>Journal of Teacher Education</w:t>
      </w:r>
      <w:r w:rsidRPr="00BD348F">
        <w:rPr>
          <w:rFonts w:ascii="Calibri" w:eastAsiaTheme="minorHAnsi" w:hAnsi="Calibri" w:cs="Calibri"/>
          <w:color w:val="000000"/>
          <w:sz w:val="24"/>
          <w:szCs w:val="24"/>
          <w:lang w:eastAsia="en-US"/>
        </w:rPr>
        <w:t>. Vol 59 No. 4.  pp. 361-373.</w:t>
      </w:r>
    </w:p>
    <w:p w14:paraId="0C49FA6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Maleki, A. (2010) Techniques to Teach Communication Strategies. </w:t>
      </w:r>
      <w:r w:rsidRPr="00BD348F">
        <w:rPr>
          <w:rFonts w:ascii="Calibri" w:eastAsiaTheme="minorHAnsi" w:hAnsi="Calibri" w:cs="Calibri"/>
          <w:i/>
          <w:iCs/>
          <w:color w:val="000000"/>
          <w:sz w:val="24"/>
          <w:szCs w:val="24"/>
          <w:lang w:eastAsia="en-US"/>
        </w:rPr>
        <w:t>Journal of Language Teaching and Research</w:t>
      </w:r>
      <w:r w:rsidRPr="00BD348F">
        <w:rPr>
          <w:rFonts w:ascii="Calibri" w:eastAsiaTheme="minorHAnsi" w:hAnsi="Calibri" w:cs="Calibri"/>
          <w:color w:val="000000"/>
          <w:sz w:val="24"/>
          <w:szCs w:val="24"/>
          <w:lang w:eastAsia="en-US"/>
        </w:rPr>
        <w:t>, Vol. 1, No. 5, pp. 640-646</w:t>
      </w:r>
    </w:p>
    <w:p w14:paraId="0D1805C2"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Piro, J. S. and Anderson, G. A (2016) Typology for an Online Socrates Café. </w:t>
      </w:r>
      <w:r w:rsidRPr="00BD348F">
        <w:rPr>
          <w:rFonts w:ascii="Calibri" w:eastAsiaTheme="minorHAnsi" w:hAnsi="Calibri" w:cs="Calibri"/>
          <w:i/>
          <w:iCs/>
          <w:color w:val="000000"/>
          <w:sz w:val="24"/>
          <w:szCs w:val="24"/>
          <w:lang w:eastAsia="en-US"/>
        </w:rPr>
        <w:t>Teachers College Record</w:t>
      </w:r>
      <w:r w:rsidRPr="00BD348F">
        <w:rPr>
          <w:rFonts w:ascii="Calibri" w:eastAsiaTheme="minorHAnsi" w:hAnsi="Calibri" w:cs="Calibri"/>
          <w:color w:val="000000"/>
          <w:sz w:val="24"/>
          <w:szCs w:val="24"/>
          <w:lang w:eastAsia="en-US"/>
        </w:rPr>
        <w:t xml:space="preserve"> Volume 118, 050302, May 2016.</w:t>
      </w:r>
    </w:p>
    <w:p w14:paraId="6DA19799"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Pullman, P. (2005) ‘Common sense has much to learn from moonshine’ The Guardian 22 January 2005. Available http://www.guardian.co.uk/education/2005/jan/22/schools.wordsandlanguage. Accessed 12/11/18.</w:t>
      </w:r>
    </w:p>
    <w:p w14:paraId="6B41AB32"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6395919A" w14:textId="2005410A" w:rsidR="00BD348F" w:rsidRPr="00BD348F" w:rsidRDefault="00BD348F">
      <w:pPr>
        <w:spacing w:after="160" w:line="259" w:lineRule="auto"/>
        <w:rPr>
          <w:rFonts w:ascii="Arial" w:hAnsi="Arial" w:cs="Arial"/>
          <w:sz w:val="32"/>
        </w:rPr>
      </w:pPr>
      <w:r w:rsidRPr="00BD348F">
        <w:rPr>
          <w:rFonts w:ascii="Arial" w:hAnsi="Arial" w:cs="Arial"/>
          <w:sz w:val="32"/>
        </w:rPr>
        <w:br w:type="page"/>
      </w:r>
    </w:p>
    <w:p w14:paraId="1D0F2FD9" w14:textId="77777777" w:rsidR="00BD348F" w:rsidRPr="00BD348F" w:rsidRDefault="00BD348F" w:rsidP="00BD348F">
      <w:pPr>
        <w:autoSpaceDE w:val="0"/>
        <w:autoSpaceDN w:val="0"/>
        <w:adjustRightInd w:val="0"/>
        <w:spacing w:after="240" w:line="264" w:lineRule="auto"/>
        <w:rPr>
          <w:rFonts w:ascii="Avenir Next" w:eastAsiaTheme="minorHAnsi" w:hAnsi="Avenir Next" w:cs="Avenir Next"/>
          <w:color w:val="000000"/>
          <w:sz w:val="40"/>
          <w:szCs w:val="40"/>
          <w:lang w:eastAsia="en-US"/>
        </w:rPr>
      </w:pPr>
      <w:r w:rsidRPr="00BD348F">
        <w:rPr>
          <w:rFonts w:ascii="Avenir Next" w:eastAsiaTheme="minorHAnsi" w:hAnsi="Avenir Next" w:cs="Avenir Next"/>
          <w:color w:val="000000"/>
          <w:sz w:val="40"/>
          <w:szCs w:val="40"/>
          <w:lang w:eastAsia="en-US"/>
        </w:rPr>
        <w:lastRenderedPageBreak/>
        <w:t>PART B (ii) – Critical Evaluation</w:t>
      </w:r>
    </w:p>
    <w:p w14:paraId="6AAB4F0D"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The Micro-Teach lesson was selected from my six-lesson scheme-of-work based on a selection from a portfolio of authentic students’ exam submissions. The objective was to raise their level from 3 to 4. When making my choice, I found myself drawn to a piece of work graded Level 3 but seemed to me, to be Level 2. No doubt as I become more familiar with the Programme of Study for English, its layout and organisation will lend themselves somewhat easier to level comparisons, so it took some time to conclude that although an overall Level 3 grade may be justified, at a more fundamental level of sentence construction, it was not. It appears that this skill shortfall is fairly common at the transition from Level 3 to 4, and remedial resources have been made available (DfES, 2003).  My scheme-of-work used this skill shortfall as its starting point, and in anticipation of encountering this situation in actual teaching practice, it was also the topic of my Micro-Teach lesson.</w:t>
      </w:r>
    </w:p>
    <w:p w14:paraId="4904A0E8"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In retrospect, the planning stage was arguably the most crucial part of my lesson. Having the lesson components and timings clearly defined beforehand gave me a model to follow throughout the lesson and made my ‘transition period’ as smooth and short as possible. In the Micro-Teach session, it eliminated ‘empty air’ with the result that learners were engaged at all times and I didn’t lose the typical six minutes that it takes for a class orient itself after entering the classroom (Saloviita, 2008).</w:t>
      </w:r>
    </w:p>
    <w:p w14:paraId="519DAF6F"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 was acutely aware that the Micro-Teach session was staged. I found that this influenced both my planning and presentation as I worried that I was pitching my lesson too low for my peer group. Despite feeling confident that the actual learners needed a remedial lesson, the knowledge that my peer group would find both theory and practice trivial caused me to doubt my assessment. As the lesson progressed, I realised that the pitch of lesson was not only correct but my peer group may have been in as much need of a remedial lesson as the examinee, although, as I discuss next, this may have been due to shortcomings in the way I gave instructions.</w:t>
      </w:r>
    </w:p>
    <w:p w14:paraId="29601648"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During the planning stage I practiced my verbal instructions and transitions in the hope that this would help drive the lesson smoothly. In the Micro-Teach lesson I verbally explained what was required, handed out the worksheets, and circulated as the class completed them. There were no written instructions on the actual worksheets. I was aware that in a true classroom setting, a lack of written instructions could be problematic, and the reason I didn’t add them to the Micro-Teach worksheets, relying instead on verbal instructions, was because of the feeling mentioned previously, that the exercise may have been pitched too low. However, part of my verbal explanation did include a joke about what would happen to anyone who forgot to capitalise and add full stops to the sentences, which produced an amused response from the class. To everyone’s surprise, only one person in the entire class capitalised and added full stops; the remainder of the class was so focussed on the higher-level concept of adding conjunctions that they all forgot to attend to the remedial aspect of the lesson.</w:t>
      </w:r>
    </w:p>
    <w:p w14:paraId="6643A3A4"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lastRenderedPageBreak/>
        <w:t>I carried this lesson learned through to my first teaching session. In this lesson I used a longer extract from “The Iron Man” (Hughs, 1968) and students were required to capitalise and add full stops. In addition, and this was a requirement of the lesson, I introduced some spelling mistakes and switched in some homophones. I spend time refining the written instructions on the worksheets and felt they were concise and accurate, and mindful of students’ previous attainment levels, they also mentioned exactly how many paragraphs, spelling mistakes and homophones had to be identified.</w:t>
      </w:r>
    </w:p>
    <w:p w14:paraId="4BE9C27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After handing out the worksheets I explained to the class, without jokes, what they needed to do. What I didn’t expect, although more experienced teachers may already be laughing in anticipation at my naivety, is that not a single student read the instructions, instead, they simply capitalised the first letter of each line and added a full stop at the end of every line. Even more disturbing was the almost identical methodology employed: it was a rapidly executed bi-columnar automated response; first column, change to capital letters, when done, move to over second column and add full stops; not a single student read the extract, they just tried to finish the exercise as efficiently and quickly as possible. Fortunately, I spotted this during circulation and was able to adapt the remainder of the lesson and salvage some functionality from the worksheets with a spontaneous quiz, but not before half the students had already ‘completed’ the exercise. </w:t>
      </w:r>
    </w:p>
    <w:p w14:paraId="61D61AA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Their performance brought the instruction-giving lesson home to me most forcibly. Subsequently, in a parallel class at the same level, I told the students what was required, read out the written instructions for what was required, and asked various members of the class to tell me what was required. However, during circulation I still had to stop at a few </w:t>
      </w:r>
      <w:proofErr w:type="gramStart"/>
      <w:r w:rsidRPr="00BD348F">
        <w:rPr>
          <w:rFonts w:ascii="Calibri" w:eastAsiaTheme="minorHAnsi" w:hAnsi="Calibri" w:cs="Calibri"/>
          <w:color w:val="000000"/>
          <w:sz w:val="24"/>
          <w:szCs w:val="24"/>
          <w:lang w:eastAsia="en-US"/>
        </w:rPr>
        <w:t>table</w:t>
      </w:r>
      <w:proofErr w:type="gramEnd"/>
      <w:r w:rsidRPr="00BD348F">
        <w:rPr>
          <w:rFonts w:ascii="Calibri" w:eastAsiaTheme="minorHAnsi" w:hAnsi="Calibri" w:cs="Calibri"/>
          <w:color w:val="000000"/>
          <w:sz w:val="24"/>
          <w:szCs w:val="24"/>
          <w:lang w:eastAsia="en-US"/>
        </w:rPr>
        <w:t xml:space="preserve"> to repeat the instructions and show them how and what to do; and yes, despite the additional instructional step, there were still a few bi-columnar automated responses.</w:t>
      </w:r>
    </w:p>
    <w:p w14:paraId="6DCA820A"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In future, I will change this method so that instead of demonstrating a given technique on the whiteboard with unrelated examples, I will use examples from the actual worksheet to illustrate what is required, and in addition, the particular examples selected and demonstrated on the whiteboard will be completed in full on the handout.</w:t>
      </w:r>
    </w:p>
    <w:p w14:paraId="0CEBAB01"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The feeling of artificiality, that is, of the lesson being ‘staged’, also affected the presentation of the lesson. I feel my mannerisms were conditioned by the reality, rather than the pretence, of who the audience actually were, and this noticeably affected my teaching style. I became unconsciously trapped into closed questioning during feedback (the Can, Did, Will, </w:t>
      </w:r>
      <w:proofErr w:type="gramStart"/>
      <w:r w:rsidRPr="00BD348F">
        <w:rPr>
          <w:rFonts w:ascii="Calibri" w:eastAsiaTheme="minorHAnsi" w:hAnsi="Calibri" w:cs="Calibri"/>
          <w:color w:val="000000"/>
          <w:sz w:val="24"/>
          <w:szCs w:val="24"/>
          <w:lang w:eastAsia="en-US"/>
        </w:rPr>
        <w:t>Have</w:t>
      </w:r>
      <w:proofErr w:type="gramEnd"/>
      <w:r w:rsidRPr="00BD348F">
        <w:rPr>
          <w:rFonts w:ascii="Calibri" w:eastAsiaTheme="minorHAnsi" w:hAnsi="Calibri" w:cs="Calibri"/>
          <w:color w:val="000000"/>
          <w:sz w:val="24"/>
          <w:szCs w:val="24"/>
          <w:lang w:eastAsia="en-US"/>
        </w:rPr>
        <w:t xml:space="preserve"> questions), which was an unsuitable technique as they encourage either Yes/No responses, or no response at all (Cotton, 1988). Because I assumed my peer group knew all about sentence structure and conjunctions, I instinctively slipped into a they-have-prior-knowledge line of instruction confirmation. In a situation where the purpose is to ascertain whether or not students have understood what they were being asked to do, I should have used open questions (How, Why, What, When, Where) as they are more appropriate for checking understanding.</w:t>
      </w:r>
    </w:p>
    <w:p w14:paraId="480BF218"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When I taught the same activity as a starter to my first teaching class, I reminded myself prior to starting to ask open questions aimed at encouraging students to answer in as much </w:t>
      </w:r>
      <w:r w:rsidRPr="00BD348F">
        <w:rPr>
          <w:rFonts w:ascii="Calibri" w:eastAsiaTheme="minorHAnsi" w:hAnsi="Calibri" w:cs="Calibri"/>
          <w:color w:val="000000"/>
          <w:sz w:val="24"/>
          <w:szCs w:val="24"/>
          <w:lang w:eastAsia="en-US"/>
        </w:rPr>
        <w:lastRenderedPageBreak/>
        <w:t>detail as possible. As expected, responses to my questions were generally appropriate and showed that most students had previous knowledge of the type of activity they were about to do; they also allowed me to clarify the instructions, and where required, to add additional detail on the whiteboard. This is important, because I was taken aback by an observation at the end of the lesson that advised me to use open rather closed questions to confirm instructions. At some point my focus must have slipped, perhaps to the next task in the lesson, and I unconsciously used closed-mode questioning. This could be because open questions are easier to ask and their answers easier to classify and process (Cotton, 1988); however, it is clearly an area of teaching development that I will have to concentrate on.</w:t>
      </w:r>
    </w:p>
    <w:p w14:paraId="0D536D6C"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Having mentioned observational feedback, I would like to return briefly to the question of pitch. As mentioned above, my initial worries that my Micro Teach lesson was pitched too low proved unfounded and I demonstrated that my approach had theoretical justification. I took my ‘lessons learned’ into account when planning the Iron Man activities, and took great care to ‘calibrate’ my expectations against that of online resources made freely available by other teachers and educational institutions. Despite this precaution, not only did I pitch the Iron Man activity far too high, but even if I had managed to give clear and actionable instructions, the text was too long for the average student in the class to complete in the allotted time. This is another area of teaching development that I will have to work on.</w:t>
      </w:r>
    </w:p>
    <w:p w14:paraId="54996E8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In the Micro Teach session I used the PPP method (present, practice, produce) where I presented the work to be done after which the students practised it. I chose this method because the topic was obviously already familiar to the students and I felt this approach would encourage participation. In retrospect, had I used a constructive learning approach, whereby a model example is used to elicit from students how the model works and what is missing from it, students could be encouraged to start thinking, to remember things, to use their imagination, and to share things with the class (Hattie, 1987).</w:t>
      </w:r>
    </w:p>
    <w:p w14:paraId="1D31DD8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My first teaching experience at school took this into account and I tried to reduce the mechanical worksheet-oriented mentality by using a series of visual aids to elicit the lessons aims from the students: namely, the process and requirements for producing a full thought before moving on to the next thought. </w:t>
      </w:r>
    </w:p>
    <w:p w14:paraId="1D0D4005"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My first attempt was not entirely successful, in part this was due to the open-closed question conflict discussed earlier, but also because my model was not clear enough to support my transition from mainly teacher-talking-time to student-talking-time. I need to develop the skills required to link target language and requirements with a modelling approach that is accessible to unmotivated students. Or more succinctly perhaps, I need to develop motivational skills.</w:t>
      </w:r>
    </w:p>
    <w:p w14:paraId="205DB278"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There was a small number of children in my first teaching session that were more interested in dancing and singing than participating in the lesson, and </w:t>
      </w:r>
      <w:proofErr w:type="gramStart"/>
      <w:r w:rsidRPr="00BD348F">
        <w:rPr>
          <w:rFonts w:ascii="Calibri" w:eastAsiaTheme="minorHAnsi" w:hAnsi="Calibri" w:cs="Calibri"/>
          <w:color w:val="000000"/>
          <w:sz w:val="24"/>
          <w:szCs w:val="24"/>
          <w:lang w:eastAsia="en-US"/>
        </w:rPr>
        <w:t>a</w:t>
      </w:r>
      <w:proofErr w:type="gramEnd"/>
      <w:r w:rsidRPr="00BD348F">
        <w:rPr>
          <w:rFonts w:ascii="Calibri" w:eastAsiaTheme="minorHAnsi" w:hAnsi="Calibri" w:cs="Calibri"/>
          <w:color w:val="000000"/>
          <w:sz w:val="24"/>
          <w:szCs w:val="24"/>
          <w:lang w:eastAsia="en-US"/>
        </w:rPr>
        <w:t xml:space="preserve"> equally small number that simply refused to do any work at all. This behaviour was apparently normal and wasn’t put on for my benefit. I had occasion to meet and talk to some of these children outside the classroom and one pupil outside the school. What stuck me most forcibly was how different </w:t>
      </w:r>
      <w:r w:rsidRPr="00BD348F">
        <w:rPr>
          <w:rFonts w:ascii="Calibri" w:eastAsiaTheme="minorHAnsi" w:hAnsi="Calibri" w:cs="Calibri"/>
          <w:color w:val="000000"/>
          <w:sz w:val="24"/>
          <w:szCs w:val="24"/>
          <w:lang w:eastAsia="en-US"/>
        </w:rPr>
        <w:lastRenderedPageBreak/>
        <w:t xml:space="preserve">they were. in class they were surly and disruptive, whilst outside the classroom they were polite and helpful. </w:t>
      </w:r>
    </w:p>
    <w:p w14:paraId="4594775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One of the key observations in Galton (2003), is how difficult it is for pupils to change established “anti-work identities” and that “sustained support over a period of time” is required to help them change from “dossers” to “workers” (ibid p. iv) and how “positive and proactive” intervention is required (ibid p.23).</w:t>
      </w:r>
    </w:p>
    <w:p w14:paraId="6BB324F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Although I had prepared my teaching approach and coached volunteers in the roles, I did not teach the EAL and MAT differentiation as my volunteers did not take part in the lesson. I had intended to use essentially the same materials but to vary the way I asked the questions and adjusting my expectations accordingly. In the Micro Teach session, the MAT student was to have used a greater variety of conjunctions and adjectives, and perhaps have incorporated time phrases. The EAL student student was to have capitalised the sentences and added full stops, and perhaps progress towards conjunctions as the others were progressing towards paragraph work.</w:t>
      </w:r>
    </w:p>
    <w:p w14:paraId="529DE1D5"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There were no MAT students in my first teaching lessons so there was no opportunity to compare and modify my intended approach. There was an EAL student but her level was barely above letter and simple word identification. She was not able to join in with the lesson proper nor make any progress towards the lesson’s aims. I managed to think up a suitable task with an extension based on the same resources that I was using for the other students and it kept her fully occupied for most of the lesson.</w:t>
      </w:r>
    </w:p>
    <w:p w14:paraId="0DED9AF3"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I feel that my first teaching lessons highlighted some of my strengths and weaknesses over and above the natural inexperience of teaching English to secondary school students. My weaknesses include loss of focus when approaching transitions from one task to the next as exemplified by the overuse of open questions, and the correct balance between instructing and eliciting; these are areas that I need to work on. I believe my strengths include my ability to think on my feet and adapt a lesson when it has starts to go wrong as well my ability to encourage usually unwilling students to participate, something I had the opportunity to do during my observation lessons before the teaching lessons. </w:t>
      </w:r>
    </w:p>
    <w:p w14:paraId="6F5E055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Specific areas for me to target during professional development include endeavouring to create a safe and relaxing environment for learners while keeping on top of them when the teaching is happening. In particular to get students to listen while I’m talking and to stop any interruptions at this stage (QTS, 2009, S1.7). Although my ICT skills are adequate, because Digital Competence is one of three cross-curricular responsibilities, alongside literacy and numeracy, I need to attend workshops to enable me to incorporate the competence in my lessons (QTS, 2009, S1.7). I intend to become involved with the EAL team in the school as my background in EAL means I can contribute to others areas of the school (QTS, 2009, S1.5). I also intend to contribute to raising deaf awareness as I have first-hand experience in teaching deaf children (QTS, 2009, S1.6).</w:t>
      </w:r>
    </w:p>
    <w:p w14:paraId="04FFA2C4"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5E13E9A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3CF8A60E" w14:textId="77777777" w:rsidR="00BD348F" w:rsidRPr="00BD348F" w:rsidRDefault="00BD348F" w:rsidP="00BD348F">
      <w:pPr>
        <w:autoSpaceDE w:val="0"/>
        <w:autoSpaceDN w:val="0"/>
        <w:adjustRightInd w:val="0"/>
        <w:spacing w:after="120" w:line="264" w:lineRule="auto"/>
        <w:rPr>
          <w:rFonts w:ascii="Calibri" w:eastAsiaTheme="minorHAnsi" w:hAnsi="Calibri" w:cs="Calibri"/>
          <w:b/>
          <w:bCs/>
          <w:color w:val="000000"/>
          <w:sz w:val="24"/>
          <w:szCs w:val="24"/>
          <w:lang w:eastAsia="en-US"/>
        </w:rPr>
      </w:pPr>
      <w:r w:rsidRPr="00BD348F">
        <w:rPr>
          <w:rFonts w:ascii="Calibri" w:eastAsiaTheme="minorHAnsi" w:hAnsi="Calibri" w:cs="Calibri"/>
          <w:b/>
          <w:bCs/>
          <w:color w:val="000000"/>
          <w:sz w:val="24"/>
          <w:szCs w:val="24"/>
          <w:lang w:eastAsia="en-US"/>
        </w:rPr>
        <w:lastRenderedPageBreak/>
        <w:t>References</w:t>
      </w:r>
    </w:p>
    <w:p w14:paraId="2A074BDE"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Cotton, K. (1988) "Classroom Questioning.” North West Regional Educational Laboratory. Office of Educational Research and Improvement (OERI), U.S. Department of Education, Contract Number 400-86-0006. Available http://www.learner.org/workshops/socialstudies/pdf/session6/6.ClassroomQuestioning.pdf Accessed 15/11/18.</w:t>
      </w:r>
    </w:p>
    <w:p w14:paraId="74F642E3"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Department for Education and Skills (2003) Key Stage 3 National Strategy: Literacy Progress Unit Sentences. Report DfES 0066/2003. Available http://wsassets.s3.amazonaws.com/ws/nso/pdf/66be5614f33b3a1dc557bb35a0059d13.pdf. Accessed 12/11/18.</w:t>
      </w:r>
    </w:p>
    <w:p w14:paraId="2670E3FF"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Galton, M., Gray, J. Ruddock, J., Berry, M., Demetriou, H., Edwards, J., Goalen, P., Hargreaves, L., Hussey, S., Pell, T., Schagen, I. and Charles, M. (2003) Transfer and Transitions in the Middle Years of Schooling (7-14): Continuities and Discontinuities in Learning. National Foundation for Educational Research. Department for Education and Skills. Research Report RR443. Available http://dera.ioe.ac.uk/5256/1/RR443.pdf Accessed 15/11/18.</w:t>
      </w:r>
    </w:p>
    <w:p w14:paraId="53E765E8"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Hattie, J. and Timperley, H. (2007) The Power of Feedback. </w:t>
      </w:r>
      <w:r w:rsidRPr="00BD348F">
        <w:rPr>
          <w:rFonts w:ascii="Calibri" w:eastAsiaTheme="minorHAnsi" w:hAnsi="Calibri" w:cs="Calibri"/>
          <w:i/>
          <w:iCs/>
          <w:color w:val="000000"/>
          <w:sz w:val="24"/>
          <w:szCs w:val="24"/>
          <w:lang w:eastAsia="en-US"/>
        </w:rPr>
        <w:t>Review of Educational Research</w:t>
      </w:r>
      <w:r w:rsidRPr="00BD348F">
        <w:rPr>
          <w:rFonts w:ascii="Calibri" w:eastAsiaTheme="minorHAnsi" w:hAnsi="Calibri" w:cs="Calibri"/>
          <w:color w:val="000000"/>
          <w:sz w:val="24"/>
          <w:szCs w:val="24"/>
          <w:lang w:eastAsia="en-US"/>
        </w:rPr>
        <w:t xml:space="preserve">. 77: 81 </w:t>
      </w:r>
    </w:p>
    <w:p w14:paraId="6F3D5EED"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Hughes, T. (1968) “The Iron Man: A Children's Story in Five Nights.” Faber and Faber.</w:t>
      </w:r>
    </w:p>
    <w:p w14:paraId="206FAEA6"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Qualified Teacher Status Standards Wales (2009). Education Wales.</w:t>
      </w:r>
    </w:p>
    <w:p w14:paraId="778BD637"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r w:rsidRPr="00BD348F">
        <w:rPr>
          <w:rFonts w:ascii="Calibri" w:eastAsiaTheme="minorHAnsi" w:hAnsi="Calibri" w:cs="Calibri"/>
          <w:color w:val="000000"/>
          <w:sz w:val="24"/>
          <w:szCs w:val="24"/>
          <w:lang w:eastAsia="en-US"/>
        </w:rPr>
        <w:t xml:space="preserve">Saloviita, T. (2008) Classroom Management and Loss of Time at the Lesson Start: A Preliminary Study. </w:t>
      </w:r>
      <w:r w:rsidRPr="00BD348F">
        <w:rPr>
          <w:rFonts w:ascii="Calibri" w:eastAsiaTheme="minorHAnsi" w:hAnsi="Calibri" w:cs="Calibri"/>
          <w:i/>
          <w:iCs/>
          <w:color w:val="000000"/>
          <w:sz w:val="24"/>
          <w:szCs w:val="24"/>
          <w:lang w:eastAsia="en-US"/>
        </w:rPr>
        <w:t>European Journal of Educational Research</w:t>
      </w:r>
      <w:r w:rsidRPr="00BD348F">
        <w:rPr>
          <w:rFonts w:ascii="Calibri" w:eastAsiaTheme="minorHAnsi" w:hAnsi="Calibri" w:cs="Calibri"/>
          <w:color w:val="000000"/>
          <w:sz w:val="24"/>
          <w:szCs w:val="24"/>
          <w:lang w:eastAsia="en-US"/>
        </w:rPr>
        <w:t>. Vol. 2, No. 4, 167-170.</w:t>
      </w:r>
    </w:p>
    <w:p w14:paraId="4AA5F9DC"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70C8D66A" w14:textId="77777777"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sectPr w:rsidR="00BD348F" w:rsidRPr="00BD348F">
          <w:pgSz w:w="11906" w:h="16838"/>
          <w:pgMar w:top="1440" w:right="1440" w:bottom="1440" w:left="1440" w:header="708" w:footer="708" w:gutter="0"/>
          <w:cols w:space="708"/>
          <w:docGrid w:linePitch="360"/>
        </w:sectPr>
      </w:pPr>
      <w:bookmarkStart w:id="0" w:name="_GoBack"/>
      <w:bookmarkEnd w:id="0"/>
    </w:p>
    <w:p w14:paraId="46C45D04" w14:textId="5BB7714D" w:rsidR="00BD348F" w:rsidRPr="00BD348F" w:rsidRDefault="00BD348F">
      <w:pPr>
        <w:rPr>
          <w:rFonts w:ascii="Avenir Next" w:eastAsiaTheme="minorHAnsi" w:hAnsi="Avenir Next" w:cs="Avenir Next"/>
          <w:color w:val="000000"/>
          <w:sz w:val="40"/>
          <w:szCs w:val="40"/>
          <w:lang w:eastAsia="en-US"/>
        </w:rPr>
      </w:pPr>
      <w:r w:rsidRPr="00BD348F">
        <w:rPr>
          <w:rFonts w:ascii="Avenir Next" w:eastAsiaTheme="minorHAnsi" w:hAnsi="Avenir Next" w:cs="Avenir Next"/>
          <w:color w:val="000000"/>
          <w:sz w:val="40"/>
          <w:szCs w:val="40"/>
          <w:lang w:eastAsia="en-US"/>
        </w:rPr>
        <w:lastRenderedPageBreak/>
        <w:t xml:space="preserve">ACTION </w:t>
      </w:r>
      <w:proofErr w:type="gramStart"/>
      <w:r w:rsidRPr="00BD348F">
        <w:rPr>
          <w:rFonts w:ascii="Avenir Next" w:eastAsiaTheme="minorHAnsi" w:hAnsi="Avenir Next" w:cs="Avenir Next"/>
          <w:color w:val="000000"/>
          <w:sz w:val="40"/>
          <w:szCs w:val="40"/>
          <w:lang w:eastAsia="en-US"/>
        </w:rPr>
        <w:t>PLAN  -</w:t>
      </w:r>
      <w:proofErr w:type="gramEnd"/>
      <w:r w:rsidRPr="00BD348F">
        <w:rPr>
          <w:rFonts w:ascii="Avenir Next" w:eastAsiaTheme="minorHAnsi" w:hAnsi="Avenir Next" w:cs="Avenir Next"/>
          <w:color w:val="000000"/>
          <w:sz w:val="40"/>
          <w:szCs w:val="40"/>
          <w:lang w:eastAsia="en-US"/>
        </w:rPr>
        <w:t xml:space="preserve">  Objectives and programme for Term 1</w:t>
      </w:r>
    </w:p>
    <w:p w14:paraId="27827B4E" w14:textId="77777777" w:rsidR="00BD348F" w:rsidRPr="00BD348F" w:rsidRDefault="00BD348F"/>
    <w:tbl>
      <w:tblPr>
        <w:tblW w:w="14121" w:type="dxa"/>
        <w:tblInd w:w="-118" w:type="dxa"/>
        <w:tblBorders>
          <w:top w:val="nil"/>
          <w:left w:val="nil"/>
          <w:right w:val="nil"/>
        </w:tblBorders>
        <w:tblLayout w:type="fixed"/>
        <w:tblLook w:val="0000" w:firstRow="0" w:lastRow="0" w:firstColumn="0" w:lastColumn="0" w:noHBand="0" w:noVBand="0"/>
      </w:tblPr>
      <w:tblGrid>
        <w:gridCol w:w="2140"/>
        <w:gridCol w:w="5500"/>
        <w:gridCol w:w="4100"/>
        <w:gridCol w:w="2381"/>
      </w:tblGrid>
      <w:tr w:rsidR="00BD348F" w:rsidRPr="00BD348F" w14:paraId="5A497E8C" w14:textId="77777777" w:rsidTr="00BD348F">
        <w:tblPrEx>
          <w:tblCellMar>
            <w:top w:w="0" w:type="dxa"/>
            <w:bottom w:w="0" w:type="dxa"/>
          </w:tblCellMar>
        </w:tblPrEx>
        <w:trPr>
          <w:trHeight w:val="487"/>
        </w:trPr>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vAlign w:val="center"/>
          </w:tcPr>
          <w:p w14:paraId="2657DA9E" w14:textId="77777777" w:rsidR="00BD348F" w:rsidRPr="00BD348F" w:rsidRDefault="00BD348F">
            <w:pPr>
              <w:tabs>
                <w:tab w:val="center" w:pos="1218"/>
                <w:tab w:val="left" w:pos="1440"/>
                <w:tab w:val="left" w:pos="2160"/>
                <w:tab w:val="left" w:pos="2880"/>
                <w:tab w:val="left" w:pos="3330"/>
                <w:tab w:val="left" w:pos="4320"/>
              </w:tabs>
              <w:autoSpaceDE w:val="0"/>
              <w:autoSpaceDN w:val="0"/>
              <w:adjustRightInd w:val="0"/>
              <w:jc w:val="center"/>
              <w:rPr>
                <w:rFonts w:ascii="Helvetica" w:eastAsiaTheme="minorHAnsi" w:hAnsi="Helvetica" w:cs="Helvetica"/>
                <w:kern w:val="1"/>
                <w:sz w:val="24"/>
                <w:szCs w:val="24"/>
                <w:lang w:eastAsia="en-US"/>
              </w:rPr>
            </w:pPr>
            <w:r w:rsidRPr="00BD348F">
              <w:rPr>
                <w:rFonts w:ascii="Calibri" w:eastAsiaTheme="minorHAnsi" w:hAnsi="Calibri" w:cs="Calibri"/>
                <w:b/>
                <w:bCs/>
                <w:color w:val="000000"/>
                <w:lang w:eastAsia="en-US"/>
              </w:rPr>
              <w:t>OBJECTIVES</w:t>
            </w: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vAlign w:val="center"/>
          </w:tcPr>
          <w:p w14:paraId="136AA05D" w14:textId="77777777" w:rsidR="00BD348F" w:rsidRPr="00BD348F" w:rsidRDefault="00BD348F">
            <w:pPr>
              <w:tabs>
                <w:tab w:val="center" w:pos="2883"/>
                <w:tab w:val="left" w:pos="3330"/>
                <w:tab w:val="left" w:pos="4320"/>
              </w:tabs>
              <w:autoSpaceDE w:val="0"/>
              <w:autoSpaceDN w:val="0"/>
              <w:adjustRightInd w:val="0"/>
              <w:jc w:val="center"/>
              <w:rPr>
                <w:rFonts w:ascii="Helvetica" w:eastAsiaTheme="minorHAnsi" w:hAnsi="Helvetica" w:cs="Helvetica"/>
                <w:kern w:val="1"/>
                <w:sz w:val="24"/>
                <w:szCs w:val="24"/>
                <w:lang w:eastAsia="en-US"/>
              </w:rPr>
            </w:pPr>
            <w:r w:rsidRPr="00BD348F">
              <w:rPr>
                <w:rFonts w:ascii="Calibri" w:eastAsiaTheme="minorHAnsi" w:hAnsi="Calibri" w:cs="Calibri"/>
                <w:b/>
                <w:bCs/>
                <w:color w:val="000000"/>
                <w:lang w:eastAsia="en-US"/>
              </w:rPr>
              <w:t>ACTIONS TO BE TAKEN</w:t>
            </w: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vAlign w:val="center"/>
          </w:tcPr>
          <w:p w14:paraId="7C96D5C4" w14:textId="77777777" w:rsidR="00BD348F" w:rsidRPr="00BD348F" w:rsidRDefault="00BD348F">
            <w:pPr>
              <w:tabs>
                <w:tab w:val="center" w:pos="2119"/>
                <w:tab w:val="left" w:pos="2160"/>
                <w:tab w:val="left" w:pos="2880"/>
                <w:tab w:val="left" w:pos="3330"/>
                <w:tab w:val="left" w:pos="4320"/>
              </w:tabs>
              <w:autoSpaceDE w:val="0"/>
              <w:autoSpaceDN w:val="0"/>
              <w:adjustRightInd w:val="0"/>
              <w:jc w:val="center"/>
              <w:rPr>
                <w:rFonts w:ascii="Helvetica" w:eastAsiaTheme="minorHAnsi" w:hAnsi="Helvetica" w:cs="Helvetica"/>
                <w:kern w:val="1"/>
                <w:sz w:val="24"/>
                <w:szCs w:val="24"/>
                <w:lang w:eastAsia="en-US"/>
              </w:rPr>
            </w:pPr>
            <w:r w:rsidRPr="00BD348F">
              <w:rPr>
                <w:rFonts w:ascii="Calibri" w:eastAsiaTheme="minorHAnsi" w:hAnsi="Calibri" w:cs="Calibri"/>
                <w:b/>
                <w:bCs/>
                <w:color w:val="000000"/>
                <w:lang w:eastAsia="en-US"/>
              </w:rPr>
              <w:t>SUCCESS CRITERIA</w:t>
            </w: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vAlign w:val="center"/>
          </w:tcPr>
          <w:p w14:paraId="4193B312" w14:textId="77777777" w:rsidR="00BD348F" w:rsidRPr="00BD348F" w:rsidRDefault="00BD348F">
            <w:pPr>
              <w:tabs>
                <w:tab w:val="center" w:pos="631"/>
                <w:tab w:val="left" w:pos="720"/>
                <w:tab w:val="left" w:pos="1440"/>
                <w:tab w:val="left" w:pos="2160"/>
                <w:tab w:val="left" w:pos="2880"/>
                <w:tab w:val="left" w:pos="3330"/>
                <w:tab w:val="left" w:pos="4320"/>
              </w:tabs>
              <w:autoSpaceDE w:val="0"/>
              <w:autoSpaceDN w:val="0"/>
              <w:adjustRightInd w:val="0"/>
              <w:jc w:val="center"/>
              <w:rPr>
                <w:rFonts w:ascii="Helvetica" w:eastAsiaTheme="minorHAnsi" w:hAnsi="Helvetica" w:cs="Helvetica"/>
                <w:kern w:val="1"/>
                <w:sz w:val="24"/>
                <w:szCs w:val="24"/>
                <w:lang w:eastAsia="en-US"/>
              </w:rPr>
            </w:pPr>
            <w:r w:rsidRPr="00BD348F">
              <w:rPr>
                <w:rFonts w:ascii="Calibri" w:eastAsiaTheme="minorHAnsi" w:hAnsi="Calibri" w:cs="Calibri"/>
                <w:b/>
                <w:bCs/>
                <w:color w:val="000000"/>
                <w:lang w:eastAsia="en-US"/>
              </w:rPr>
              <w:t>TARGET DATE</w:t>
            </w:r>
          </w:p>
        </w:tc>
      </w:tr>
      <w:tr w:rsidR="00BD348F" w:rsidRPr="00BD348F" w14:paraId="799D91C7" w14:textId="77777777" w:rsidTr="00BD348F">
        <w:tblPrEx>
          <w:tblBorders>
            <w:top w:val="none" w:sz="0" w:space="0" w:color="auto"/>
          </w:tblBorders>
          <w:tblCellMar>
            <w:top w:w="0" w:type="dxa"/>
            <w:bottom w:w="0" w:type="dxa"/>
          </w:tblCellMar>
        </w:tblPrEx>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5088A5DD" w14:textId="77777777" w:rsidR="00BD348F" w:rsidRPr="00BD348F" w:rsidRDefault="00BD348F">
            <w:pPr>
              <w:autoSpaceDE w:val="0"/>
              <w:autoSpaceDN w:val="0"/>
              <w:adjustRightInd w:val="0"/>
              <w:rPr>
                <w:rFonts w:ascii="Helvetica" w:eastAsiaTheme="minorHAnsi" w:hAnsi="Helvetica" w:cs="Helvetica"/>
                <w:kern w:val="1"/>
                <w:sz w:val="24"/>
                <w:szCs w:val="24"/>
                <w:lang w:eastAsia="en-US"/>
              </w:rPr>
            </w:pPr>
            <w:r w:rsidRPr="00BD348F">
              <w:rPr>
                <w:rFonts w:ascii="Calibri" w:eastAsiaTheme="minorHAnsi" w:hAnsi="Calibri" w:cs="Calibri"/>
                <w:color w:val="000000"/>
                <w:lang w:eastAsia="en-US"/>
              </w:rPr>
              <w:t>To make sure learners listen while I’m talking.</w:t>
            </w: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254FE36E"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Helvetica" w:eastAsiaTheme="minorHAnsi" w:hAnsi="Helvetica" w:cs="Helvetica"/>
                <w:kern w:val="1"/>
                <w:sz w:val="24"/>
                <w:szCs w:val="24"/>
                <w:lang w:eastAsia="en-US"/>
              </w:rPr>
            </w:pPr>
            <w:r w:rsidRPr="00BD348F">
              <w:rPr>
                <w:rFonts w:ascii="Calibri" w:eastAsiaTheme="minorHAnsi" w:hAnsi="Calibri" w:cs="Calibri"/>
                <w:color w:val="000000"/>
                <w:lang w:eastAsia="en-US"/>
              </w:rPr>
              <w:t>Develop techniques, where I stop talking until they are all listening.</w:t>
            </w: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04D4CC21" w14:textId="77777777" w:rsidR="00BD348F" w:rsidRPr="00BD348F" w:rsidRDefault="00BD348F">
            <w:pPr>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This will improve Pupil–Teacher relationship and pupils will be more aware of what is being taught.</w:t>
            </w:r>
          </w:p>
          <w:p w14:paraId="72A7C74E"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eastAsiaTheme="minorHAnsi" w:hAnsi="Calibri" w:cs="Calibri"/>
                <w:color w:val="000000"/>
                <w:lang w:eastAsia="en-US"/>
              </w:rPr>
            </w:pP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2995F9D1"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r>
      <w:tr w:rsidR="00BD348F" w:rsidRPr="00BD348F" w14:paraId="7AD888A2" w14:textId="77777777" w:rsidTr="00BD348F">
        <w:tblPrEx>
          <w:tblBorders>
            <w:top w:val="none" w:sz="0" w:space="0" w:color="auto"/>
          </w:tblBorders>
          <w:tblCellMar>
            <w:top w:w="0" w:type="dxa"/>
            <w:bottom w:w="0" w:type="dxa"/>
          </w:tblCellMar>
        </w:tblPrEx>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2CEE6ABE" w14:textId="77777777" w:rsidR="00BD348F" w:rsidRPr="00BD348F" w:rsidRDefault="00BD348F">
            <w:pPr>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 xml:space="preserve">S2.7 Thinking of strategies for dealing with silly off task behaviour </w:t>
            </w:r>
          </w:p>
          <w:p w14:paraId="5181C0C8"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79CD969D" w14:textId="77777777" w:rsidR="00BD348F" w:rsidRPr="00BD348F" w:rsidRDefault="00BD348F">
            <w:pPr>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Use available school policy to promote good behaviour.</w:t>
            </w:r>
          </w:p>
          <w:p w14:paraId="5F17FCB2"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364615A7" w14:textId="77777777" w:rsidR="00BD348F" w:rsidRPr="00BD348F" w:rsidRDefault="00BD348F">
            <w:pPr>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Students behaviour will improve in lessons which will establish a purposeful learning environment.</w:t>
            </w:r>
          </w:p>
          <w:p w14:paraId="39B96B1B"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eastAsiaTheme="minorHAnsi" w:hAnsi="Calibri" w:cs="Calibri"/>
                <w:color w:val="000000"/>
                <w:lang w:eastAsia="en-US"/>
              </w:rPr>
            </w:pP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194EB092"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r>
      <w:tr w:rsidR="00BD348F" w:rsidRPr="00BD348F" w14:paraId="10CEAA36" w14:textId="77777777" w:rsidTr="00BD348F">
        <w:tblPrEx>
          <w:tblBorders>
            <w:top w:val="none" w:sz="0" w:space="0" w:color="auto"/>
          </w:tblBorders>
          <w:tblCellMar>
            <w:top w:w="0" w:type="dxa"/>
            <w:bottom w:w="0" w:type="dxa"/>
          </w:tblCellMar>
        </w:tblPrEx>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5FFEA683"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Helvetica" w:eastAsiaTheme="minorHAnsi" w:hAnsi="Helvetica" w:cs="Helvetica"/>
                <w:kern w:val="1"/>
                <w:sz w:val="24"/>
                <w:szCs w:val="24"/>
                <w:lang w:eastAsia="en-US"/>
              </w:rPr>
            </w:pPr>
            <w:r w:rsidRPr="00BD348F">
              <w:rPr>
                <w:rFonts w:ascii="Calibri" w:eastAsiaTheme="minorHAnsi" w:hAnsi="Calibri" w:cs="Calibri"/>
                <w:color w:val="000000"/>
                <w:lang w:eastAsia="en-US"/>
              </w:rPr>
              <w:t>S3.1.1: Use terminology that that is familiar to students.</w:t>
            </w: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4746CC93" w14:textId="77777777" w:rsidR="00BD348F" w:rsidRPr="00BD348F" w:rsidRDefault="00BD348F">
            <w:pPr>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 xml:space="preserve">Look at </w:t>
            </w:r>
            <w:proofErr w:type="gramStart"/>
            <w:r w:rsidRPr="00BD348F">
              <w:rPr>
                <w:rFonts w:ascii="Calibri" w:eastAsiaTheme="minorHAnsi" w:hAnsi="Calibri" w:cs="Calibri"/>
                <w:color w:val="000000"/>
                <w:lang w:eastAsia="en-US"/>
              </w:rPr>
              <w:t>students</w:t>
            </w:r>
            <w:proofErr w:type="gramEnd"/>
            <w:r w:rsidRPr="00BD348F">
              <w:rPr>
                <w:rFonts w:ascii="Calibri" w:eastAsiaTheme="minorHAnsi" w:hAnsi="Calibri" w:cs="Calibri"/>
                <w:color w:val="000000"/>
                <w:lang w:eastAsia="en-US"/>
              </w:rPr>
              <w:t xml:space="preserve"> books to see what they have already covered.</w:t>
            </w:r>
          </w:p>
          <w:p w14:paraId="02230D35" w14:textId="77777777" w:rsidR="00BD348F" w:rsidRPr="00BD348F" w:rsidRDefault="00BD348F">
            <w:pPr>
              <w:autoSpaceDE w:val="0"/>
              <w:autoSpaceDN w:val="0"/>
              <w:adjustRightInd w:val="0"/>
              <w:rPr>
                <w:rFonts w:ascii="Calibri" w:eastAsiaTheme="minorHAnsi" w:hAnsi="Calibri" w:cs="Calibri"/>
                <w:color w:val="000000"/>
                <w:lang w:eastAsia="en-US"/>
              </w:rPr>
            </w:pPr>
          </w:p>
          <w:p w14:paraId="15BE49A7"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401C4344"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Students will focus more rather than trying to learn new terminology for something they have already done.</w:t>
            </w: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174D7002"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r>
      <w:tr w:rsidR="00BD348F" w:rsidRPr="00BD348F" w14:paraId="324C7915" w14:textId="77777777" w:rsidTr="00BD348F">
        <w:tblPrEx>
          <w:tblBorders>
            <w:top w:val="none" w:sz="0" w:space="0" w:color="auto"/>
          </w:tblBorders>
          <w:tblCellMar>
            <w:top w:w="0" w:type="dxa"/>
            <w:bottom w:w="0" w:type="dxa"/>
          </w:tblCellMar>
        </w:tblPrEx>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636496E8"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Consider that pupils work at different levels especially during writing.</w:t>
            </w:r>
          </w:p>
          <w:p w14:paraId="24FE3273"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46E23C65"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Make sure the learners can access any writing they have missed at a later stage.</w:t>
            </w:r>
          </w:p>
          <w:p w14:paraId="7033C7A1"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0D7E5CA2"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Students with slower writing ability will not feel pressured, which will reduce anxiety of not completing writing task but will increase attention.</w:t>
            </w:r>
          </w:p>
          <w:p w14:paraId="43B4711E"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eastAsiaTheme="minorHAnsi" w:hAnsi="Calibri" w:cs="Calibri"/>
                <w:color w:val="000000"/>
                <w:lang w:eastAsia="en-US"/>
              </w:rPr>
            </w:pP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7C646390"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r>
      <w:tr w:rsidR="00BD348F" w:rsidRPr="00BD348F" w14:paraId="0494BD2D" w14:textId="77777777" w:rsidTr="00BD348F">
        <w:tblPrEx>
          <w:tblBorders>
            <w:top w:val="none" w:sz="0" w:space="0" w:color="auto"/>
          </w:tblBorders>
          <w:tblCellMar>
            <w:top w:w="0" w:type="dxa"/>
            <w:bottom w:w="0" w:type="dxa"/>
          </w:tblCellMar>
        </w:tblPrEx>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3ACDF884"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Illustrate all tasks with modelled examples for lower ability classes.</w:t>
            </w:r>
          </w:p>
          <w:p w14:paraId="0AC3AA49"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0F686D31"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All lessons will include modelled examples to make learning accessible to all.</w:t>
            </w:r>
          </w:p>
          <w:p w14:paraId="3431ACE5"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70C29A97"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Decrease interruption during tasks where students are constantly asking for help.</w:t>
            </w:r>
          </w:p>
          <w:p w14:paraId="74B1850B"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5949F04E"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r>
      <w:tr w:rsidR="00BD348F" w:rsidRPr="00BD348F" w14:paraId="463CCCD1" w14:textId="77777777" w:rsidTr="00BD348F">
        <w:tblPrEx>
          <w:tblCellMar>
            <w:top w:w="0" w:type="dxa"/>
            <w:bottom w:w="0" w:type="dxa"/>
          </w:tblCellMar>
        </w:tblPrEx>
        <w:tc>
          <w:tcPr>
            <w:tcW w:w="214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592A1CD8"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Calibri" w:eastAsiaTheme="minorHAnsi" w:hAnsi="Calibri" w:cs="Calibri"/>
                <w:color w:val="000000"/>
                <w:lang w:eastAsia="en-US"/>
              </w:rPr>
            </w:pPr>
            <w:r w:rsidRPr="00BD348F">
              <w:rPr>
                <w:rFonts w:ascii="Calibri" w:eastAsiaTheme="minorHAnsi" w:hAnsi="Calibri" w:cs="Calibri"/>
                <w:color w:val="000000"/>
                <w:lang w:eastAsia="en-US"/>
              </w:rPr>
              <w:t>Strategies to create a more structured whole class feedback,</w:t>
            </w:r>
          </w:p>
          <w:p w14:paraId="3FA17ED5"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kern w:val="1"/>
                <w:sz w:val="24"/>
                <w:szCs w:val="24"/>
                <w:lang w:eastAsia="en-US"/>
              </w:rPr>
            </w:pPr>
          </w:p>
        </w:tc>
        <w:tc>
          <w:tcPr>
            <w:tcW w:w="55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318B8E97"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Helvetica" w:eastAsiaTheme="minorHAnsi" w:hAnsi="Helvetica" w:cs="Helvetica"/>
                <w:kern w:val="1"/>
                <w:sz w:val="24"/>
                <w:szCs w:val="24"/>
                <w:lang w:eastAsia="en-US"/>
              </w:rPr>
            </w:pPr>
            <w:r w:rsidRPr="00BD348F">
              <w:rPr>
                <w:rFonts w:ascii="Calibri" w:eastAsiaTheme="minorHAnsi" w:hAnsi="Calibri" w:cs="Calibri"/>
                <w:color w:val="000000"/>
                <w:lang w:eastAsia="en-US"/>
              </w:rPr>
              <w:t xml:space="preserve">No hands up method will be implemented. </w:t>
            </w:r>
          </w:p>
        </w:tc>
        <w:tc>
          <w:tcPr>
            <w:tcW w:w="4100"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51EA0F32" w14:textId="77777777" w:rsidR="00BD348F" w:rsidRPr="00BD348F" w:rsidRDefault="00BD348F">
            <w:pPr>
              <w:tabs>
                <w:tab w:val="left" w:pos="720"/>
                <w:tab w:val="left" w:pos="1440"/>
                <w:tab w:val="left" w:pos="2160"/>
                <w:tab w:val="left" w:pos="2880"/>
                <w:tab w:val="left" w:pos="3330"/>
                <w:tab w:val="left" w:pos="4320"/>
              </w:tabs>
              <w:autoSpaceDE w:val="0"/>
              <w:autoSpaceDN w:val="0"/>
              <w:adjustRightInd w:val="0"/>
              <w:rPr>
                <w:rFonts w:ascii="Helvetica" w:eastAsiaTheme="minorHAnsi" w:hAnsi="Helvetica" w:cs="Helvetica"/>
                <w:kern w:val="1"/>
                <w:sz w:val="24"/>
                <w:szCs w:val="24"/>
                <w:lang w:eastAsia="en-US"/>
              </w:rPr>
            </w:pPr>
            <w:r w:rsidRPr="00BD348F">
              <w:rPr>
                <w:rFonts w:ascii="Calibri" w:eastAsiaTheme="minorHAnsi" w:hAnsi="Calibri" w:cs="Calibri"/>
                <w:color w:val="000000"/>
                <w:lang w:eastAsia="en-US"/>
              </w:rPr>
              <w:t>Create a less destructive learning environment by reducing overexcitement and increase learner contribution to feedback.</w:t>
            </w:r>
          </w:p>
        </w:tc>
        <w:tc>
          <w:tcPr>
            <w:tcW w:w="2381" w:type="dxa"/>
            <w:tcBorders>
              <w:top w:val="single" w:sz="8" w:space="0" w:color="414141"/>
              <w:left w:val="single" w:sz="8" w:space="0" w:color="414141"/>
              <w:bottom w:val="single" w:sz="8" w:space="0" w:color="414141"/>
              <w:right w:val="single" w:sz="8" w:space="0" w:color="414141"/>
            </w:tcBorders>
            <w:tcMar>
              <w:top w:w="80" w:type="nil"/>
              <w:left w:w="80" w:type="nil"/>
              <w:bottom w:w="80" w:type="nil"/>
              <w:right w:w="80" w:type="nil"/>
            </w:tcMar>
          </w:tcPr>
          <w:p w14:paraId="1B55D0ED" w14:textId="77777777" w:rsidR="00BD348F" w:rsidRPr="00BD348F" w:rsidRDefault="00BD34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lang w:eastAsia="en-US"/>
              </w:rPr>
            </w:pPr>
          </w:p>
        </w:tc>
      </w:tr>
    </w:tbl>
    <w:p w14:paraId="5C6F4CC1" w14:textId="123405A2" w:rsidR="00BD348F" w:rsidRPr="00BD348F" w:rsidRDefault="00BD348F" w:rsidP="00BD348F">
      <w:pPr>
        <w:autoSpaceDE w:val="0"/>
        <w:autoSpaceDN w:val="0"/>
        <w:adjustRightInd w:val="0"/>
        <w:spacing w:after="120" w:line="264" w:lineRule="auto"/>
        <w:rPr>
          <w:rFonts w:ascii="Calibri" w:eastAsiaTheme="minorHAnsi" w:hAnsi="Calibri" w:cs="Calibri"/>
          <w:color w:val="000000"/>
          <w:sz w:val="24"/>
          <w:szCs w:val="24"/>
          <w:lang w:eastAsia="en-US"/>
        </w:rPr>
      </w:pPr>
    </w:p>
    <w:p w14:paraId="672F388A" w14:textId="77777777" w:rsidR="00D10389" w:rsidRPr="00BD348F" w:rsidRDefault="00BD348F">
      <w:pPr>
        <w:rPr>
          <w:rFonts w:ascii="Arial" w:hAnsi="Arial" w:cs="Arial"/>
          <w:sz w:val="32"/>
        </w:rPr>
      </w:pPr>
    </w:p>
    <w:sectPr w:rsidR="00D10389" w:rsidRPr="00BD348F" w:rsidSect="00BD34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5D4"/>
    <w:rsid w:val="000005BF"/>
    <w:rsid w:val="00003672"/>
    <w:rsid w:val="0001236F"/>
    <w:rsid w:val="00015964"/>
    <w:rsid w:val="000167E4"/>
    <w:rsid w:val="00020F8D"/>
    <w:rsid w:val="00025069"/>
    <w:rsid w:val="00034E05"/>
    <w:rsid w:val="00036665"/>
    <w:rsid w:val="00037A38"/>
    <w:rsid w:val="000414E7"/>
    <w:rsid w:val="00044FC2"/>
    <w:rsid w:val="00047C64"/>
    <w:rsid w:val="00054059"/>
    <w:rsid w:val="000554F6"/>
    <w:rsid w:val="000755E0"/>
    <w:rsid w:val="00090C9A"/>
    <w:rsid w:val="00093247"/>
    <w:rsid w:val="00093BEB"/>
    <w:rsid w:val="00094C37"/>
    <w:rsid w:val="000A6460"/>
    <w:rsid w:val="000B1840"/>
    <w:rsid w:val="000B28EC"/>
    <w:rsid w:val="000B39C5"/>
    <w:rsid w:val="000B3F8A"/>
    <w:rsid w:val="000B4BF6"/>
    <w:rsid w:val="000C7991"/>
    <w:rsid w:val="000D5408"/>
    <w:rsid w:val="000E0C94"/>
    <w:rsid w:val="000E3777"/>
    <w:rsid w:val="000E7EA0"/>
    <w:rsid w:val="000F4442"/>
    <w:rsid w:val="000F680C"/>
    <w:rsid w:val="000F7114"/>
    <w:rsid w:val="0011114D"/>
    <w:rsid w:val="0011533E"/>
    <w:rsid w:val="001153BE"/>
    <w:rsid w:val="001317BB"/>
    <w:rsid w:val="0013360F"/>
    <w:rsid w:val="00146B87"/>
    <w:rsid w:val="0014728B"/>
    <w:rsid w:val="00165D64"/>
    <w:rsid w:val="00177266"/>
    <w:rsid w:val="001812C9"/>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DC5"/>
    <w:rsid w:val="001F01B0"/>
    <w:rsid w:val="001F1D89"/>
    <w:rsid w:val="001F2FF6"/>
    <w:rsid w:val="001F53BD"/>
    <w:rsid w:val="001F7F98"/>
    <w:rsid w:val="00204D19"/>
    <w:rsid w:val="00210A97"/>
    <w:rsid w:val="002205ED"/>
    <w:rsid w:val="00224740"/>
    <w:rsid w:val="002257C2"/>
    <w:rsid w:val="0023376B"/>
    <w:rsid w:val="002374AA"/>
    <w:rsid w:val="00241090"/>
    <w:rsid w:val="00247579"/>
    <w:rsid w:val="00255727"/>
    <w:rsid w:val="002612CD"/>
    <w:rsid w:val="0026167C"/>
    <w:rsid w:val="002632C4"/>
    <w:rsid w:val="00270363"/>
    <w:rsid w:val="00280B65"/>
    <w:rsid w:val="00290427"/>
    <w:rsid w:val="00294329"/>
    <w:rsid w:val="002A4B3C"/>
    <w:rsid w:val="002B6475"/>
    <w:rsid w:val="002B7FDC"/>
    <w:rsid w:val="002C0484"/>
    <w:rsid w:val="002C6641"/>
    <w:rsid w:val="002D1A28"/>
    <w:rsid w:val="002D408E"/>
    <w:rsid w:val="002E2053"/>
    <w:rsid w:val="002E2539"/>
    <w:rsid w:val="002E27D1"/>
    <w:rsid w:val="002F2A6D"/>
    <w:rsid w:val="002F335C"/>
    <w:rsid w:val="002F7207"/>
    <w:rsid w:val="00300AA9"/>
    <w:rsid w:val="00303D92"/>
    <w:rsid w:val="003125C0"/>
    <w:rsid w:val="00313DA0"/>
    <w:rsid w:val="00321E01"/>
    <w:rsid w:val="00322226"/>
    <w:rsid w:val="00337952"/>
    <w:rsid w:val="003447AF"/>
    <w:rsid w:val="003524D7"/>
    <w:rsid w:val="00352D94"/>
    <w:rsid w:val="00363499"/>
    <w:rsid w:val="00365913"/>
    <w:rsid w:val="003724B1"/>
    <w:rsid w:val="00381CFB"/>
    <w:rsid w:val="003829BA"/>
    <w:rsid w:val="0039694D"/>
    <w:rsid w:val="003A147B"/>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3513"/>
    <w:rsid w:val="00457F58"/>
    <w:rsid w:val="00464CEC"/>
    <w:rsid w:val="004661E2"/>
    <w:rsid w:val="00466657"/>
    <w:rsid w:val="00472306"/>
    <w:rsid w:val="00476B43"/>
    <w:rsid w:val="00483109"/>
    <w:rsid w:val="004853F5"/>
    <w:rsid w:val="00492E69"/>
    <w:rsid w:val="00494B4D"/>
    <w:rsid w:val="004955EC"/>
    <w:rsid w:val="004A5BAE"/>
    <w:rsid w:val="004B5EBD"/>
    <w:rsid w:val="004D4114"/>
    <w:rsid w:val="004D5ABE"/>
    <w:rsid w:val="004D699E"/>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1904"/>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1C7E"/>
    <w:rsid w:val="0061356B"/>
    <w:rsid w:val="00616335"/>
    <w:rsid w:val="00616CAD"/>
    <w:rsid w:val="00622819"/>
    <w:rsid w:val="006250E0"/>
    <w:rsid w:val="006309B1"/>
    <w:rsid w:val="00636B46"/>
    <w:rsid w:val="00636C09"/>
    <w:rsid w:val="0064218F"/>
    <w:rsid w:val="006427ED"/>
    <w:rsid w:val="00647EDF"/>
    <w:rsid w:val="00657E2B"/>
    <w:rsid w:val="006609D5"/>
    <w:rsid w:val="00661219"/>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4750"/>
    <w:rsid w:val="006C597A"/>
    <w:rsid w:val="006D6BB7"/>
    <w:rsid w:val="006E5318"/>
    <w:rsid w:val="006F595F"/>
    <w:rsid w:val="00702532"/>
    <w:rsid w:val="007053EE"/>
    <w:rsid w:val="007074D6"/>
    <w:rsid w:val="00712AC9"/>
    <w:rsid w:val="007162C4"/>
    <w:rsid w:val="00721468"/>
    <w:rsid w:val="00730426"/>
    <w:rsid w:val="00730C8E"/>
    <w:rsid w:val="007348AE"/>
    <w:rsid w:val="00741601"/>
    <w:rsid w:val="00761186"/>
    <w:rsid w:val="007641F7"/>
    <w:rsid w:val="00772610"/>
    <w:rsid w:val="007872EB"/>
    <w:rsid w:val="0079282D"/>
    <w:rsid w:val="00794C24"/>
    <w:rsid w:val="007A00DE"/>
    <w:rsid w:val="007A086E"/>
    <w:rsid w:val="007B2B25"/>
    <w:rsid w:val="007D085E"/>
    <w:rsid w:val="007D1541"/>
    <w:rsid w:val="007D2B34"/>
    <w:rsid w:val="007D5B33"/>
    <w:rsid w:val="007D78B8"/>
    <w:rsid w:val="007D7C8A"/>
    <w:rsid w:val="007D7EE9"/>
    <w:rsid w:val="007E197A"/>
    <w:rsid w:val="007F5B95"/>
    <w:rsid w:val="00800326"/>
    <w:rsid w:val="0080066D"/>
    <w:rsid w:val="00812E6B"/>
    <w:rsid w:val="00824FAF"/>
    <w:rsid w:val="00836818"/>
    <w:rsid w:val="00850F9F"/>
    <w:rsid w:val="00851C9B"/>
    <w:rsid w:val="00856458"/>
    <w:rsid w:val="008639B9"/>
    <w:rsid w:val="0087676B"/>
    <w:rsid w:val="00876A4A"/>
    <w:rsid w:val="00877088"/>
    <w:rsid w:val="00881FF4"/>
    <w:rsid w:val="0088273D"/>
    <w:rsid w:val="00884231"/>
    <w:rsid w:val="00896274"/>
    <w:rsid w:val="00896C80"/>
    <w:rsid w:val="008A013E"/>
    <w:rsid w:val="008A6956"/>
    <w:rsid w:val="008C2036"/>
    <w:rsid w:val="008C3CD3"/>
    <w:rsid w:val="008D6CE2"/>
    <w:rsid w:val="008E71B6"/>
    <w:rsid w:val="008E7B39"/>
    <w:rsid w:val="008F3197"/>
    <w:rsid w:val="00901A0E"/>
    <w:rsid w:val="00902E3E"/>
    <w:rsid w:val="00904052"/>
    <w:rsid w:val="009076C7"/>
    <w:rsid w:val="0091667C"/>
    <w:rsid w:val="00921AD6"/>
    <w:rsid w:val="00926D42"/>
    <w:rsid w:val="00936287"/>
    <w:rsid w:val="00936CDE"/>
    <w:rsid w:val="009419DF"/>
    <w:rsid w:val="0094717C"/>
    <w:rsid w:val="009653AD"/>
    <w:rsid w:val="00977BAC"/>
    <w:rsid w:val="00985C46"/>
    <w:rsid w:val="0099234C"/>
    <w:rsid w:val="00992EA7"/>
    <w:rsid w:val="00995136"/>
    <w:rsid w:val="009A3ABE"/>
    <w:rsid w:val="009B7383"/>
    <w:rsid w:val="009C47A6"/>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781D"/>
    <w:rsid w:val="00A378BA"/>
    <w:rsid w:val="00A47911"/>
    <w:rsid w:val="00A53DE0"/>
    <w:rsid w:val="00A64421"/>
    <w:rsid w:val="00A73C0E"/>
    <w:rsid w:val="00A76324"/>
    <w:rsid w:val="00A84C7C"/>
    <w:rsid w:val="00A935C8"/>
    <w:rsid w:val="00AA3572"/>
    <w:rsid w:val="00AC1FB7"/>
    <w:rsid w:val="00AC6F6D"/>
    <w:rsid w:val="00AC725E"/>
    <w:rsid w:val="00AD390E"/>
    <w:rsid w:val="00AD5EA4"/>
    <w:rsid w:val="00AE23EB"/>
    <w:rsid w:val="00B06984"/>
    <w:rsid w:val="00B11211"/>
    <w:rsid w:val="00B13324"/>
    <w:rsid w:val="00B20039"/>
    <w:rsid w:val="00B212E8"/>
    <w:rsid w:val="00B217D0"/>
    <w:rsid w:val="00B24C29"/>
    <w:rsid w:val="00B413A1"/>
    <w:rsid w:val="00B55146"/>
    <w:rsid w:val="00B668F7"/>
    <w:rsid w:val="00B709A5"/>
    <w:rsid w:val="00B826A6"/>
    <w:rsid w:val="00B9157B"/>
    <w:rsid w:val="00B951AD"/>
    <w:rsid w:val="00BA09F2"/>
    <w:rsid w:val="00BA50F5"/>
    <w:rsid w:val="00BB2C62"/>
    <w:rsid w:val="00BB6ABC"/>
    <w:rsid w:val="00BC71B3"/>
    <w:rsid w:val="00BD26B7"/>
    <w:rsid w:val="00BD348F"/>
    <w:rsid w:val="00BD37DD"/>
    <w:rsid w:val="00BF11DC"/>
    <w:rsid w:val="00C200B0"/>
    <w:rsid w:val="00C2154E"/>
    <w:rsid w:val="00C51CD0"/>
    <w:rsid w:val="00C5387C"/>
    <w:rsid w:val="00C57A45"/>
    <w:rsid w:val="00C6058F"/>
    <w:rsid w:val="00C63B2A"/>
    <w:rsid w:val="00C772B4"/>
    <w:rsid w:val="00C83DFF"/>
    <w:rsid w:val="00C85190"/>
    <w:rsid w:val="00C8614F"/>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4526"/>
    <w:rsid w:val="00D45E72"/>
    <w:rsid w:val="00D62C72"/>
    <w:rsid w:val="00D6766E"/>
    <w:rsid w:val="00D707D9"/>
    <w:rsid w:val="00D70AF8"/>
    <w:rsid w:val="00D72ECF"/>
    <w:rsid w:val="00D72F28"/>
    <w:rsid w:val="00D762B9"/>
    <w:rsid w:val="00D87152"/>
    <w:rsid w:val="00D975F4"/>
    <w:rsid w:val="00DA0443"/>
    <w:rsid w:val="00DA5A49"/>
    <w:rsid w:val="00DA62A9"/>
    <w:rsid w:val="00DB5103"/>
    <w:rsid w:val="00DC0DF7"/>
    <w:rsid w:val="00DC1488"/>
    <w:rsid w:val="00DC7121"/>
    <w:rsid w:val="00DD2F5E"/>
    <w:rsid w:val="00DE32EC"/>
    <w:rsid w:val="00DE589D"/>
    <w:rsid w:val="00DE62FD"/>
    <w:rsid w:val="00DF0412"/>
    <w:rsid w:val="00DF6174"/>
    <w:rsid w:val="00DF6944"/>
    <w:rsid w:val="00E040DC"/>
    <w:rsid w:val="00E04D76"/>
    <w:rsid w:val="00E11D1A"/>
    <w:rsid w:val="00E26742"/>
    <w:rsid w:val="00E270BC"/>
    <w:rsid w:val="00E34C43"/>
    <w:rsid w:val="00E35FA6"/>
    <w:rsid w:val="00E36CC0"/>
    <w:rsid w:val="00E40C0F"/>
    <w:rsid w:val="00E42A7D"/>
    <w:rsid w:val="00E4334E"/>
    <w:rsid w:val="00E46B11"/>
    <w:rsid w:val="00E554A1"/>
    <w:rsid w:val="00E55C18"/>
    <w:rsid w:val="00E60A86"/>
    <w:rsid w:val="00E72B61"/>
    <w:rsid w:val="00E7620C"/>
    <w:rsid w:val="00E7697B"/>
    <w:rsid w:val="00E76D8B"/>
    <w:rsid w:val="00E82EF9"/>
    <w:rsid w:val="00E84864"/>
    <w:rsid w:val="00E873A0"/>
    <w:rsid w:val="00E90722"/>
    <w:rsid w:val="00E91404"/>
    <w:rsid w:val="00EB0360"/>
    <w:rsid w:val="00EB1CA2"/>
    <w:rsid w:val="00EC643C"/>
    <w:rsid w:val="00EC68CA"/>
    <w:rsid w:val="00ED04DF"/>
    <w:rsid w:val="00ED0E1C"/>
    <w:rsid w:val="00ED3D6D"/>
    <w:rsid w:val="00ED4F85"/>
    <w:rsid w:val="00EE1136"/>
    <w:rsid w:val="00EE5863"/>
    <w:rsid w:val="00EE5F13"/>
    <w:rsid w:val="00EE67AF"/>
    <w:rsid w:val="00EE7777"/>
    <w:rsid w:val="00EF33E7"/>
    <w:rsid w:val="00F168CE"/>
    <w:rsid w:val="00F21260"/>
    <w:rsid w:val="00F237B0"/>
    <w:rsid w:val="00F24EEB"/>
    <w:rsid w:val="00F26AD8"/>
    <w:rsid w:val="00F30A7E"/>
    <w:rsid w:val="00F35CCC"/>
    <w:rsid w:val="00F371EE"/>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FF83F"/>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4175</Words>
  <Characters>23802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Microsoft Office User</cp:lastModifiedBy>
  <cp:revision>3</cp:revision>
  <dcterms:created xsi:type="dcterms:W3CDTF">2018-11-26T18:54:00Z</dcterms:created>
  <dcterms:modified xsi:type="dcterms:W3CDTF">2018-11-26T19:01:00Z</dcterms:modified>
</cp:coreProperties>
</file>