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817D6" w14:textId="77777777" w:rsidR="008B3345" w:rsidRPr="008B3345" w:rsidRDefault="008B3345" w:rsidP="002F7821">
      <w:pPr>
        <w:pStyle w:val="NormalWeb"/>
        <w:jc w:val="both"/>
        <w:rPr>
          <w:color w:val="000000" w:themeColor="text1"/>
        </w:rPr>
      </w:pPr>
      <w:r w:rsidRPr="008B3345">
        <w:rPr>
          <w:color w:val="000000" w:themeColor="text1"/>
        </w:rPr>
        <w:t>Research Questions</w:t>
      </w:r>
    </w:p>
    <w:p w14:paraId="46B72AA2" w14:textId="77777777" w:rsidR="008B3345" w:rsidRPr="008B3345" w:rsidRDefault="008B3345" w:rsidP="002F7821">
      <w:pPr>
        <w:pStyle w:val="NormalWeb"/>
        <w:jc w:val="both"/>
        <w:rPr>
          <w:color w:val="000000" w:themeColor="text1"/>
        </w:rPr>
      </w:pPr>
      <w:r w:rsidRPr="008B3345">
        <w:rPr>
          <w:color w:val="000000" w:themeColor="text1"/>
        </w:rPr>
        <w:t>1. Which regulatory and institutional factors most strongly influence ESG alignment between UK and Vietnamese frameworks?</w:t>
      </w:r>
    </w:p>
    <w:p w14:paraId="7BEB6409" w14:textId="77777777" w:rsidR="008B3345" w:rsidRPr="008B3345" w:rsidRDefault="008B3345" w:rsidP="002F7821">
      <w:pPr>
        <w:pStyle w:val="NormalWeb"/>
        <w:jc w:val="both"/>
        <w:rPr>
          <w:color w:val="000000" w:themeColor="text1"/>
        </w:rPr>
      </w:pPr>
      <w:r w:rsidRPr="008B3345">
        <w:rPr>
          <w:color w:val="000000" w:themeColor="text1"/>
        </w:rPr>
        <w:t>2. How does AI/NLP classification enhance the comparison of ESG regulatory texts across key governance and disclosure dimensions?</w:t>
      </w:r>
    </w:p>
    <w:p w14:paraId="1069AFA6" w14:textId="77777777" w:rsidR="008B3345" w:rsidRPr="008B3345" w:rsidRDefault="008B3345" w:rsidP="002F7821">
      <w:pPr>
        <w:pStyle w:val="NormalWeb"/>
        <w:jc w:val="both"/>
        <w:rPr>
          <w:color w:val="000000" w:themeColor="text1"/>
        </w:rPr>
      </w:pPr>
      <w:r w:rsidRPr="008B3345">
        <w:rPr>
          <w:color w:val="000000" w:themeColor="text1"/>
        </w:rPr>
        <w:t>3. To what extent do Vietnamese firms’ ESG disclosures reflect UK/ISSB-aligned reporting expectations?</w:t>
      </w:r>
    </w:p>
    <w:p w14:paraId="418428E1" w14:textId="77777777" w:rsidR="008B3345" w:rsidRPr="008B3345" w:rsidRDefault="008B3345" w:rsidP="002F7821">
      <w:pPr>
        <w:pStyle w:val="NormalWeb"/>
        <w:jc w:val="both"/>
        <w:rPr>
          <w:color w:val="000000" w:themeColor="text1"/>
        </w:rPr>
      </w:pPr>
      <w:r w:rsidRPr="008B3345">
        <w:rPr>
          <w:color w:val="000000" w:themeColor="text1"/>
        </w:rPr>
        <w:t>4. How can a governance framework integrate these elements to support UK–Vietnam cross-market sustainable-finance alignment?</w:t>
      </w:r>
    </w:p>
    <w:p w14:paraId="78993CAF" w14:textId="77777777" w:rsidR="008B3345" w:rsidRPr="008B3345" w:rsidRDefault="008B3345" w:rsidP="002F7821">
      <w:pPr>
        <w:spacing w:before="100" w:beforeAutospacing="1" w:after="100" w:afterAutospacing="1"/>
        <w:jc w:val="both"/>
        <w:outlineLvl w:val="2"/>
        <w:rPr>
          <w:b/>
          <w:bCs/>
          <w:color w:val="000000" w:themeColor="text1"/>
          <w:lang w:val="vi-VN"/>
        </w:rPr>
      </w:pPr>
    </w:p>
    <w:p w14:paraId="6CD55E58" w14:textId="77777777" w:rsidR="008B3345" w:rsidRPr="008B3345" w:rsidRDefault="008B3345" w:rsidP="002F7821">
      <w:pPr>
        <w:pStyle w:val="Heading2"/>
        <w:jc w:val="both"/>
        <w:rPr>
          <w:rFonts w:ascii="Times New Roman" w:hAnsi="Times New Roman" w:cs="Times New Roman"/>
          <w:b/>
          <w:bCs/>
          <w:color w:val="000000" w:themeColor="text1"/>
          <w:sz w:val="24"/>
          <w:szCs w:val="24"/>
        </w:rPr>
      </w:pPr>
      <w:r w:rsidRPr="008B3345">
        <w:rPr>
          <w:rFonts w:ascii="Times New Roman" w:hAnsi="Times New Roman" w:cs="Times New Roman"/>
          <w:b/>
          <w:bCs/>
          <w:color w:val="000000" w:themeColor="text1"/>
          <w:sz w:val="24"/>
          <w:szCs w:val="24"/>
        </w:rPr>
        <w:t>2. Method for Conducting the Literature Review</w:t>
      </w:r>
    </w:p>
    <w:p w14:paraId="2E27C629" w14:textId="2A32684F" w:rsidR="008B3345" w:rsidRPr="00834110" w:rsidRDefault="008B3345" w:rsidP="002F7821">
      <w:pPr>
        <w:pStyle w:val="NormalWeb"/>
        <w:jc w:val="both"/>
        <w:rPr>
          <w:color w:val="000000" w:themeColor="text1"/>
          <w:lang w:val="vi-VN"/>
        </w:rPr>
      </w:pPr>
      <w:r w:rsidRPr="008B3345">
        <w:rPr>
          <w:color w:val="000000" w:themeColor="text1"/>
        </w:rPr>
        <w:t>This review is designed to be transparent, rigorous, and reasonably reproducible by combining a structured search with a narrative critical synthesis</w:t>
      </w:r>
      <w:r w:rsidR="00834110">
        <w:rPr>
          <w:color w:val="000000" w:themeColor="text1"/>
          <w:lang w:val="vi-VN"/>
        </w:rPr>
        <w:t xml:space="preserve">. </w:t>
      </w:r>
      <w:r w:rsidRPr="008B3345">
        <w:rPr>
          <w:color w:val="000000" w:themeColor="text1"/>
        </w:rPr>
        <w:t>The rationale is methodological as well as epistemic. A structured search makes the evidential base auditable</w:t>
      </w:r>
      <w:r w:rsidR="00834110">
        <w:rPr>
          <w:color w:val="000000" w:themeColor="text1"/>
          <w:lang w:val="vi-VN"/>
        </w:rPr>
        <w:t xml:space="preserve"> </w:t>
      </w:r>
      <w:r w:rsidRPr="008B3345">
        <w:rPr>
          <w:color w:val="000000" w:themeColor="text1"/>
        </w:rPr>
        <w:t>(what was searched, where, and why), which matters in domains where policy discourse can steer interpretation before the evidence is assembled</w:t>
      </w:r>
      <w:r w:rsidR="00834110">
        <w:rPr>
          <w:color w:val="000000" w:themeColor="text1"/>
          <w:lang w:val="vi-VN"/>
        </w:rPr>
        <w:t xml:space="preserve">. </w:t>
      </w:r>
      <w:r w:rsidRPr="008B3345">
        <w:rPr>
          <w:color w:val="000000" w:themeColor="text1"/>
        </w:rPr>
        <w:t>A critical synthesis is then required because “ESG regulatory alignment” is not a settled construct</w:t>
      </w:r>
      <w:r>
        <w:rPr>
          <w:color w:val="000000" w:themeColor="text1"/>
          <w:lang w:val="vi-VN"/>
        </w:rPr>
        <w:t xml:space="preserve"> because</w:t>
      </w:r>
      <w:r w:rsidRPr="008B3345">
        <w:rPr>
          <w:color w:val="000000" w:themeColor="text1"/>
        </w:rPr>
        <w:t xml:space="preserve"> some studies treat alignment as textual similarity, others as enforcement convergence, and others as outcome equivalence. Treating these as interchangeable</w:t>
      </w:r>
      <w:r>
        <w:rPr>
          <w:color w:val="000000" w:themeColor="text1"/>
          <w:lang w:val="vi-VN"/>
        </w:rPr>
        <w:t>, thus,</w:t>
      </w:r>
      <w:r w:rsidRPr="008B3345">
        <w:rPr>
          <w:color w:val="000000" w:themeColor="text1"/>
        </w:rPr>
        <w:t xml:space="preserve"> would build conceptual error into the review itself</w:t>
      </w:r>
      <w:r w:rsidR="00834110">
        <w:rPr>
          <w:color w:val="000000" w:themeColor="text1"/>
          <w:lang w:val="vi-VN"/>
        </w:rPr>
        <w:t>.</w:t>
      </w:r>
      <w:r w:rsidR="00834110">
        <w:rPr>
          <w:color w:val="000000" w:themeColor="text1"/>
          <w:lang w:val="vi-VN"/>
        </w:rPr>
        <w:t xml:space="preserve"> </w:t>
      </w:r>
      <w:r w:rsidRPr="008B3345">
        <w:rPr>
          <w:color w:val="000000" w:themeColor="text1"/>
        </w:rPr>
        <w:t>In line with</w:t>
      </w:r>
      <w:r w:rsidR="00834110">
        <w:rPr>
          <w:color w:val="000000" w:themeColor="text1"/>
          <w:lang w:val="vi-VN"/>
        </w:rPr>
        <w:t xml:space="preserve"> the</w:t>
      </w:r>
      <w:r w:rsidRPr="008B3345">
        <w:rPr>
          <w:color w:val="000000" w:themeColor="text1"/>
        </w:rPr>
        <w:t xml:space="preserve"> </w:t>
      </w:r>
      <w:r>
        <w:rPr>
          <w:color w:val="000000" w:themeColor="text1"/>
        </w:rPr>
        <w:t>assertion</w:t>
      </w:r>
      <w:r>
        <w:rPr>
          <w:color w:val="000000" w:themeColor="text1"/>
          <w:lang w:val="vi-VN"/>
        </w:rPr>
        <w:t xml:space="preserve"> </w:t>
      </w:r>
      <w:r w:rsidRPr="008B3345">
        <w:rPr>
          <w:color w:val="000000" w:themeColor="text1"/>
        </w:rPr>
        <w:t>that conceptual frameworks are constructed rather than found, the literature is approached as a set of analytic components to assemble a mechanism-aware argument, not a static archive of “findings”</w:t>
      </w:r>
      <w:r w:rsidR="00834110">
        <w:rPr>
          <w:color w:val="000000" w:themeColor="text1"/>
          <w:lang w:val="vi-VN"/>
        </w:rPr>
        <w:t xml:space="preserve"> </w:t>
      </w:r>
      <w:r w:rsidR="00834110">
        <w:rPr>
          <w:color w:val="000000" w:themeColor="text1"/>
          <w:lang w:val="vi-VN"/>
        </w:rPr>
        <w:t>(Snyder, 2019;</w:t>
      </w:r>
      <w:r w:rsidR="00834110">
        <w:rPr>
          <w:color w:val="000000" w:themeColor="text1"/>
          <w:lang w:val="vi-VN"/>
        </w:rPr>
        <w:t xml:space="preserve"> Varpio et al., 2020)</w:t>
      </w:r>
      <w:r w:rsidRPr="008B3345">
        <w:rPr>
          <w:color w:val="000000" w:themeColor="text1"/>
        </w:rPr>
        <w:t>.</w:t>
      </w:r>
      <w:r w:rsidRPr="008B3345">
        <w:rPr>
          <w:color w:val="000000" w:themeColor="text1"/>
          <w:lang w:val="vi-VN"/>
        </w:rPr>
        <w:t xml:space="preserve"> </w:t>
      </w:r>
      <w:r>
        <w:rPr>
          <w:color w:val="000000" w:themeColor="text1"/>
          <w:lang w:val="vi-VN"/>
        </w:rPr>
        <w:t xml:space="preserve">All these pertain to a particular function, specifically, </w:t>
      </w:r>
      <w:r w:rsidRPr="008B3345">
        <w:rPr>
          <w:b/>
          <w:bCs/>
          <w:color w:val="000000" w:themeColor="text1"/>
        </w:rPr>
        <w:t>keep</w:t>
      </w:r>
      <w:r w:rsidRPr="008B3345">
        <w:rPr>
          <w:b/>
          <w:bCs/>
          <w:color w:val="000000" w:themeColor="text1"/>
        </w:rPr>
        <w:t>ing</w:t>
      </w:r>
      <w:r w:rsidRPr="008B3345">
        <w:rPr>
          <w:b/>
          <w:bCs/>
          <w:color w:val="000000" w:themeColor="text1"/>
        </w:rPr>
        <w:t xml:space="preserve"> AI/NLP </w:t>
      </w:r>
      <w:r w:rsidRPr="008B3345">
        <w:rPr>
          <w:b/>
          <w:bCs/>
          <w:color w:val="000000" w:themeColor="text1"/>
        </w:rPr>
        <w:t>as</w:t>
      </w:r>
      <w:r w:rsidRPr="008B3345">
        <w:rPr>
          <w:b/>
          <w:bCs/>
          <w:color w:val="000000" w:themeColor="text1"/>
        </w:rPr>
        <w:t xml:space="preserve"> an appropriate evidential role (pattern detection), while preserving space to explain why similar texts can still produce different governance outcomes </w:t>
      </w:r>
      <w:r w:rsidR="00834110">
        <w:rPr>
          <w:b/>
          <w:bCs/>
          <w:color w:val="000000" w:themeColor="text1"/>
          <w:lang w:val="vi-VN"/>
        </w:rPr>
        <w:t>(</w:t>
      </w:r>
      <w:r w:rsidR="00834110">
        <w:t>Frankenreiter &amp; Livermore</w:t>
      </w:r>
      <w:r w:rsidR="00834110">
        <w:rPr>
          <w:lang w:val="vi-VN"/>
        </w:rPr>
        <w:t xml:space="preserve">, </w:t>
      </w:r>
      <w:r w:rsidR="00834110">
        <w:t>2020</w:t>
      </w:r>
      <w:r w:rsidR="00834110">
        <w:rPr>
          <w:lang w:val="vi-VN"/>
        </w:rPr>
        <w:t xml:space="preserve">) </w:t>
      </w:r>
      <w:r w:rsidRPr="008B3345">
        <w:rPr>
          <w:b/>
          <w:bCs/>
          <w:color w:val="000000" w:themeColor="text1"/>
        </w:rPr>
        <w:t>across the UK and Vietnam</w:t>
      </w:r>
      <w:r w:rsidR="00834110">
        <w:rPr>
          <w:b/>
          <w:bCs/>
          <w:color w:val="000000" w:themeColor="text1"/>
          <w:lang w:val="vi-VN"/>
        </w:rPr>
        <w:t>.</w:t>
      </w:r>
    </w:p>
    <w:p w14:paraId="46E9ED2F" w14:textId="77777777" w:rsidR="008B3345" w:rsidRPr="00834110" w:rsidRDefault="008B3345" w:rsidP="002F7821">
      <w:pPr>
        <w:pStyle w:val="Heading2"/>
        <w:jc w:val="both"/>
        <w:rPr>
          <w:rFonts w:ascii="Times New Roman" w:hAnsi="Times New Roman" w:cs="Times New Roman"/>
          <w:b/>
          <w:bCs/>
          <w:color w:val="000000" w:themeColor="text1"/>
          <w:sz w:val="24"/>
          <w:szCs w:val="24"/>
          <w:lang w:val="vi-VN"/>
        </w:rPr>
      </w:pPr>
      <w:r w:rsidRPr="008B3345">
        <w:rPr>
          <w:rFonts w:ascii="Times New Roman" w:hAnsi="Times New Roman" w:cs="Times New Roman"/>
          <w:b/>
          <w:bCs/>
          <w:color w:val="000000" w:themeColor="text1"/>
          <w:sz w:val="24"/>
          <w:szCs w:val="24"/>
        </w:rPr>
        <w:t>2.1 Search Strategy and Data Sources</w:t>
      </w:r>
    </w:p>
    <w:p w14:paraId="1D23E4D8" w14:textId="7E823850" w:rsidR="008B3345" w:rsidRDefault="00834110" w:rsidP="002F7821">
      <w:pPr>
        <w:pStyle w:val="NormalWeb"/>
        <w:jc w:val="both"/>
        <w:rPr>
          <w:color w:val="000000" w:themeColor="text1"/>
          <w:lang w:val="vi-VN"/>
        </w:rPr>
      </w:pPr>
      <w:r>
        <w:t>Snyder (2019) concur</w:t>
      </w:r>
      <w:r>
        <w:rPr>
          <w:lang w:val="vi-VN"/>
        </w:rPr>
        <w:t>s</w:t>
      </w:r>
      <w:r>
        <w:t xml:space="preserve"> that</w:t>
      </w:r>
      <w:r>
        <w:rPr>
          <w:lang w:val="vi-VN"/>
        </w:rPr>
        <w:t xml:space="preserve"> </w:t>
      </w:r>
      <w:r>
        <w:rPr>
          <w:color w:val="000000" w:themeColor="text1"/>
          <w:lang w:val="vi-VN"/>
        </w:rPr>
        <w:t>t</w:t>
      </w:r>
      <w:r w:rsidR="008B3345" w:rsidRPr="008B3345">
        <w:rPr>
          <w:color w:val="000000" w:themeColor="text1"/>
        </w:rPr>
        <w:t>he search prioritised high-impact, peer-reviewed journals spanning regulation/governance, business ethics and sustainability reporting, AI-and-law, and organisation–environment scholarship. Scopus, Web of Science, and HeinOnline were queried using Boolean strings</w:t>
      </w:r>
      <w:r w:rsidR="008B3345">
        <w:rPr>
          <w:color w:val="000000" w:themeColor="text1"/>
          <w:lang w:val="vi-VN"/>
        </w:rPr>
        <w:t xml:space="preserve"> (OR)</w:t>
      </w:r>
      <w:r w:rsidR="008B3345" w:rsidRPr="008B3345">
        <w:rPr>
          <w:color w:val="000000" w:themeColor="text1"/>
        </w:rPr>
        <w:t xml:space="preserve"> intersecting three domains</w:t>
      </w:r>
      <w:r w:rsidR="008B3345">
        <w:rPr>
          <w:color w:val="000000" w:themeColor="text1"/>
          <w:lang w:val="vi-VN"/>
        </w:rPr>
        <w:t>, including:</w:t>
      </w:r>
      <w:r w:rsidR="008B3345" w:rsidRPr="008B3345">
        <w:rPr>
          <w:color w:val="000000" w:themeColor="text1"/>
        </w:rPr>
        <w:t xml:space="preserve"> </w:t>
      </w:r>
    </w:p>
    <w:p w14:paraId="09D4C8DB" w14:textId="74167943" w:rsidR="008B3345" w:rsidRPr="00834110" w:rsidRDefault="008B3345" w:rsidP="002F7821">
      <w:pPr>
        <w:pStyle w:val="NormalWeb"/>
        <w:jc w:val="both"/>
        <w:rPr>
          <w:color w:val="000000" w:themeColor="text1"/>
          <w:lang w:val="vi-VN"/>
        </w:rPr>
      </w:pPr>
      <w:r w:rsidRPr="008B3345">
        <w:rPr>
          <w:b/>
          <w:bCs/>
          <w:color w:val="000000" w:themeColor="text1"/>
        </w:rPr>
        <w:t xml:space="preserve">ESG </w:t>
      </w:r>
      <w:r>
        <w:rPr>
          <w:b/>
          <w:bCs/>
          <w:color w:val="000000" w:themeColor="text1"/>
        </w:rPr>
        <w:t>Management</w:t>
      </w:r>
      <w:r>
        <w:rPr>
          <w:color w:val="000000" w:themeColor="text1"/>
          <w:lang w:val="vi-VN"/>
        </w:rPr>
        <w:t xml:space="preserve">: </w:t>
      </w:r>
      <w:r w:rsidRPr="008B3345">
        <w:rPr>
          <w:i/>
          <w:iCs/>
          <w:color w:val="000000" w:themeColor="text1"/>
          <w:lang w:val="vi-VN"/>
        </w:rPr>
        <w:t>“</w:t>
      </w:r>
      <w:r w:rsidRPr="008B3345">
        <w:rPr>
          <w:i/>
          <w:iCs/>
          <w:color w:val="000000" w:themeColor="text1"/>
        </w:rPr>
        <w:t>ESG regulation</w:t>
      </w:r>
      <w:r w:rsidRPr="008B3345">
        <w:rPr>
          <w:i/>
          <w:iCs/>
          <w:color w:val="000000" w:themeColor="text1"/>
          <w:lang w:val="vi-VN"/>
        </w:rPr>
        <w:t>”</w:t>
      </w:r>
      <w:r>
        <w:rPr>
          <w:color w:val="000000" w:themeColor="text1"/>
          <w:lang w:val="vi-VN"/>
        </w:rPr>
        <w:t xml:space="preserve"> OR</w:t>
      </w:r>
      <w:r w:rsidRPr="008B3345">
        <w:rPr>
          <w:color w:val="000000" w:themeColor="text1"/>
        </w:rPr>
        <w:t xml:space="preserve"> </w:t>
      </w:r>
      <w:r w:rsidRPr="008B3345">
        <w:rPr>
          <w:i/>
          <w:iCs/>
          <w:color w:val="000000" w:themeColor="text1"/>
          <w:lang w:val="vi-VN"/>
        </w:rPr>
        <w:t>“</w:t>
      </w:r>
      <w:r w:rsidRPr="008B3345">
        <w:rPr>
          <w:i/>
          <w:iCs/>
          <w:color w:val="000000" w:themeColor="text1"/>
        </w:rPr>
        <w:t>ISSB</w:t>
      </w:r>
      <w:r w:rsidR="00834110">
        <w:rPr>
          <w:rStyle w:val="FootnoteReference"/>
          <w:i/>
          <w:iCs/>
          <w:color w:val="000000" w:themeColor="text1"/>
        </w:rPr>
        <w:footnoteReference w:id="1"/>
      </w:r>
      <w:r w:rsidRPr="008B3345">
        <w:rPr>
          <w:i/>
          <w:iCs/>
          <w:color w:val="000000" w:themeColor="text1"/>
          <w:lang w:val="vi-VN"/>
        </w:rPr>
        <w:t>”</w:t>
      </w:r>
      <w:r w:rsidR="00834110">
        <w:rPr>
          <w:color w:val="000000" w:themeColor="text1"/>
          <w:lang w:val="vi-VN"/>
        </w:rPr>
        <w:t xml:space="preserve"> </w:t>
      </w:r>
      <w:r w:rsidR="00834110">
        <w:t>(IFRS Foundation, 2021)</w:t>
      </w:r>
      <w:r w:rsidR="00834110">
        <w:rPr>
          <w:lang w:val="vi-VN"/>
        </w:rPr>
        <w:t xml:space="preserve"> </w:t>
      </w:r>
      <w:r>
        <w:rPr>
          <w:color w:val="000000" w:themeColor="text1"/>
          <w:lang w:val="vi-VN"/>
        </w:rPr>
        <w:t>OR</w:t>
      </w:r>
      <w:r w:rsidRPr="008B3345">
        <w:rPr>
          <w:color w:val="000000" w:themeColor="text1"/>
        </w:rPr>
        <w:t xml:space="preserve"> </w:t>
      </w:r>
      <w:r w:rsidRPr="008B3345">
        <w:rPr>
          <w:i/>
          <w:iCs/>
          <w:color w:val="000000" w:themeColor="text1"/>
          <w:lang w:val="vi-VN"/>
        </w:rPr>
        <w:t>“</w:t>
      </w:r>
      <w:r w:rsidRPr="008B3345">
        <w:rPr>
          <w:i/>
          <w:iCs/>
          <w:color w:val="000000" w:themeColor="text1"/>
        </w:rPr>
        <w:t>TCFD</w:t>
      </w:r>
      <w:r w:rsidR="00834110">
        <w:rPr>
          <w:rStyle w:val="FootnoteReference"/>
          <w:i/>
          <w:iCs/>
          <w:color w:val="000000" w:themeColor="text1"/>
          <w:lang w:val="vi-VN"/>
        </w:rPr>
        <w:footnoteReference w:id="2"/>
      </w:r>
      <w:r w:rsidRPr="008B3345">
        <w:rPr>
          <w:i/>
          <w:iCs/>
          <w:color w:val="000000" w:themeColor="text1"/>
          <w:lang w:val="vi-VN"/>
        </w:rPr>
        <w:t>”</w:t>
      </w:r>
      <w:r w:rsidR="00834110">
        <w:rPr>
          <w:color w:val="000000" w:themeColor="text1"/>
          <w:lang w:val="vi-VN"/>
        </w:rPr>
        <w:t xml:space="preserve"> </w:t>
      </w:r>
      <w:r>
        <w:rPr>
          <w:color w:val="000000" w:themeColor="text1"/>
          <w:lang w:val="vi-VN"/>
        </w:rPr>
        <w:t>OR</w:t>
      </w:r>
      <w:r w:rsidRPr="008B3345">
        <w:rPr>
          <w:color w:val="000000" w:themeColor="text1"/>
        </w:rPr>
        <w:t xml:space="preserve"> </w:t>
      </w:r>
      <w:r w:rsidRPr="008B3345">
        <w:rPr>
          <w:i/>
          <w:iCs/>
          <w:color w:val="000000" w:themeColor="text1"/>
          <w:lang w:val="vi-VN"/>
        </w:rPr>
        <w:t>“</w:t>
      </w:r>
      <w:r w:rsidRPr="008B3345">
        <w:rPr>
          <w:i/>
          <w:iCs/>
          <w:color w:val="000000" w:themeColor="text1"/>
        </w:rPr>
        <w:t>sustainability reporting</w:t>
      </w:r>
      <w:r w:rsidRPr="008B3345">
        <w:rPr>
          <w:i/>
          <w:iCs/>
          <w:color w:val="000000" w:themeColor="text1"/>
          <w:lang w:val="vi-VN"/>
        </w:rPr>
        <w:t>”</w:t>
      </w:r>
      <w:r w:rsidR="00834110">
        <w:t xml:space="preserve"> </w:t>
      </w:r>
      <w:r w:rsidR="00834110">
        <w:rPr>
          <w:lang w:val="vi-VN"/>
        </w:rPr>
        <w:t>(Krivogorsky, 2024; Frankel, 2025</w:t>
      </w:r>
      <w:r w:rsidR="00834110">
        <w:t>)</w:t>
      </w:r>
      <w:r w:rsidR="00834110">
        <w:rPr>
          <w:lang w:val="vi-VN"/>
        </w:rPr>
        <w:t xml:space="preserve"> </w:t>
      </w:r>
      <w:r>
        <w:rPr>
          <w:color w:val="000000" w:themeColor="text1"/>
          <w:lang w:val="vi-VN"/>
        </w:rPr>
        <w:t>OR</w:t>
      </w:r>
      <w:r w:rsidRPr="008B3345">
        <w:rPr>
          <w:color w:val="000000" w:themeColor="text1"/>
        </w:rPr>
        <w:t xml:space="preserve"> </w:t>
      </w:r>
      <w:r w:rsidRPr="008B3345">
        <w:rPr>
          <w:i/>
          <w:iCs/>
          <w:color w:val="000000" w:themeColor="text1"/>
          <w:lang w:val="vi-VN"/>
        </w:rPr>
        <w:t>“</w:t>
      </w:r>
      <w:r w:rsidRPr="008B3345">
        <w:rPr>
          <w:i/>
          <w:iCs/>
          <w:color w:val="000000" w:themeColor="text1"/>
        </w:rPr>
        <w:t>Scope 4</w:t>
      </w:r>
      <w:r w:rsidR="00834110">
        <w:rPr>
          <w:rStyle w:val="FootnoteReference"/>
          <w:i/>
          <w:iCs/>
          <w:color w:val="000000" w:themeColor="text1"/>
          <w:lang w:val="vi-VN"/>
        </w:rPr>
        <w:footnoteReference w:id="3"/>
      </w:r>
      <w:r w:rsidR="00834110">
        <w:rPr>
          <w:i/>
          <w:iCs/>
          <w:color w:val="000000" w:themeColor="text1"/>
          <w:lang w:val="vi-VN"/>
        </w:rPr>
        <w:t xml:space="preserve">” </w:t>
      </w:r>
      <w:r w:rsidR="00834110" w:rsidRPr="00834110">
        <w:t>(Rekker et al., 2022)</w:t>
      </w:r>
      <w:r w:rsidR="00834110" w:rsidRPr="00834110">
        <w:rPr>
          <w:color w:val="000000" w:themeColor="text1"/>
          <w:lang w:val="vi-VN"/>
        </w:rPr>
        <w:t>.</w:t>
      </w:r>
      <w:r w:rsidR="00834110">
        <w:rPr>
          <w:lang w:val="vi-VN"/>
        </w:rPr>
        <w:t xml:space="preserve"> </w:t>
      </w:r>
    </w:p>
    <w:p w14:paraId="5F10FDAD" w14:textId="295EBE3C" w:rsidR="008B3345" w:rsidRPr="00834110" w:rsidRDefault="008B3345" w:rsidP="002F7821">
      <w:pPr>
        <w:pStyle w:val="NormalWeb"/>
        <w:jc w:val="both"/>
        <w:rPr>
          <w:color w:val="000000" w:themeColor="text1"/>
          <w:lang w:val="vi-VN"/>
        </w:rPr>
      </w:pPr>
      <w:r w:rsidRPr="008B3345">
        <w:rPr>
          <w:b/>
          <w:bCs/>
          <w:color w:val="000000" w:themeColor="text1"/>
          <w:lang w:val="vi-VN"/>
        </w:rPr>
        <w:lastRenderedPageBreak/>
        <w:t>I</w:t>
      </w:r>
      <w:r w:rsidRPr="008B3345">
        <w:rPr>
          <w:b/>
          <w:bCs/>
          <w:color w:val="000000" w:themeColor="text1"/>
        </w:rPr>
        <w:t xml:space="preserve">nstitutional </w:t>
      </w:r>
      <w:r>
        <w:rPr>
          <w:b/>
          <w:bCs/>
          <w:color w:val="000000" w:themeColor="text1"/>
        </w:rPr>
        <w:t>Setting</w:t>
      </w:r>
      <w:r>
        <w:rPr>
          <w:color w:val="000000" w:themeColor="text1"/>
          <w:lang w:val="vi-VN"/>
        </w:rPr>
        <w:t xml:space="preserve">: </w:t>
      </w:r>
      <w:r w:rsidRPr="008B3345">
        <w:rPr>
          <w:i/>
          <w:iCs/>
          <w:color w:val="000000" w:themeColor="text1"/>
          <w:lang w:val="vi-VN"/>
        </w:rPr>
        <w:t>“</w:t>
      </w:r>
      <w:r w:rsidRPr="008B3345">
        <w:rPr>
          <w:i/>
          <w:iCs/>
          <w:color w:val="000000" w:themeColor="text1"/>
        </w:rPr>
        <w:t>emerging markets</w:t>
      </w:r>
      <w:r w:rsidRPr="008B3345">
        <w:rPr>
          <w:i/>
          <w:iCs/>
          <w:color w:val="000000" w:themeColor="text1"/>
          <w:lang w:val="vi-VN"/>
        </w:rPr>
        <w:t>”</w:t>
      </w:r>
      <w:r>
        <w:rPr>
          <w:color w:val="000000" w:themeColor="text1"/>
          <w:lang w:val="vi-VN"/>
        </w:rPr>
        <w:t xml:space="preserve"> OR</w:t>
      </w:r>
      <w:r w:rsidRPr="008B3345">
        <w:rPr>
          <w:color w:val="000000" w:themeColor="text1"/>
        </w:rPr>
        <w:t xml:space="preserve"> </w:t>
      </w:r>
      <w:r w:rsidRPr="008B3345">
        <w:rPr>
          <w:i/>
          <w:iCs/>
          <w:color w:val="000000" w:themeColor="text1"/>
          <w:lang w:val="vi-VN"/>
        </w:rPr>
        <w:t>“</w:t>
      </w:r>
      <w:r w:rsidRPr="008B3345">
        <w:rPr>
          <w:i/>
          <w:iCs/>
          <w:color w:val="000000" w:themeColor="text1"/>
        </w:rPr>
        <w:t>Vietnam</w:t>
      </w:r>
      <w:r w:rsidRPr="008B3345">
        <w:rPr>
          <w:i/>
          <w:iCs/>
          <w:color w:val="000000" w:themeColor="text1"/>
          <w:lang w:val="vi-VN"/>
        </w:rPr>
        <w:t>”</w:t>
      </w:r>
      <w:r>
        <w:rPr>
          <w:color w:val="000000" w:themeColor="text1"/>
          <w:lang w:val="vi-VN"/>
        </w:rPr>
        <w:t xml:space="preserve"> OR </w:t>
      </w:r>
      <w:r w:rsidRPr="008B3345">
        <w:rPr>
          <w:i/>
          <w:iCs/>
          <w:color w:val="000000" w:themeColor="text1"/>
          <w:lang w:val="vi-VN"/>
        </w:rPr>
        <w:t>“</w:t>
      </w:r>
      <w:r w:rsidRPr="008B3345">
        <w:rPr>
          <w:i/>
          <w:iCs/>
          <w:color w:val="000000" w:themeColor="text1"/>
        </w:rPr>
        <w:t>institutional isomorphism</w:t>
      </w:r>
      <w:r w:rsidR="00834110">
        <w:rPr>
          <w:rStyle w:val="FootnoteReference"/>
          <w:i/>
          <w:iCs/>
          <w:color w:val="000000" w:themeColor="text1"/>
        </w:rPr>
        <w:footnoteReference w:id="4"/>
      </w:r>
      <w:r w:rsidRPr="008B3345">
        <w:rPr>
          <w:i/>
          <w:iCs/>
          <w:color w:val="000000" w:themeColor="text1"/>
          <w:lang w:val="vi-VN"/>
        </w:rPr>
        <w:t>”</w:t>
      </w:r>
      <w:r w:rsidR="00834110">
        <w:rPr>
          <w:color w:val="000000" w:themeColor="text1"/>
          <w:lang w:val="vi-VN"/>
        </w:rPr>
        <w:t xml:space="preserve"> </w:t>
      </w:r>
      <w:r>
        <w:rPr>
          <w:color w:val="000000" w:themeColor="text1"/>
          <w:lang w:val="vi-VN"/>
        </w:rPr>
        <w:t>OR</w:t>
      </w:r>
      <w:r w:rsidRPr="008B3345">
        <w:rPr>
          <w:color w:val="000000" w:themeColor="text1"/>
        </w:rPr>
        <w:t xml:space="preserve"> </w:t>
      </w:r>
      <w:r w:rsidRPr="008B3345">
        <w:rPr>
          <w:i/>
          <w:iCs/>
          <w:color w:val="000000" w:themeColor="text1"/>
          <w:lang w:val="vi-VN"/>
        </w:rPr>
        <w:t>“</w:t>
      </w:r>
      <w:r w:rsidRPr="008B3345">
        <w:rPr>
          <w:i/>
          <w:iCs/>
          <w:color w:val="000000" w:themeColor="text1"/>
        </w:rPr>
        <w:t>legal transplants</w:t>
      </w:r>
      <w:r w:rsidR="00834110">
        <w:rPr>
          <w:lang w:val="vi-VN"/>
        </w:rPr>
        <w:t xml:space="preserve"> </w:t>
      </w:r>
      <w:r>
        <w:rPr>
          <w:color w:val="000000" w:themeColor="text1"/>
          <w:lang w:val="vi-VN"/>
        </w:rPr>
        <w:t>OR</w:t>
      </w:r>
      <w:r w:rsidRPr="008B3345">
        <w:rPr>
          <w:color w:val="000000" w:themeColor="text1"/>
        </w:rPr>
        <w:t xml:space="preserve"> </w:t>
      </w:r>
      <w:r w:rsidRPr="008B3345">
        <w:rPr>
          <w:i/>
          <w:iCs/>
          <w:color w:val="000000" w:themeColor="text1"/>
          <w:lang w:val="vi-VN"/>
        </w:rPr>
        <w:t>“</w:t>
      </w:r>
      <w:r w:rsidRPr="008B3345">
        <w:rPr>
          <w:i/>
          <w:iCs/>
          <w:color w:val="000000" w:themeColor="text1"/>
        </w:rPr>
        <w:t>policy capacity</w:t>
      </w:r>
      <w:r w:rsidRPr="008B3345">
        <w:rPr>
          <w:i/>
          <w:iCs/>
          <w:color w:val="000000" w:themeColor="text1"/>
          <w:lang w:val="vi-VN"/>
        </w:rPr>
        <w:t>”</w:t>
      </w:r>
      <w:r w:rsidR="00834110">
        <w:rPr>
          <w:lang w:val="vi-VN"/>
        </w:rPr>
        <w:t xml:space="preserve"> </w:t>
      </w:r>
      <w:r w:rsidR="00834110">
        <w:t>(Howlett, 2019</w:t>
      </w:r>
      <w:r w:rsidR="00834110">
        <w:rPr>
          <w:lang w:val="vi-VN"/>
        </w:rPr>
        <w:t>).</w:t>
      </w:r>
    </w:p>
    <w:p w14:paraId="3A20841C" w14:textId="32B4BB2C" w:rsidR="008B3345" w:rsidRPr="00834110" w:rsidRDefault="008B3345" w:rsidP="002F7821">
      <w:pPr>
        <w:pStyle w:val="NormalWeb"/>
        <w:jc w:val="both"/>
        <w:rPr>
          <w:i/>
          <w:iCs/>
          <w:color w:val="000000" w:themeColor="text1"/>
          <w:lang w:val="vi-VN"/>
        </w:rPr>
      </w:pPr>
      <w:r w:rsidRPr="008B3345">
        <w:rPr>
          <w:b/>
          <w:bCs/>
          <w:color w:val="000000" w:themeColor="text1"/>
          <w:lang w:val="vi-VN"/>
        </w:rPr>
        <w:t>T</w:t>
      </w:r>
      <w:r w:rsidRPr="008B3345">
        <w:rPr>
          <w:b/>
          <w:bCs/>
          <w:color w:val="000000" w:themeColor="text1"/>
        </w:rPr>
        <w:t xml:space="preserve">echnological </w:t>
      </w:r>
      <w:r>
        <w:rPr>
          <w:b/>
          <w:bCs/>
          <w:color w:val="000000" w:themeColor="text1"/>
        </w:rPr>
        <w:t>Approaches</w:t>
      </w:r>
      <w:r w:rsidRPr="008B3345">
        <w:rPr>
          <w:b/>
          <w:bCs/>
          <w:color w:val="000000" w:themeColor="text1"/>
          <w:lang w:val="vi-VN"/>
        </w:rPr>
        <w:t>:</w:t>
      </w:r>
      <w:r>
        <w:rPr>
          <w:color w:val="000000" w:themeColor="text1"/>
          <w:lang w:val="vi-VN"/>
        </w:rPr>
        <w:t xml:space="preserve"> </w:t>
      </w:r>
      <w:r w:rsidRPr="008B3345">
        <w:rPr>
          <w:i/>
          <w:iCs/>
          <w:color w:val="000000" w:themeColor="text1"/>
          <w:lang w:val="vi-VN"/>
        </w:rPr>
        <w:t>“</w:t>
      </w:r>
      <w:r w:rsidRPr="008B3345">
        <w:rPr>
          <w:i/>
          <w:iCs/>
          <w:color w:val="000000" w:themeColor="text1"/>
        </w:rPr>
        <w:t>NLP</w:t>
      </w:r>
      <w:r w:rsidR="00834110">
        <w:rPr>
          <w:rStyle w:val="FootnoteReference"/>
          <w:i/>
          <w:iCs/>
          <w:color w:val="000000" w:themeColor="text1"/>
        </w:rPr>
        <w:footnoteReference w:id="5"/>
      </w:r>
      <w:r w:rsidRPr="008B3345">
        <w:rPr>
          <w:i/>
          <w:iCs/>
          <w:color w:val="000000" w:themeColor="text1"/>
          <w:lang w:val="vi-VN"/>
        </w:rPr>
        <w:t>”</w:t>
      </w:r>
      <w:r w:rsidR="00834110">
        <w:rPr>
          <w:lang w:val="vi-VN"/>
        </w:rPr>
        <w:t xml:space="preserve"> </w:t>
      </w:r>
      <w:r w:rsidR="00834110">
        <w:rPr>
          <w:color w:val="000000" w:themeColor="text1"/>
        </w:rPr>
        <w:t>OR</w:t>
      </w:r>
      <w:r w:rsidR="00834110">
        <w:rPr>
          <w:color w:val="000000" w:themeColor="text1"/>
          <w:lang w:val="vi-VN"/>
        </w:rPr>
        <w:t xml:space="preserve"> </w:t>
      </w:r>
      <w:r w:rsidR="00834110" w:rsidRPr="008B3345">
        <w:rPr>
          <w:i/>
          <w:iCs/>
          <w:color w:val="000000" w:themeColor="text1"/>
          <w:lang w:val="vi-VN"/>
        </w:rPr>
        <w:t>“</w:t>
      </w:r>
      <w:r w:rsidR="00834110" w:rsidRPr="008B3345">
        <w:rPr>
          <w:i/>
          <w:iCs/>
          <w:color w:val="000000" w:themeColor="text1"/>
        </w:rPr>
        <w:t>text analysis</w:t>
      </w:r>
      <w:r w:rsidR="00834110">
        <w:rPr>
          <w:i/>
          <w:iCs/>
          <w:color w:val="000000" w:themeColor="text1"/>
          <w:lang w:val="vi-VN"/>
        </w:rPr>
        <w:t xml:space="preserve">” </w:t>
      </w:r>
      <w:r>
        <w:rPr>
          <w:color w:val="000000" w:themeColor="text1"/>
          <w:lang w:val="vi-VN"/>
        </w:rPr>
        <w:t>OR</w:t>
      </w:r>
      <w:r w:rsidRPr="008B3345">
        <w:rPr>
          <w:color w:val="000000" w:themeColor="text1"/>
        </w:rPr>
        <w:t xml:space="preserve"> </w:t>
      </w:r>
      <w:r w:rsidRPr="008B3345">
        <w:rPr>
          <w:i/>
          <w:iCs/>
          <w:color w:val="000000" w:themeColor="text1"/>
          <w:lang w:val="vi-VN"/>
        </w:rPr>
        <w:t>“</w:t>
      </w:r>
      <w:r w:rsidRPr="008B3345">
        <w:rPr>
          <w:i/>
          <w:iCs/>
          <w:color w:val="000000" w:themeColor="text1"/>
        </w:rPr>
        <w:t>computational legal studies</w:t>
      </w:r>
      <w:r w:rsidRPr="008B3345">
        <w:rPr>
          <w:i/>
          <w:iCs/>
          <w:color w:val="000000" w:themeColor="text1"/>
          <w:lang w:val="vi-VN"/>
        </w:rPr>
        <w:t>”</w:t>
      </w:r>
      <w:r>
        <w:rPr>
          <w:color w:val="000000" w:themeColor="text1"/>
          <w:lang w:val="vi-VN"/>
        </w:rPr>
        <w:t xml:space="preserve"> OR </w:t>
      </w:r>
      <w:r w:rsidRPr="008B3345">
        <w:rPr>
          <w:i/>
          <w:iCs/>
          <w:color w:val="000000" w:themeColor="text1"/>
          <w:lang w:val="vi-VN"/>
        </w:rPr>
        <w:t>“</w:t>
      </w:r>
      <w:proofErr w:type="spellStart"/>
      <w:r w:rsidRPr="008B3345">
        <w:rPr>
          <w:i/>
          <w:iCs/>
          <w:color w:val="000000" w:themeColor="text1"/>
        </w:rPr>
        <w:t>RegTech</w:t>
      </w:r>
      <w:proofErr w:type="spellEnd"/>
      <w:r w:rsidR="00834110">
        <w:rPr>
          <w:rStyle w:val="FootnoteReference"/>
          <w:i/>
          <w:iCs/>
          <w:color w:val="000000" w:themeColor="text1"/>
        </w:rPr>
        <w:footnoteReference w:id="6"/>
      </w:r>
      <w:r w:rsidRPr="008B3345">
        <w:rPr>
          <w:i/>
          <w:iCs/>
          <w:color w:val="000000" w:themeColor="text1"/>
          <w:lang w:val="vi-VN"/>
        </w:rPr>
        <w:t>”</w:t>
      </w:r>
      <w:r>
        <w:rPr>
          <w:color w:val="000000" w:themeColor="text1"/>
          <w:lang w:val="vi-VN"/>
        </w:rPr>
        <w:t xml:space="preserve"> OR</w:t>
      </w:r>
      <w:r w:rsidRPr="008B3345">
        <w:rPr>
          <w:i/>
          <w:iCs/>
          <w:color w:val="000000" w:themeColor="text1"/>
        </w:rPr>
        <w:t xml:space="preserve"> </w:t>
      </w:r>
      <w:r w:rsidRPr="008B3345">
        <w:rPr>
          <w:i/>
          <w:iCs/>
          <w:color w:val="000000" w:themeColor="text1"/>
          <w:lang w:val="vi-VN"/>
        </w:rPr>
        <w:t>“</w:t>
      </w:r>
      <w:r w:rsidRPr="008B3345">
        <w:rPr>
          <w:i/>
          <w:iCs/>
          <w:color w:val="000000" w:themeColor="text1"/>
        </w:rPr>
        <w:t>AI governance</w:t>
      </w:r>
      <w:r w:rsidR="00834110">
        <w:rPr>
          <w:i/>
          <w:iCs/>
          <w:color w:val="000000" w:themeColor="text1"/>
          <w:lang w:val="vi-VN"/>
        </w:rPr>
        <w:t xml:space="preserve">” </w:t>
      </w:r>
      <w:r w:rsidR="00834110">
        <w:t>(Devlin et al., 2019; Bender &amp; Koller, 2020; Bommasani et al., 2021)</w:t>
      </w:r>
      <w:r w:rsidR="00834110">
        <w:rPr>
          <w:lang w:val="vi-VN"/>
        </w:rPr>
        <w:t>.</w:t>
      </w:r>
    </w:p>
    <w:p w14:paraId="0DA3F38E" w14:textId="701B8352" w:rsidR="008B3345" w:rsidRDefault="002F7821" w:rsidP="002F7821">
      <w:pPr>
        <w:pStyle w:val="NormalWeb"/>
        <w:jc w:val="both"/>
        <w:rPr>
          <w:color w:val="000000" w:themeColor="text1"/>
          <w:lang w:val="vi-VN"/>
        </w:rPr>
      </w:pPr>
      <w:r>
        <w:rPr>
          <w:noProof/>
          <w:color w:val="000000" w:themeColor="text1"/>
          <w:lang w:val="vi-VN"/>
          <w14:ligatures w14:val="standardContextual"/>
        </w:rPr>
        <w:drawing>
          <wp:inline distT="0" distB="0" distL="0" distR="0" wp14:anchorId="7E2EFD03" wp14:editId="77CFD7CB">
            <wp:extent cx="4629785" cy="2730500"/>
            <wp:effectExtent l="0" t="12700" r="0" b="12700"/>
            <wp:docPr id="184231529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DD2CE0D" w14:textId="0833155F" w:rsidR="008B3345" w:rsidRPr="00834110" w:rsidRDefault="008B3345" w:rsidP="00834110">
      <w:pPr>
        <w:pStyle w:val="NormalWeb"/>
        <w:jc w:val="both"/>
        <w:rPr>
          <w:lang w:val="vi-VN"/>
        </w:rPr>
      </w:pPr>
      <w:r>
        <w:rPr>
          <w:color w:val="000000" w:themeColor="text1"/>
        </w:rPr>
        <w:t>The</w:t>
      </w:r>
      <w:r>
        <w:rPr>
          <w:color w:val="000000" w:themeColor="text1"/>
          <w:lang w:val="vi-VN"/>
        </w:rPr>
        <w:t xml:space="preserve"> cross-domain intersection strategy</w:t>
      </w:r>
      <w:r w:rsidRPr="008B3345">
        <w:rPr>
          <w:color w:val="000000" w:themeColor="text1"/>
        </w:rPr>
        <w:t xml:space="preserve"> is</w:t>
      </w:r>
      <w:r>
        <w:rPr>
          <w:color w:val="000000" w:themeColor="text1"/>
          <w:lang w:val="vi-VN"/>
        </w:rPr>
        <w:t xml:space="preserve"> grounded in a </w:t>
      </w:r>
      <w:r w:rsidRPr="008B3345">
        <w:rPr>
          <w:color w:val="000000" w:themeColor="text1"/>
        </w:rPr>
        <w:t>deliberate</w:t>
      </w:r>
      <w:r>
        <w:rPr>
          <w:color w:val="000000" w:themeColor="text1"/>
          <w:lang w:val="vi-VN"/>
        </w:rPr>
        <w:t xml:space="preserve"> and informed by safeguarding agaisnt the popular mistake of inferring “functional alignment” arising from “textual alignment” itself, especially when </w:t>
      </w:r>
      <w:r w:rsidRPr="008B3345">
        <w:rPr>
          <w:b/>
          <w:bCs/>
          <w:color w:val="000000" w:themeColor="text1"/>
          <w:lang w:val="vi-VN"/>
        </w:rPr>
        <w:t>decoupling, in other words, the rhetoric-reality gap is considered as a recrurring institutional pattern in emerging-market settings</w:t>
      </w:r>
      <w:r w:rsidR="00834110">
        <w:rPr>
          <w:b/>
          <w:bCs/>
          <w:color w:val="000000" w:themeColor="text1"/>
          <w:lang w:val="vi-VN"/>
        </w:rPr>
        <w:t xml:space="preserve"> (</w:t>
      </w:r>
      <w:r w:rsidR="00834110">
        <w:t>Frankenreiter &amp; Livermore</w:t>
      </w:r>
      <w:r w:rsidR="00834110">
        <w:rPr>
          <w:lang w:val="vi-VN"/>
        </w:rPr>
        <w:t xml:space="preserve">, </w:t>
      </w:r>
      <w:r w:rsidR="00834110">
        <w:t>2020)</w:t>
      </w:r>
    </w:p>
    <w:p w14:paraId="1930B3D4" w14:textId="246A509C" w:rsidR="008B3345" w:rsidRPr="00834110" w:rsidRDefault="008B3345" w:rsidP="002F7821">
      <w:pPr>
        <w:pStyle w:val="NormalWeb"/>
        <w:jc w:val="both"/>
        <w:rPr>
          <w:color w:val="000000" w:themeColor="text1"/>
          <w:lang w:val="vi-VN"/>
        </w:rPr>
      </w:pPr>
      <w:r w:rsidRPr="008B3345">
        <w:rPr>
          <w:color w:val="000000" w:themeColor="text1"/>
        </w:rPr>
        <w:t>The corpus was bounded to 2019–2025 to capture the post-TCFD regulatory wave, the emergence of the ISSB, and the shift from conventional NLP to foundation-model discourse (Devlin et al., 2019;</w:t>
      </w:r>
      <w:r w:rsidR="00834110">
        <w:rPr>
          <w:color w:val="000000" w:themeColor="text1"/>
          <w:lang w:val="vi-VN"/>
        </w:rPr>
        <w:t xml:space="preserve"> </w:t>
      </w:r>
      <w:r w:rsidR="00834110">
        <w:t>Bommasani et al.</w:t>
      </w:r>
      <w:r w:rsidR="00834110">
        <w:rPr>
          <w:lang w:val="vi-VN"/>
        </w:rPr>
        <w:t xml:space="preserve">, </w:t>
      </w:r>
      <w:r w:rsidR="00834110">
        <w:t>2021</w:t>
      </w:r>
      <w:r w:rsidRPr="008B3345">
        <w:rPr>
          <w:color w:val="000000" w:themeColor="text1"/>
        </w:rPr>
        <w:t>). The weakness of this boundary is that it can underweight foundational institutional mechanisms; for that reason, seminal institutional and governance scholarship is used selectively where it directly clarifies causal logics relevant to RQ1 and RQ3</w:t>
      </w:r>
      <w:r w:rsidR="00834110">
        <w:rPr>
          <w:color w:val="000000" w:themeColor="text1"/>
          <w:lang w:val="vi-VN"/>
        </w:rPr>
        <w:t xml:space="preserve"> </w:t>
      </w:r>
      <w:r w:rsidR="00834110">
        <w:t xml:space="preserve">(Aguilera, Marano </w:t>
      </w:r>
      <w:r w:rsidR="00834110">
        <w:rPr>
          <w:lang w:val="vi-VN"/>
        </w:rPr>
        <w:t xml:space="preserve">&amp; </w:t>
      </w:r>
      <w:r w:rsidR="00834110">
        <w:t xml:space="preserve">Haxhi, 2019; Jackson </w:t>
      </w:r>
      <w:r w:rsidR="00834110">
        <w:rPr>
          <w:lang w:val="vi-VN"/>
        </w:rPr>
        <w:t>&amp;</w:t>
      </w:r>
      <w:r w:rsidR="00834110">
        <w:t xml:space="preserve"> Deeg, 2019</w:t>
      </w:r>
      <w:r w:rsidR="00834110">
        <w:rPr>
          <w:lang w:val="vi-VN"/>
        </w:rPr>
        <w:t>)</w:t>
      </w:r>
      <w:r w:rsidRPr="008B3345">
        <w:rPr>
          <w:color w:val="000000" w:themeColor="text1"/>
        </w:rPr>
        <w:t xml:space="preserve">. Grey literature (e.g., </w:t>
      </w:r>
      <w:r w:rsidR="00834110">
        <w:t>World Bank, 2022; ADB, 2021; Department for International Trade, 2021</w:t>
      </w:r>
      <w:r w:rsidRPr="008B3345">
        <w:rPr>
          <w:color w:val="000000" w:themeColor="text1"/>
        </w:rPr>
        <w:t xml:space="preserve">) is included to illuminate enforcement conditions and supervisory </w:t>
      </w:r>
      <w:r w:rsidRPr="008B3345">
        <w:rPr>
          <w:color w:val="000000" w:themeColor="text1"/>
        </w:rPr>
        <w:t>capacity but</w:t>
      </w:r>
      <w:r w:rsidRPr="008B3345">
        <w:rPr>
          <w:color w:val="000000" w:themeColor="text1"/>
        </w:rPr>
        <w:t xml:space="preserve"> is treated as contextual and triangulating rather than theory-setting due to uneven review standards</w:t>
      </w:r>
      <w:r w:rsidR="00834110">
        <w:rPr>
          <w:color w:val="000000" w:themeColor="text1"/>
          <w:lang w:val="vi-VN"/>
        </w:rPr>
        <w:t xml:space="preserve"> </w:t>
      </w:r>
      <w:r w:rsidR="00834110">
        <w:t>(Snyder, 2019; Garza et al.</w:t>
      </w:r>
      <w:r w:rsidR="00834110">
        <w:rPr>
          <w:lang w:val="vi-VN"/>
        </w:rPr>
        <w:t xml:space="preserve">, </w:t>
      </w:r>
      <w:r w:rsidR="00834110">
        <w:t>2020</w:t>
      </w:r>
      <w:r w:rsidR="00834110">
        <w:rPr>
          <w:lang w:val="vi-VN"/>
        </w:rPr>
        <w:t xml:space="preserve">; </w:t>
      </w:r>
      <w:r w:rsidR="00834110">
        <w:t>Petticrew</w:t>
      </w:r>
      <w:r w:rsidR="00834110">
        <w:rPr>
          <w:lang w:val="vi-VN"/>
        </w:rPr>
        <w:t xml:space="preserve"> </w:t>
      </w:r>
      <w:r w:rsidR="00834110">
        <w:t>&amp; Roberts</w:t>
      </w:r>
      <w:r w:rsidR="00834110">
        <w:rPr>
          <w:lang w:val="vi-VN"/>
        </w:rPr>
        <w:t>,</w:t>
      </w:r>
      <w:r w:rsidR="00834110">
        <w:t xml:space="preserve"> 2020)</w:t>
      </w:r>
      <w:r w:rsidR="00834110">
        <w:rPr>
          <w:color w:val="000000" w:themeColor="text1"/>
          <w:lang w:val="vi-VN"/>
        </w:rPr>
        <w:t>.</w:t>
      </w:r>
    </w:p>
    <w:p w14:paraId="05D31443" w14:textId="3D3F885D" w:rsidR="008B3345" w:rsidRPr="008B3345" w:rsidRDefault="008B3345" w:rsidP="002F7821">
      <w:pPr>
        <w:pStyle w:val="NormalWeb"/>
        <w:jc w:val="both"/>
        <w:rPr>
          <w:b/>
          <w:bCs/>
          <w:color w:val="000000" w:themeColor="text1"/>
          <w:lang w:val="vi-VN"/>
        </w:rPr>
      </w:pPr>
      <w:r w:rsidRPr="008B3345">
        <w:rPr>
          <w:color w:val="000000" w:themeColor="text1"/>
          <w:lang w:val="vi-VN"/>
        </w:rPr>
        <w:t>T</w:t>
      </w:r>
      <w:r w:rsidRPr="008B3345">
        <w:rPr>
          <w:color w:val="000000" w:themeColor="text1"/>
        </w:rPr>
        <w:t xml:space="preserve">he search strategy builds a defensible evidence base to compare regulatory texts while retaining the institutional signals needed </w:t>
      </w:r>
      <w:r w:rsidRPr="008B3345">
        <w:rPr>
          <w:b/>
          <w:bCs/>
          <w:color w:val="000000" w:themeColor="text1"/>
        </w:rPr>
        <w:t>to interpret why proximity in language may not translate into alignment in practice</w:t>
      </w:r>
      <w:r w:rsidR="00834110">
        <w:rPr>
          <w:b/>
          <w:bCs/>
          <w:color w:val="000000" w:themeColor="text1"/>
          <w:lang w:val="vi-VN"/>
        </w:rPr>
        <w:t xml:space="preserve"> (</w:t>
      </w:r>
      <w:r w:rsidR="00834110">
        <w:t>Grimmer et al.</w:t>
      </w:r>
      <w:r w:rsidR="00834110">
        <w:rPr>
          <w:lang w:val="vi-VN"/>
        </w:rPr>
        <w:t xml:space="preserve">, </w:t>
      </w:r>
      <w:r w:rsidR="00834110">
        <w:t>2022)</w:t>
      </w:r>
      <w:r w:rsidRPr="008B3345">
        <w:rPr>
          <w:b/>
          <w:bCs/>
          <w:color w:val="000000" w:themeColor="text1"/>
        </w:rPr>
        <w:t>.</w:t>
      </w:r>
    </w:p>
    <w:p w14:paraId="0DBCF9A7" w14:textId="77777777" w:rsidR="008B3345" w:rsidRPr="008B3345" w:rsidRDefault="008B3345" w:rsidP="002F7821">
      <w:pPr>
        <w:pStyle w:val="Heading2"/>
        <w:jc w:val="both"/>
        <w:rPr>
          <w:rFonts w:ascii="Times New Roman" w:hAnsi="Times New Roman" w:cs="Times New Roman"/>
          <w:b/>
          <w:bCs/>
          <w:color w:val="000000" w:themeColor="text1"/>
          <w:sz w:val="24"/>
          <w:szCs w:val="24"/>
        </w:rPr>
      </w:pPr>
      <w:r w:rsidRPr="008B3345">
        <w:rPr>
          <w:rFonts w:ascii="Times New Roman" w:hAnsi="Times New Roman" w:cs="Times New Roman"/>
          <w:b/>
          <w:bCs/>
          <w:color w:val="000000" w:themeColor="text1"/>
          <w:sz w:val="24"/>
          <w:szCs w:val="24"/>
        </w:rPr>
        <w:lastRenderedPageBreak/>
        <w:t>2.2 Analytical Procedure: Inductive Synthesis and Ontology-Sensitive Coding</w:t>
      </w:r>
    </w:p>
    <w:p w14:paraId="25C22EB2" w14:textId="1178FC04" w:rsidR="008B3345" w:rsidRPr="008B3345" w:rsidRDefault="008B3345" w:rsidP="002F7821">
      <w:pPr>
        <w:pStyle w:val="NormalWeb"/>
        <w:jc w:val="both"/>
        <w:rPr>
          <w:color w:val="000000" w:themeColor="text1"/>
          <w:lang w:val="vi-VN"/>
        </w:rPr>
      </w:pPr>
      <w:r w:rsidRPr="008B3345">
        <w:rPr>
          <w:color w:val="000000" w:themeColor="text1"/>
        </w:rPr>
        <w:t xml:space="preserve">Following </w:t>
      </w:r>
      <w:r w:rsidR="00834110">
        <w:rPr>
          <w:color w:val="000000" w:themeColor="text1"/>
        </w:rPr>
        <w:t>the</w:t>
      </w:r>
      <w:r w:rsidRPr="008B3345">
        <w:rPr>
          <w:color w:val="000000" w:themeColor="text1"/>
        </w:rPr>
        <w:t xml:space="preserve"> distinction between theoretical and conceptual frameworks, the review adopts an inductive synthesis to assemble explanatory components rather than forcing premature fit to a single theory (</w:t>
      </w:r>
      <w:r w:rsidR="00834110">
        <w:t>Paul &amp; Criado, 2020; Varpio et al., 2020</w:t>
      </w:r>
      <w:r w:rsidRPr="008B3345">
        <w:rPr>
          <w:color w:val="000000" w:themeColor="text1"/>
        </w:rPr>
        <w:t>).</w:t>
      </w:r>
      <w:r>
        <w:rPr>
          <w:color w:val="000000" w:themeColor="text1"/>
          <w:lang w:val="vi-VN"/>
        </w:rPr>
        <w:t xml:space="preserve"> The multi-mechanistic nature of alignment are defined by legal form, organisational capacity and political incentive structure, therefore, this approach is necessary as thoes above-mentioned elements may each end up driving covergence or divergence</w:t>
      </w:r>
      <w:r w:rsidR="00834110">
        <w:rPr>
          <w:color w:val="000000" w:themeColor="text1"/>
          <w:lang w:val="vi-VN"/>
        </w:rPr>
        <w:t xml:space="preserve"> (</w:t>
      </w:r>
      <w:r w:rsidR="00834110">
        <w:t>Howlett</w:t>
      </w:r>
      <w:r w:rsidR="00834110">
        <w:rPr>
          <w:lang w:val="vi-VN"/>
        </w:rPr>
        <w:t xml:space="preserve">, </w:t>
      </w:r>
      <w:r w:rsidR="00834110">
        <w:t>2019)</w:t>
      </w:r>
      <w:r>
        <w:rPr>
          <w:color w:val="000000" w:themeColor="text1"/>
          <w:lang w:val="vi-VN"/>
        </w:rPr>
        <w:t xml:space="preserve">. Of course, it is always important to adapt to </w:t>
      </w:r>
      <w:r w:rsidRPr="008B3345">
        <w:rPr>
          <w:b/>
          <w:bCs/>
          <w:color w:val="000000" w:themeColor="text1"/>
          <w:lang w:val="vi-VN"/>
        </w:rPr>
        <w:t>coding for underlying ontological commitments</w:t>
      </w:r>
      <w:r>
        <w:rPr>
          <w:b/>
          <w:bCs/>
          <w:color w:val="000000" w:themeColor="text1"/>
          <w:lang w:val="vi-VN"/>
        </w:rPr>
        <w:t xml:space="preserve"> </w:t>
      </w:r>
      <w:r w:rsidRPr="008B3345">
        <w:rPr>
          <w:color w:val="000000" w:themeColor="text1"/>
          <w:lang w:val="vi-VN"/>
        </w:rPr>
        <w:t>rationally</w:t>
      </w:r>
      <w:r>
        <w:rPr>
          <w:color w:val="000000" w:themeColor="text1"/>
          <w:lang w:val="vi-VN"/>
        </w:rPr>
        <w:t>, aiming to seperate researches</w:t>
      </w:r>
      <w:r w:rsidRPr="008B3345">
        <w:rPr>
          <w:color w:val="000000" w:themeColor="text1"/>
        </w:rPr>
        <w:t xml:space="preserve"> that implicitly assume policy text approximates practice (common in some quantitative and text-as-data traditions) from work that treats decoupling as normal and mechanism-driven (common in institutional and realist analysis)</w:t>
      </w:r>
      <w:r w:rsidR="00834110">
        <w:rPr>
          <w:color w:val="000000" w:themeColor="text1"/>
          <w:lang w:val="vi-VN"/>
        </w:rPr>
        <w:t xml:space="preserve"> (</w:t>
      </w:r>
      <w:r w:rsidR="00834110">
        <w:t>Grimmer et al.</w:t>
      </w:r>
      <w:r w:rsidR="00834110">
        <w:rPr>
          <w:lang w:val="vi-VN"/>
        </w:rPr>
        <w:t xml:space="preserve">, </w:t>
      </w:r>
      <w:r w:rsidR="00834110">
        <w:t>2022)</w:t>
      </w:r>
      <w:r w:rsidRPr="008B3345">
        <w:rPr>
          <w:color w:val="000000" w:themeColor="text1"/>
        </w:rPr>
        <w:t>. This compare–contrast coding</w:t>
      </w:r>
      <w:r>
        <w:rPr>
          <w:color w:val="000000" w:themeColor="text1"/>
          <w:lang w:val="vi-VN"/>
        </w:rPr>
        <w:t xml:space="preserve"> plays a vital tole as</w:t>
      </w:r>
      <w:r w:rsidRPr="008B3345">
        <w:rPr>
          <w:color w:val="000000" w:themeColor="text1"/>
        </w:rPr>
        <w:t xml:space="preserve"> </w:t>
      </w:r>
      <w:r>
        <w:rPr>
          <w:color w:val="000000" w:themeColor="text1"/>
          <w:lang w:val="vi-VN"/>
        </w:rPr>
        <w:t>i</w:t>
      </w:r>
      <w:r w:rsidRPr="008B3345">
        <w:rPr>
          <w:color w:val="000000" w:themeColor="text1"/>
        </w:rPr>
        <w:t>t disciplines how AI evidence is interpreted</w:t>
      </w:r>
      <w:r>
        <w:rPr>
          <w:color w:val="000000" w:themeColor="text1"/>
          <w:lang w:val="vi-VN"/>
        </w:rPr>
        <w:t xml:space="preserve"> where</w:t>
      </w:r>
      <w:r w:rsidRPr="008B3345">
        <w:rPr>
          <w:color w:val="000000" w:themeColor="text1"/>
        </w:rPr>
        <w:t xml:space="preserve"> AI can summarise patterns in language, but it cannot, on its own, warrant claims about enforcement or institutional capability</w:t>
      </w:r>
      <w:r w:rsidR="00834110">
        <w:rPr>
          <w:color w:val="000000" w:themeColor="text1"/>
          <w:lang w:val="vi-VN"/>
        </w:rPr>
        <w:t xml:space="preserve"> (</w:t>
      </w:r>
      <w:r w:rsidR="00834110">
        <w:t>Bender &amp; Koller</w:t>
      </w:r>
      <w:r w:rsidR="00834110">
        <w:rPr>
          <w:lang w:val="vi-VN"/>
        </w:rPr>
        <w:t xml:space="preserve">, </w:t>
      </w:r>
      <w:r w:rsidR="00834110">
        <w:t>2020;</w:t>
      </w:r>
      <w:r w:rsidR="00834110">
        <w:rPr>
          <w:lang w:val="vi-VN"/>
        </w:rPr>
        <w:t xml:space="preserve"> </w:t>
      </w:r>
      <w:r w:rsidR="00834110">
        <w:t>Selbst et al.</w:t>
      </w:r>
      <w:r w:rsidR="00834110">
        <w:rPr>
          <w:lang w:val="vi-VN"/>
        </w:rPr>
        <w:t xml:space="preserve">, </w:t>
      </w:r>
      <w:r w:rsidR="00834110">
        <w:t>2019)</w:t>
      </w:r>
      <w:r w:rsidRPr="008B3345">
        <w:rPr>
          <w:color w:val="000000" w:themeColor="text1"/>
        </w:rPr>
        <w:t>.</w:t>
      </w:r>
    </w:p>
    <w:p w14:paraId="258630E4" w14:textId="1A20299A" w:rsidR="008B3345" w:rsidRPr="008B3345" w:rsidRDefault="008B3345" w:rsidP="002F7821">
      <w:pPr>
        <w:pStyle w:val="NormalWeb"/>
        <w:jc w:val="both"/>
        <w:rPr>
          <w:color w:val="000000" w:themeColor="text1"/>
        </w:rPr>
      </w:pPr>
      <w:r w:rsidRPr="008B3345">
        <w:rPr>
          <w:color w:val="000000" w:themeColor="text1"/>
        </w:rPr>
        <w:t>A further synthesis step groups studies around unresolved tension</w:t>
      </w:r>
      <w:r>
        <w:rPr>
          <w:color w:val="000000" w:themeColor="text1"/>
          <w:lang w:val="vi-VN"/>
        </w:rPr>
        <w:t xml:space="preserve">s, in more details, </w:t>
      </w:r>
      <w:r w:rsidRPr="008B3345">
        <w:rPr>
          <w:b/>
          <w:bCs/>
          <w:color w:val="000000" w:themeColor="text1"/>
        </w:rPr>
        <w:t>harmonisation pressures versus capacity-limited implementation</w:t>
      </w:r>
      <w:r w:rsidR="00834110">
        <w:rPr>
          <w:b/>
          <w:bCs/>
          <w:color w:val="000000" w:themeColor="text1"/>
          <w:lang w:val="vi-VN"/>
        </w:rPr>
        <w:t xml:space="preserve"> (</w:t>
      </w:r>
      <w:r w:rsidR="00834110">
        <w:t>Howlett</w:t>
      </w:r>
      <w:r w:rsidR="00834110">
        <w:rPr>
          <w:lang w:val="vi-VN"/>
        </w:rPr>
        <w:t xml:space="preserve">, </w:t>
      </w:r>
      <w:r w:rsidR="00834110">
        <w:t>2019)</w:t>
      </w:r>
      <w:r w:rsidRPr="008B3345">
        <w:rPr>
          <w:color w:val="000000" w:themeColor="text1"/>
        </w:rPr>
        <w:t>;</w:t>
      </w:r>
      <w:r>
        <w:rPr>
          <w:color w:val="000000" w:themeColor="text1"/>
          <w:lang w:val="vi-VN"/>
        </w:rPr>
        <w:t xml:space="preserve"> and </w:t>
      </w:r>
      <w:r w:rsidRPr="008B3345">
        <w:rPr>
          <w:color w:val="000000" w:themeColor="text1"/>
        </w:rPr>
        <w:t xml:space="preserve">automation optimism versus socio-technical critiques warning that </w:t>
      </w:r>
      <w:r w:rsidRPr="008B3345">
        <w:rPr>
          <w:b/>
          <w:bCs/>
          <w:color w:val="000000" w:themeColor="text1"/>
        </w:rPr>
        <w:t>statistical language models can “flatten” meaning and induce overconfidence in measurement</w:t>
      </w:r>
      <w:r w:rsidRPr="008B3345">
        <w:rPr>
          <w:color w:val="000000" w:themeColor="text1"/>
        </w:rPr>
        <w:t xml:space="preserve"> (Bender &amp; Koller, 2020; </w:t>
      </w:r>
      <w:r w:rsidR="00834110">
        <w:t>Bommasani et al.</w:t>
      </w:r>
      <w:r w:rsidR="00834110">
        <w:rPr>
          <w:lang w:val="vi-VN"/>
        </w:rPr>
        <w:t xml:space="preserve">, </w:t>
      </w:r>
      <w:r w:rsidR="00834110">
        <w:t>202</w:t>
      </w:r>
      <w:r w:rsidR="00834110">
        <w:rPr>
          <w:lang w:val="vi-VN"/>
        </w:rPr>
        <w:t>1</w:t>
      </w:r>
      <w:r w:rsidRPr="008B3345">
        <w:rPr>
          <w:color w:val="000000" w:themeColor="text1"/>
        </w:rPr>
        <w:t>). The weakness of inductive synthesis is interpretive drift</w:t>
      </w:r>
      <w:r>
        <w:rPr>
          <w:color w:val="000000" w:themeColor="text1"/>
          <w:lang w:val="vi-VN"/>
        </w:rPr>
        <w:t>, but still,</w:t>
      </w:r>
      <w:r w:rsidRPr="008B3345">
        <w:rPr>
          <w:color w:val="000000" w:themeColor="text1"/>
        </w:rPr>
        <w:t xml:space="preserve"> this is controlled through an explicit </w:t>
      </w:r>
      <w:r>
        <w:rPr>
          <w:color w:val="000000" w:themeColor="text1"/>
        </w:rPr>
        <w:t>audit</w:t>
      </w:r>
      <w:r w:rsidRPr="008B3345">
        <w:rPr>
          <w:color w:val="000000" w:themeColor="text1"/>
        </w:rPr>
        <w:t xml:space="preserve"> trail and cross-checking claims against the strongest available peer-reviewed sources before they are </w:t>
      </w:r>
      <w:r>
        <w:rPr>
          <w:color w:val="000000" w:themeColor="text1"/>
        </w:rPr>
        <w:t>incorporated</w:t>
      </w:r>
      <w:r>
        <w:rPr>
          <w:color w:val="000000" w:themeColor="text1"/>
          <w:lang w:val="vi-VN"/>
        </w:rPr>
        <w:t xml:space="preserve"> into the </w:t>
      </w:r>
      <w:r w:rsidRPr="008B3345">
        <w:rPr>
          <w:color w:val="000000" w:themeColor="text1"/>
        </w:rPr>
        <w:t>building blocks</w:t>
      </w:r>
      <w:r w:rsidR="00834110">
        <w:rPr>
          <w:color w:val="000000" w:themeColor="text1"/>
          <w:lang w:val="vi-VN"/>
        </w:rPr>
        <w:t xml:space="preserve"> (</w:t>
      </w:r>
      <w:r w:rsidR="00834110">
        <w:t>Lincoln &amp; Guba</w:t>
      </w:r>
      <w:r w:rsidR="00834110">
        <w:rPr>
          <w:lang w:val="vi-VN"/>
        </w:rPr>
        <w:t xml:space="preserve">, </w:t>
      </w:r>
      <w:r w:rsidR="00834110">
        <w:t>1985; Nowell et al.</w:t>
      </w:r>
      <w:r w:rsidR="00834110">
        <w:rPr>
          <w:lang w:val="vi-VN"/>
        </w:rPr>
        <w:t xml:space="preserve">, </w:t>
      </w:r>
      <w:r w:rsidR="00834110">
        <w:t>2017)</w:t>
      </w:r>
      <w:r w:rsidRPr="008B3345">
        <w:rPr>
          <w:color w:val="000000" w:themeColor="text1"/>
        </w:rPr>
        <w:t>.</w:t>
      </w:r>
    </w:p>
    <w:p w14:paraId="39D431EF" w14:textId="04039087" w:rsidR="008B3345" w:rsidRPr="00834110" w:rsidRDefault="008B3345" w:rsidP="002F7821">
      <w:pPr>
        <w:pStyle w:val="NormalWeb"/>
        <w:jc w:val="both"/>
        <w:rPr>
          <w:b/>
          <w:bCs/>
          <w:color w:val="000000" w:themeColor="text1"/>
          <w:lang w:val="vi-VN"/>
        </w:rPr>
      </w:pPr>
      <w:r w:rsidRPr="008B3345">
        <w:rPr>
          <w:color w:val="000000" w:themeColor="text1"/>
          <w:lang w:val="vi-VN"/>
        </w:rPr>
        <w:t>T</w:t>
      </w:r>
      <w:r w:rsidRPr="008B3345">
        <w:rPr>
          <w:color w:val="000000" w:themeColor="text1"/>
        </w:rPr>
        <w:t xml:space="preserve">he synthesis produces a conceptual platform </w:t>
      </w:r>
      <w:r w:rsidRPr="008B3345">
        <w:rPr>
          <w:b/>
          <w:bCs/>
          <w:color w:val="000000" w:themeColor="text1"/>
        </w:rPr>
        <w:t>where AI/NLP results become hypotheses-in-need-of-explanation</w:t>
      </w:r>
      <w:r w:rsidRPr="008B3345">
        <w:rPr>
          <w:color w:val="000000" w:themeColor="text1"/>
        </w:rPr>
        <w:t xml:space="preserve">, </w:t>
      </w:r>
      <w:r w:rsidRPr="008B3345">
        <w:rPr>
          <w:b/>
          <w:bCs/>
          <w:color w:val="000000" w:themeColor="text1"/>
        </w:rPr>
        <w:t xml:space="preserve">enabling a governance framework that is explicitly mechanism-aware </w:t>
      </w:r>
      <w:r w:rsidRPr="008B3345">
        <w:rPr>
          <w:b/>
          <w:bCs/>
          <w:color w:val="000000" w:themeColor="text1"/>
        </w:rPr>
        <w:t>as</w:t>
      </w:r>
      <w:r w:rsidRPr="008B3345">
        <w:rPr>
          <w:b/>
          <w:bCs/>
          <w:color w:val="000000" w:themeColor="text1"/>
          <w:lang w:val="vi-VN"/>
        </w:rPr>
        <w:t xml:space="preserve"> opposed to</w:t>
      </w:r>
      <w:r w:rsidRPr="008B3345">
        <w:rPr>
          <w:b/>
          <w:bCs/>
          <w:color w:val="000000" w:themeColor="text1"/>
        </w:rPr>
        <w:t xml:space="preserve"> benchmark-driven</w:t>
      </w:r>
      <w:r w:rsidR="00834110">
        <w:rPr>
          <w:b/>
          <w:bCs/>
          <w:color w:val="000000" w:themeColor="text1"/>
          <w:lang w:val="vi-VN"/>
        </w:rPr>
        <w:t xml:space="preserve"> </w:t>
      </w:r>
      <w:r w:rsidR="00834110">
        <w:t>(Best, 2019; Howlett, 2019)</w:t>
      </w:r>
      <w:r w:rsidR="00834110">
        <w:rPr>
          <w:lang w:val="vi-VN"/>
        </w:rPr>
        <w:t>.</w:t>
      </w:r>
    </w:p>
    <w:p w14:paraId="1C8C68E8" w14:textId="77777777" w:rsidR="008B3345" w:rsidRPr="008B3345" w:rsidRDefault="008B3345" w:rsidP="002F7821">
      <w:pPr>
        <w:pStyle w:val="Heading2"/>
        <w:jc w:val="both"/>
        <w:rPr>
          <w:rFonts w:ascii="Times New Roman" w:hAnsi="Times New Roman" w:cs="Times New Roman"/>
          <w:b/>
          <w:bCs/>
          <w:color w:val="000000" w:themeColor="text1"/>
          <w:sz w:val="24"/>
          <w:szCs w:val="24"/>
        </w:rPr>
      </w:pPr>
      <w:r w:rsidRPr="008B3345">
        <w:rPr>
          <w:rFonts w:ascii="Times New Roman" w:hAnsi="Times New Roman" w:cs="Times New Roman"/>
          <w:b/>
          <w:bCs/>
          <w:color w:val="000000" w:themeColor="text1"/>
          <w:sz w:val="24"/>
          <w:szCs w:val="24"/>
        </w:rPr>
        <w:t>2.3 Limitations and Reflexive Notes</w:t>
      </w:r>
    </w:p>
    <w:p w14:paraId="51A13FE8" w14:textId="20A7A269" w:rsidR="008B3345" w:rsidRPr="008B3345" w:rsidRDefault="00834110" w:rsidP="002F7821">
      <w:pPr>
        <w:pStyle w:val="NormalWeb"/>
        <w:jc w:val="both"/>
        <w:rPr>
          <w:color w:val="000000" w:themeColor="text1"/>
        </w:rPr>
      </w:pPr>
      <w:r>
        <w:t xml:space="preserve">One of the challenges is that while Generative AI is advancing, its application to specific domains like ESG law inherits the risks of hallucination and </w:t>
      </w:r>
      <w:r>
        <w:t>under specification</w:t>
      </w:r>
      <w:r>
        <w:t xml:space="preserve"> identified in broader ML literature</w:t>
      </w:r>
      <w:r>
        <w:rPr>
          <w:b/>
          <w:bCs/>
          <w:color w:val="000000" w:themeColor="text1"/>
          <w:lang w:val="vi-VN"/>
        </w:rPr>
        <w:t xml:space="preserve"> (</w:t>
      </w:r>
      <w:r>
        <w:t>D’Amour et al.</w:t>
      </w:r>
      <w:r>
        <w:rPr>
          <w:lang w:val="vi-VN"/>
        </w:rPr>
        <w:t xml:space="preserve">, </w:t>
      </w:r>
      <w:r>
        <w:t>2020</w:t>
      </w:r>
      <w:r>
        <w:rPr>
          <w:lang w:val="vi-VN"/>
        </w:rPr>
        <w:t xml:space="preserve">; </w:t>
      </w:r>
      <w:r>
        <w:t>Weidinger et al.</w:t>
      </w:r>
      <w:r>
        <w:rPr>
          <w:lang w:val="vi-VN"/>
        </w:rPr>
        <w:t xml:space="preserve">, </w:t>
      </w:r>
      <w:r>
        <w:t>2021)</w:t>
      </w:r>
      <w:r w:rsidR="008B3345">
        <w:rPr>
          <w:color w:val="000000" w:themeColor="text1"/>
          <w:lang w:val="vi-VN"/>
        </w:rPr>
        <w:t>. It’s evident that</w:t>
      </w:r>
      <w:r w:rsidR="008B3345" w:rsidRPr="008B3345">
        <w:rPr>
          <w:color w:val="000000" w:themeColor="text1"/>
        </w:rPr>
        <w:t xml:space="preserve"> much ESG governance scholarship predates the recent LLM acceleration,</w:t>
      </w:r>
      <w:r w:rsidR="008B3345">
        <w:rPr>
          <w:color w:val="000000" w:themeColor="text1"/>
          <w:lang w:val="vi-VN"/>
        </w:rPr>
        <w:t xml:space="preserve"> </w:t>
      </w:r>
      <w:r w:rsidR="008B3345">
        <w:rPr>
          <w:color w:val="000000" w:themeColor="text1"/>
        </w:rPr>
        <w:t>instead</w:t>
      </w:r>
      <w:r w:rsidR="008B3345">
        <w:rPr>
          <w:color w:val="000000" w:themeColor="text1"/>
          <w:lang w:val="vi-VN"/>
        </w:rPr>
        <w:t xml:space="preserve"> of</w:t>
      </w:r>
      <w:r w:rsidR="008B3345" w:rsidRPr="008B3345">
        <w:rPr>
          <w:color w:val="000000" w:themeColor="text1"/>
        </w:rPr>
        <w:t xml:space="preserve"> </w:t>
      </w:r>
      <w:r w:rsidR="008B3345">
        <w:rPr>
          <w:color w:val="000000" w:themeColor="text1"/>
        </w:rPr>
        <w:t>being</w:t>
      </w:r>
      <w:r w:rsidR="008B3345">
        <w:rPr>
          <w:color w:val="000000" w:themeColor="text1"/>
          <w:lang w:val="vi-VN"/>
        </w:rPr>
        <w:t xml:space="preserve"> </w:t>
      </w:r>
      <w:r w:rsidR="008B3345" w:rsidRPr="008B3345">
        <w:rPr>
          <w:color w:val="000000" w:themeColor="text1"/>
        </w:rPr>
        <w:t>empirically consolidated</w:t>
      </w:r>
      <w:r w:rsidR="008B3345">
        <w:rPr>
          <w:color w:val="000000" w:themeColor="text1"/>
          <w:lang w:val="vi-VN"/>
        </w:rPr>
        <w:t>,</w:t>
      </w:r>
      <w:r w:rsidR="008B3345" w:rsidRPr="008B3345">
        <w:rPr>
          <w:color w:val="000000" w:themeColor="text1"/>
        </w:rPr>
        <w:t xml:space="preserve"> many LLM sources are forward-looking. </w:t>
      </w:r>
      <w:r w:rsidR="008B3345">
        <w:rPr>
          <w:color w:val="000000" w:themeColor="text1"/>
        </w:rPr>
        <w:t>Furthermore</w:t>
      </w:r>
      <w:r w:rsidR="008B3345">
        <w:rPr>
          <w:color w:val="000000" w:themeColor="text1"/>
          <w:lang w:val="vi-VN"/>
        </w:rPr>
        <w:t>, p</w:t>
      </w:r>
      <w:r w:rsidR="008B3345" w:rsidRPr="008B3345">
        <w:rPr>
          <w:color w:val="000000" w:themeColor="text1"/>
        </w:rPr>
        <w:t xml:space="preserve">olicy and industry materials also tend to narrate </w:t>
      </w:r>
      <w:proofErr w:type="spellStart"/>
      <w:r w:rsidR="008B3345" w:rsidRPr="008B3345">
        <w:rPr>
          <w:color w:val="000000" w:themeColor="text1"/>
        </w:rPr>
        <w:t>RegTech</w:t>
      </w:r>
      <w:proofErr w:type="spellEnd"/>
      <w:r w:rsidR="008B3345" w:rsidRPr="008B3345">
        <w:rPr>
          <w:color w:val="000000" w:themeColor="text1"/>
        </w:rPr>
        <w:t xml:space="preserve"> as linear progress, </w:t>
      </w:r>
      <w:r w:rsidR="008B3345">
        <w:rPr>
          <w:color w:val="000000" w:themeColor="text1"/>
        </w:rPr>
        <w:t>the</w:t>
      </w:r>
      <w:r w:rsidR="008B3345">
        <w:rPr>
          <w:color w:val="000000" w:themeColor="text1"/>
          <w:lang w:val="vi-VN"/>
        </w:rPr>
        <w:t xml:space="preserve"> shortcomings cannot be neglected such as </w:t>
      </w:r>
      <w:r w:rsidR="008B3345" w:rsidRPr="008B3345">
        <w:rPr>
          <w:color w:val="000000" w:themeColor="text1"/>
        </w:rPr>
        <w:t>under-reporting organisational cost, implementation failure, and uneven readiness across jurisdictions</w:t>
      </w:r>
      <w:r>
        <w:rPr>
          <w:color w:val="000000" w:themeColor="text1"/>
          <w:lang w:val="vi-VN"/>
        </w:rPr>
        <w:t xml:space="preserve"> (</w:t>
      </w:r>
      <w:r>
        <w:t>McNulty</w:t>
      </w:r>
      <w:r>
        <w:rPr>
          <w:lang w:val="vi-VN"/>
        </w:rPr>
        <w:t xml:space="preserve"> et al., </w:t>
      </w:r>
      <w:r>
        <w:t>2023</w:t>
      </w:r>
      <w:r>
        <w:rPr>
          <w:lang w:val="vi-VN"/>
        </w:rPr>
        <w:t xml:space="preserve">; </w:t>
      </w:r>
      <w:r>
        <w:t>Grassi</w:t>
      </w:r>
      <w:r>
        <w:rPr>
          <w:lang w:val="vi-VN"/>
        </w:rPr>
        <w:t xml:space="preserve">, </w:t>
      </w:r>
      <w:r>
        <w:t>2022)</w:t>
      </w:r>
      <w:r w:rsidR="008B3345">
        <w:rPr>
          <w:color w:val="000000" w:themeColor="text1"/>
          <w:lang w:val="vi-VN"/>
        </w:rPr>
        <w:t>. This is the reason why</w:t>
      </w:r>
      <w:r w:rsidR="008B3345" w:rsidRPr="008B3345">
        <w:rPr>
          <w:color w:val="000000" w:themeColor="text1"/>
        </w:rPr>
        <w:t xml:space="preserve"> the review</w:t>
      </w:r>
      <w:r w:rsidR="008B3345">
        <w:rPr>
          <w:color w:val="000000" w:themeColor="text1"/>
          <w:lang w:val="vi-VN"/>
        </w:rPr>
        <w:t>,</w:t>
      </w:r>
      <w:r w:rsidR="008B3345" w:rsidRPr="008B3345">
        <w:rPr>
          <w:color w:val="000000" w:themeColor="text1"/>
        </w:rPr>
        <w:t xml:space="preserve"> therefore</w:t>
      </w:r>
      <w:r w:rsidR="008B3345">
        <w:rPr>
          <w:color w:val="000000" w:themeColor="text1"/>
          <w:lang w:val="vi-VN"/>
        </w:rPr>
        <w:t>,</w:t>
      </w:r>
      <w:r w:rsidR="008B3345" w:rsidRPr="008B3345">
        <w:rPr>
          <w:color w:val="000000" w:themeColor="text1"/>
        </w:rPr>
        <w:t xml:space="preserve"> treats these sources cautiously and uses them mainly to map claims that must be tested against peer-reviewed critique. </w:t>
      </w:r>
      <w:r w:rsidR="008B3345">
        <w:rPr>
          <w:color w:val="000000" w:themeColor="text1"/>
        </w:rPr>
        <w:t>Additionally</w:t>
      </w:r>
      <w:r w:rsidR="008B3345">
        <w:rPr>
          <w:color w:val="000000" w:themeColor="text1"/>
          <w:lang w:val="vi-VN"/>
        </w:rPr>
        <w:t>, a</w:t>
      </w:r>
      <w:r w:rsidR="008B3345" w:rsidRPr="008B3345">
        <w:rPr>
          <w:color w:val="000000" w:themeColor="text1"/>
        </w:rPr>
        <w:t xml:space="preserve"> structural limitation is language and indexing bias</w:t>
      </w:r>
      <w:r w:rsidR="008B3345">
        <w:rPr>
          <w:color w:val="000000" w:themeColor="text1"/>
          <w:lang w:val="vi-VN"/>
        </w:rPr>
        <w:t xml:space="preserve"> when</w:t>
      </w:r>
      <w:r w:rsidR="008B3345" w:rsidRPr="008B3345">
        <w:rPr>
          <w:color w:val="000000" w:themeColor="text1"/>
        </w:rPr>
        <w:t xml:space="preserve"> English-dominant databases can marginalise Vietnamese domestic debates, </w:t>
      </w:r>
      <w:r w:rsidR="008B3345">
        <w:rPr>
          <w:color w:val="000000" w:themeColor="text1"/>
        </w:rPr>
        <w:t>leading</w:t>
      </w:r>
      <w:r w:rsidR="008B3345">
        <w:rPr>
          <w:color w:val="000000" w:themeColor="text1"/>
          <w:lang w:val="vi-VN"/>
        </w:rPr>
        <w:t xml:space="preserve"> to</w:t>
      </w:r>
      <w:r w:rsidR="008B3345" w:rsidRPr="008B3345">
        <w:rPr>
          <w:color w:val="000000" w:themeColor="text1"/>
        </w:rPr>
        <w:t xml:space="preserve"> a risk that UK standards become the default yardstick</w:t>
      </w:r>
      <w:r>
        <w:rPr>
          <w:color w:val="000000" w:themeColor="text1"/>
          <w:lang w:val="vi-VN"/>
        </w:rPr>
        <w:t xml:space="preserve"> (</w:t>
      </w:r>
      <w:r>
        <w:t>Amano et al.</w:t>
      </w:r>
      <w:r>
        <w:rPr>
          <w:lang w:val="vi-VN"/>
        </w:rPr>
        <w:t xml:space="preserve">, </w:t>
      </w:r>
      <w:r>
        <w:t>2021</w:t>
      </w:r>
      <w:r>
        <w:rPr>
          <w:lang w:val="vi-VN"/>
        </w:rPr>
        <w:t xml:space="preserve">; </w:t>
      </w:r>
      <w:r>
        <w:t>Chowdhury et al.</w:t>
      </w:r>
      <w:r>
        <w:rPr>
          <w:lang w:val="vi-VN"/>
        </w:rPr>
        <w:t xml:space="preserve">, </w:t>
      </w:r>
      <w:r>
        <w:t>2022)</w:t>
      </w:r>
      <w:r w:rsidR="008B3345" w:rsidRPr="008B3345">
        <w:rPr>
          <w:color w:val="000000" w:themeColor="text1"/>
        </w:rPr>
        <w:t xml:space="preserve">. </w:t>
      </w:r>
      <w:r w:rsidR="008B3345">
        <w:rPr>
          <w:color w:val="000000" w:themeColor="text1"/>
        </w:rPr>
        <w:t>Wha</w:t>
      </w:r>
      <w:r w:rsidR="008B3345">
        <w:rPr>
          <w:color w:val="000000" w:themeColor="text1"/>
          <w:lang w:val="vi-VN"/>
        </w:rPr>
        <w:t>t is impossible -</w:t>
      </w:r>
      <w:r w:rsidR="008B3345" w:rsidRPr="008B3345">
        <w:rPr>
          <w:color w:val="000000" w:themeColor="text1"/>
        </w:rPr>
        <w:t xml:space="preserve"> “searched away”;</w:t>
      </w:r>
      <w:r w:rsidR="008B3345">
        <w:rPr>
          <w:color w:val="000000" w:themeColor="text1"/>
          <w:lang w:val="vi-VN"/>
        </w:rPr>
        <w:t xml:space="preserve"> accordingly;</w:t>
      </w:r>
      <w:r w:rsidR="008B3345" w:rsidRPr="008B3345">
        <w:rPr>
          <w:color w:val="000000" w:themeColor="text1"/>
        </w:rPr>
        <w:t xml:space="preserve"> it must be acknowledged and methodologically countered by treating “distance” as a candidate mechanism to explain, not a deficit to assume.</w:t>
      </w:r>
    </w:p>
    <w:p w14:paraId="321D86E4" w14:textId="45C94A70" w:rsidR="008B3345" w:rsidRPr="008B3345" w:rsidRDefault="008B3345" w:rsidP="002F7821">
      <w:pPr>
        <w:pStyle w:val="NormalWeb"/>
        <w:jc w:val="both"/>
        <w:rPr>
          <w:color w:val="000000" w:themeColor="text1"/>
        </w:rPr>
      </w:pPr>
      <w:r>
        <w:rPr>
          <w:color w:val="000000" w:themeColor="text1"/>
          <w:lang w:val="vi-VN"/>
        </w:rPr>
        <w:t>Generally, t</w:t>
      </w:r>
      <w:r w:rsidRPr="008B3345">
        <w:rPr>
          <w:color w:val="000000" w:themeColor="text1"/>
        </w:rPr>
        <w:t xml:space="preserve">hese constraints </w:t>
      </w:r>
      <w:r>
        <w:rPr>
          <w:color w:val="000000" w:themeColor="text1"/>
        </w:rPr>
        <w:t>once</w:t>
      </w:r>
      <w:r>
        <w:rPr>
          <w:color w:val="000000" w:themeColor="text1"/>
          <w:lang w:val="vi-VN"/>
        </w:rPr>
        <w:t xml:space="preserve"> </w:t>
      </w:r>
      <w:r w:rsidRPr="008B3345">
        <w:rPr>
          <w:color w:val="000000" w:themeColor="text1"/>
        </w:rPr>
        <w:t xml:space="preserve">reinforce the core design </w:t>
      </w:r>
      <w:r w:rsidR="002F7821" w:rsidRPr="008B3345">
        <w:rPr>
          <w:color w:val="000000" w:themeColor="text1"/>
        </w:rPr>
        <w:t>principle</w:t>
      </w:r>
      <w:r>
        <w:rPr>
          <w:color w:val="000000" w:themeColor="text1"/>
          <w:lang w:val="vi-VN"/>
        </w:rPr>
        <w:t xml:space="preserve"> in which </w:t>
      </w:r>
      <w:r w:rsidRPr="008B3345">
        <w:rPr>
          <w:b/>
          <w:bCs/>
          <w:color w:val="000000" w:themeColor="text1"/>
        </w:rPr>
        <w:t xml:space="preserve">AI/NLP is supportive evidence, not an adjudicator of UK–Vietnam alignment; </w:t>
      </w:r>
      <w:r w:rsidRPr="008B3345">
        <w:rPr>
          <w:color w:val="000000" w:themeColor="text1"/>
        </w:rPr>
        <w:t>more</w:t>
      </w:r>
      <w:r w:rsidRPr="008B3345">
        <w:rPr>
          <w:color w:val="000000" w:themeColor="text1"/>
          <w:lang w:val="vi-VN"/>
        </w:rPr>
        <w:t xml:space="preserve"> precisly</w:t>
      </w:r>
      <w:r>
        <w:rPr>
          <w:b/>
          <w:bCs/>
          <w:color w:val="000000" w:themeColor="text1"/>
          <w:lang w:val="vi-VN"/>
        </w:rPr>
        <w:t xml:space="preserve">, </w:t>
      </w:r>
      <w:r w:rsidRPr="008B3345">
        <w:rPr>
          <w:b/>
          <w:bCs/>
          <w:color w:val="000000" w:themeColor="text1"/>
        </w:rPr>
        <w:t>institutional analysis remains the interpretive anchor</w:t>
      </w:r>
      <w:r w:rsidRPr="008B3345">
        <w:rPr>
          <w:color w:val="000000" w:themeColor="text1"/>
        </w:rPr>
        <w:t>.</w:t>
      </w:r>
    </w:p>
    <w:p w14:paraId="0CECBA6F" w14:textId="677ACF22" w:rsidR="008B3345" w:rsidRDefault="008B3345" w:rsidP="002F7821">
      <w:pPr>
        <w:pStyle w:val="NormalWeb"/>
        <w:jc w:val="both"/>
        <w:rPr>
          <w:color w:val="000000" w:themeColor="text1"/>
          <w:lang w:val="vi-VN"/>
        </w:rPr>
      </w:pPr>
      <w:r>
        <w:rPr>
          <w:color w:val="000000" w:themeColor="text1"/>
          <w:lang w:val="vi-VN"/>
        </w:rPr>
        <w:lastRenderedPageBreak/>
        <w:t>T</w:t>
      </w:r>
      <w:r w:rsidRPr="008B3345">
        <w:rPr>
          <w:color w:val="000000" w:themeColor="text1"/>
        </w:rPr>
        <w:t>imeliness</w:t>
      </w:r>
      <w:r>
        <w:rPr>
          <w:color w:val="000000" w:themeColor="text1"/>
          <w:lang w:val="vi-VN"/>
        </w:rPr>
        <w:t>, in fact,</w:t>
      </w:r>
      <w:r w:rsidRPr="008B3345">
        <w:rPr>
          <w:color w:val="000000" w:themeColor="text1"/>
        </w:rPr>
        <w:t xml:space="preserve"> pushes toward fast policy texts</w:t>
      </w:r>
      <w:r>
        <w:rPr>
          <w:color w:val="000000" w:themeColor="text1"/>
          <w:lang w:val="vi-VN"/>
        </w:rPr>
        <w:t xml:space="preserve"> while</w:t>
      </w:r>
      <w:r w:rsidRPr="008B3345">
        <w:rPr>
          <w:color w:val="000000" w:themeColor="text1"/>
        </w:rPr>
        <w:t xml:space="preserve"> academic rigour pulls toward slower peer review</w:t>
      </w:r>
      <w:r>
        <w:rPr>
          <w:color w:val="000000" w:themeColor="text1"/>
          <w:lang w:val="vi-VN"/>
        </w:rPr>
        <w:t xml:space="preserve"> which is succesfully</w:t>
      </w:r>
      <w:r w:rsidRPr="008B3345">
        <w:rPr>
          <w:color w:val="000000" w:themeColor="text1"/>
        </w:rPr>
        <w:t xml:space="preserve"> manag</w:t>
      </w:r>
      <w:r>
        <w:rPr>
          <w:color w:val="000000" w:themeColor="text1"/>
        </w:rPr>
        <w:t>ed</w:t>
      </w:r>
      <w:r>
        <w:rPr>
          <w:color w:val="000000" w:themeColor="text1"/>
          <w:lang w:val="vi-VN"/>
        </w:rPr>
        <w:t xml:space="preserve"> </w:t>
      </w:r>
      <w:r w:rsidRPr="008B3345">
        <w:rPr>
          <w:color w:val="000000" w:themeColor="text1"/>
        </w:rPr>
        <w:t>by separating contextual sources from theory-bearing sources</w:t>
      </w:r>
      <w:r>
        <w:rPr>
          <w:color w:val="000000" w:themeColor="text1"/>
          <w:lang w:val="vi-VN"/>
        </w:rPr>
        <w:t xml:space="preserve"> in this review</w:t>
      </w:r>
      <w:r w:rsidR="00834110">
        <w:rPr>
          <w:color w:val="000000" w:themeColor="text1"/>
          <w:lang w:val="vi-VN"/>
        </w:rPr>
        <w:t xml:space="preserve"> (</w:t>
      </w:r>
      <w:r w:rsidR="00834110">
        <w:t>Page et al.</w:t>
      </w:r>
      <w:r w:rsidR="00834110">
        <w:rPr>
          <w:lang w:val="vi-VN"/>
        </w:rPr>
        <w:t xml:space="preserve">, </w:t>
      </w:r>
      <w:r w:rsidR="00834110">
        <w:t>202</w:t>
      </w:r>
      <w:r w:rsidR="00834110">
        <w:rPr>
          <w:lang w:val="vi-VN"/>
        </w:rPr>
        <w:t>1)</w:t>
      </w:r>
      <w:r>
        <w:rPr>
          <w:color w:val="000000" w:themeColor="text1"/>
          <w:lang w:val="vi-VN"/>
        </w:rPr>
        <w:t xml:space="preserve">. </w:t>
      </w:r>
    </w:p>
    <w:p w14:paraId="36668D39" w14:textId="01AED3F2" w:rsidR="008B3345" w:rsidRDefault="008B3345" w:rsidP="002F7821">
      <w:pPr>
        <w:jc w:val="both"/>
        <w:rPr>
          <w:b/>
          <w:bCs/>
          <w:lang w:val="vi-VN"/>
        </w:rPr>
      </w:pPr>
      <w:r w:rsidRPr="008B3345">
        <w:rPr>
          <w:b/>
          <w:bCs/>
          <w:lang w:val="vi-VN"/>
        </w:rPr>
        <w:t xml:space="preserve">3. </w:t>
      </w:r>
      <w:r w:rsidRPr="008B3345">
        <w:rPr>
          <w:b/>
          <w:bCs/>
        </w:rPr>
        <w:t>Critical Literature Review</w:t>
      </w:r>
    </w:p>
    <w:p w14:paraId="1A927E44" w14:textId="531330B3" w:rsidR="002F7821" w:rsidRPr="002F7821" w:rsidRDefault="002F7821" w:rsidP="002F7821">
      <w:pPr>
        <w:pStyle w:val="NormalWeb"/>
        <w:jc w:val="both"/>
        <w:rPr>
          <w:b/>
          <w:bCs/>
        </w:rPr>
      </w:pPr>
      <w:r>
        <w:t>As researchers seek to clarify the intersection of ESG regulation, institutional governance, and computational legal analysis, the relevant literature has expanded rapidly. However, a shared understanding of what “regulatory alignment” entails remains contested, and key questions remain unresolved</w:t>
      </w:r>
      <w:r>
        <w:rPr>
          <w:lang w:val="vi-VN"/>
        </w:rPr>
        <w:t xml:space="preserve"> such as</w:t>
      </w:r>
      <w:r>
        <w:t xml:space="preserve"> </w:t>
      </w:r>
      <w:r w:rsidRPr="002F7821">
        <w:rPr>
          <w:b/>
          <w:bCs/>
        </w:rPr>
        <w:t>what, in operational terms, counts as two jurisdictions having “the same” (aligned) laws? What forms of evidence are required before one can credibly claim similarity?</w:t>
      </w:r>
      <w:r w:rsidR="00834110">
        <w:rPr>
          <w:b/>
          <w:bCs/>
          <w:lang w:val="vi-VN"/>
        </w:rPr>
        <w:t xml:space="preserve"> </w:t>
      </w:r>
      <w:r w:rsidR="00834110" w:rsidRPr="00834110">
        <w:rPr>
          <w:lang w:val="vi-VN"/>
        </w:rPr>
        <w:t>(</w:t>
      </w:r>
      <w:r w:rsidR="00834110">
        <w:t>OECD, 2022</w:t>
      </w:r>
      <w:r w:rsidR="00834110">
        <w:rPr>
          <w:lang w:val="vi-VN"/>
        </w:rPr>
        <w:t xml:space="preserve">; </w:t>
      </w:r>
      <w:r w:rsidR="00834110" w:rsidRPr="00834110">
        <w:rPr>
          <w:lang w:val="vi-VN"/>
        </w:rPr>
        <w:t>Dikau &amp; Volz, 202</w:t>
      </w:r>
      <w:r w:rsidR="00834110">
        <w:rPr>
          <w:lang w:val="vi-VN"/>
        </w:rPr>
        <w:t>1).</w:t>
      </w:r>
      <w:r>
        <w:t xml:space="preserve"> In sustainable finance practice, finance and policy teams often treat alignment as akin to fitting an electrical plug into a socket. </w:t>
      </w:r>
      <w:r w:rsidRPr="002F7821">
        <w:rPr>
          <w:b/>
          <w:bCs/>
        </w:rPr>
        <w:t>Their objective is standardisation</w:t>
      </w:r>
      <w:r w:rsidRPr="002F7821">
        <w:rPr>
          <w:b/>
          <w:bCs/>
          <w:lang w:val="vi-VN"/>
        </w:rPr>
        <w:t xml:space="preserve">, </w:t>
      </w:r>
      <w:r w:rsidRPr="002F7821">
        <w:rPr>
          <w:b/>
          <w:bCs/>
        </w:rPr>
        <w:t>metaphorically, they want the whole world to use the same plug under TCFD and ISSB standards</w:t>
      </w:r>
      <w:r>
        <w:t xml:space="preserve">, so that wherever it is inserted, the connection holds. </w:t>
      </w:r>
      <w:r w:rsidRPr="002F7821">
        <w:rPr>
          <w:b/>
          <w:bCs/>
        </w:rPr>
        <w:t>Technical compatibility therefore becomes the dominant focus</w:t>
      </w:r>
      <w:r w:rsidR="00834110" w:rsidRPr="00834110">
        <w:t xml:space="preserve"> </w:t>
      </w:r>
      <w:r w:rsidR="00834110">
        <w:rPr>
          <w:lang w:val="vi-VN"/>
        </w:rPr>
        <w:t>(</w:t>
      </w:r>
      <w:r w:rsidR="00834110">
        <w:t>McNulty et al.</w:t>
      </w:r>
      <w:r w:rsidR="00834110">
        <w:rPr>
          <w:lang w:val="vi-VN"/>
        </w:rPr>
        <w:t xml:space="preserve">, </w:t>
      </w:r>
      <w:r w:rsidR="00834110">
        <w:t>2023)</w:t>
      </w:r>
      <w:r w:rsidRPr="002F7821">
        <w:rPr>
          <w:b/>
          <w:bCs/>
        </w:rPr>
        <w:t>.</w:t>
      </w:r>
    </w:p>
    <w:p w14:paraId="02F1BE61" w14:textId="71A50AB8" w:rsidR="002F7821" w:rsidRPr="002F7821" w:rsidRDefault="002F7821" w:rsidP="002F7821">
      <w:pPr>
        <w:pStyle w:val="NormalWeb"/>
        <w:jc w:val="both"/>
        <w:rPr>
          <w:lang w:val="vi-VN"/>
        </w:rPr>
      </w:pPr>
      <w:r>
        <w:t xml:space="preserve">By contrast, institutional theorists describe </w:t>
      </w:r>
      <w:r w:rsidRPr="002F7821">
        <w:rPr>
          <w:b/>
          <w:bCs/>
        </w:rPr>
        <w:t>alignment in emerging markets as a sociopolitical performance, characterised by decoupling.</w:t>
      </w:r>
      <w:r>
        <w:t xml:space="preserve"> The phenomenon is less straightforward than surface readings suggest. At a deeper level, </w:t>
      </w:r>
      <w:r>
        <w:t>first</w:t>
      </w:r>
      <w:r>
        <w:rPr>
          <w:lang w:val="vi-VN"/>
        </w:rPr>
        <w:t xml:space="preserve">, </w:t>
      </w:r>
      <w:r>
        <w:t>there is substantial evidence that global rules are adopted formally but ignored functionally, in contexts where authorities may endorse the formal requirements yet, in practice, do not translate them into internal routines or implement them in ways that diverge materially. This again foregrounds decoupling and sharpens a tension that must be made explicit</w:t>
      </w:r>
      <w:r>
        <w:rPr>
          <w:lang w:val="vi-VN"/>
        </w:rPr>
        <w:t>,</w:t>
      </w:r>
      <w:r>
        <w:t xml:space="preserve"> in UK–Vietnam comparison, formal texts diffuse more rapidly than the institutional mechanisms that render them consequential. </w:t>
      </w:r>
      <w:r>
        <w:t>Second</w:t>
      </w:r>
      <w:r>
        <w:rPr>
          <w:lang w:val="vi-VN"/>
        </w:rPr>
        <w:t>, i</w:t>
      </w:r>
      <w:proofErr w:type="spellStart"/>
      <w:r>
        <w:t>n</w:t>
      </w:r>
      <w:proofErr w:type="spellEnd"/>
      <w:r>
        <w:t xml:space="preserve"> practice, documentary templates can be reproduced at minimal cost and speed; institutionalising enforcement capacity, by contrast, is path-dependent and commonly takes decades.</w:t>
      </w:r>
      <w:r>
        <w:rPr>
          <w:lang w:val="vi-VN"/>
        </w:rPr>
        <w:t xml:space="preserve"> Third, i</w:t>
      </w:r>
      <w:r>
        <w:t>t is technically feasible for NLP-based text analytics to compute a textual similarity score between two regulatory documents; however, inferring directly from that score that “Vietnam is doing just as well as the UK” is methodologically indefensible. Crucially, whether environmental enforcement authorities apply sanctions consistently, and whether organisations possess the interpretive capacity to operationalise legal requirements, are mechanisms not recoverable from textual data alone</w:t>
      </w:r>
      <w:r w:rsidR="00834110">
        <w:rPr>
          <w:lang w:val="vi-VN"/>
        </w:rPr>
        <w:t xml:space="preserve"> (</w:t>
      </w:r>
      <w:r w:rsidR="00834110">
        <w:t>D’Amour et al.</w:t>
      </w:r>
      <w:r w:rsidR="00834110">
        <w:rPr>
          <w:lang w:val="vi-VN"/>
        </w:rPr>
        <w:t xml:space="preserve">, </w:t>
      </w:r>
      <w:r w:rsidR="00834110">
        <w:t>2020</w:t>
      </w:r>
      <w:r w:rsidR="00834110">
        <w:rPr>
          <w:lang w:val="vi-VN"/>
        </w:rPr>
        <w:t xml:space="preserve">; </w:t>
      </w:r>
      <w:r w:rsidR="00834110">
        <w:t>Kantorowicz &amp; Reznichenko</w:t>
      </w:r>
      <w:r w:rsidR="00834110">
        <w:rPr>
          <w:lang w:val="vi-VN"/>
        </w:rPr>
        <w:t xml:space="preserve">, </w:t>
      </w:r>
      <w:r w:rsidR="00834110">
        <w:t>2021)</w:t>
      </w:r>
      <w:r>
        <w:t>.</w:t>
      </w:r>
    </w:p>
    <w:p w14:paraId="18E48B8B" w14:textId="1296651F" w:rsidR="002F7821" w:rsidRDefault="002F7821" w:rsidP="002F7821">
      <w:pPr>
        <w:jc w:val="both"/>
        <w:rPr>
          <w:lang w:val="vi-VN"/>
        </w:rPr>
      </w:pPr>
      <w:r>
        <w:t>Taken together, this review will not simply catalogue the literature; instead, it adopts an analytically disciplined, even-handed stance to critically evaluate and contrast these competing strands of argument. Because each theoretical position offers a distinct explanatory account of how ESG rules diffuse, how compliance is produced, and why cross-jurisdictional differences endure, one camp explains diffusion primarily through economic-efficiency mechanisms, whereas the other interprets diffusion as shaped by coercive political pressures. On this basis, the review clarifies how each camp accounts for the core problem.</w:t>
      </w:r>
    </w:p>
    <w:p w14:paraId="1C4F23CC" w14:textId="77777777" w:rsidR="002F7821" w:rsidRDefault="002F7821" w:rsidP="002F7821">
      <w:pPr>
        <w:jc w:val="both"/>
        <w:rPr>
          <w:lang w:val="vi-VN"/>
        </w:rPr>
      </w:pPr>
    </w:p>
    <w:p w14:paraId="33369325" w14:textId="640D508B" w:rsidR="002F7821" w:rsidRDefault="002F7821" w:rsidP="002F7821">
      <w:pPr>
        <w:jc w:val="both"/>
        <w:rPr>
          <w:lang w:val="vi-VN"/>
        </w:rPr>
      </w:pPr>
      <w:r>
        <w:t>From a reflexive standpoint, and consistent with the methodological constraints outlined earlier, World Bank reports and policy briefs are used to contextualise implementation conditions rather than treated as theory-setting or definitive evidence. This is because such documents often carry an implicit assumption that the UK model should function as the default benchmark, an assumption that is not necessarily appropriate for Vietnam</w:t>
      </w:r>
      <w:r>
        <w:rPr>
          <w:lang w:val="vi-VN"/>
        </w:rPr>
        <w:t>.</w:t>
      </w:r>
    </w:p>
    <w:p w14:paraId="0948F3EF" w14:textId="77777777" w:rsidR="002F7821" w:rsidRPr="002F7821" w:rsidRDefault="002F7821" w:rsidP="002F7821">
      <w:pPr>
        <w:jc w:val="both"/>
        <w:rPr>
          <w:lang w:val="vi-VN"/>
        </w:rPr>
      </w:pPr>
    </w:p>
    <w:p w14:paraId="4CF612E0" w14:textId="77777777" w:rsidR="002F7821" w:rsidRPr="002F7821" w:rsidRDefault="002F7821" w:rsidP="002F7821">
      <w:pPr>
        <w:jc w:val="both"/>
        <w:rPr>
          <w:b/>
          <w:bCs/>
          <w:lang w:val="vi-VN"/>
        </w:rPr>
      </w:pPr>
      <w:r>
        <w:lastRenderedPageBreak/>
        <w:t xml:space="preserve">The paper is organised around four principal themes that it will critically examine: </w:t>
      </w:r>
      <w:r w:rsidRPr="002F7821">
        <w:rPr>
          <w:b/>
          <w:bCs/>
          <w:i/>
          <w:iCs/>
        </w:rPr>
        <w:t>(1) the debate between harmonisation and institutional isomorphism; (2) legal transplants and institutional capacity; (3) the epistemic risks of AI/NLP in computational legal a</w:t>
      </w:r>
      <w:r w:rsidRPr="002F7821">
        <w:rPr>
          <w:b/>
          <w:bCs/>
        </w:rPr>
        <w:t xml:space="preserve">nalysis; and </w:t>
      </w:r>
      <w:r w:rsidRPr="002F7821">
        <w:rPr>
          <w:b/>
          <w:bCs/>
          <w:i/>
          <w:iCs/>
        </w:rPr>
        <w:t>(4) the politics of ESG data in the Global South (developing economies).</w:t>
      </w:r>
    </w:p>
    <w:p w14:paraId="63C8425E" w14:textId="77777777" w:rsidR="002F7821" w:rsidRDefault="002F7821" w:rsidP="002F7821">
      <w:pPr>
        <w:jc w:val="both"/>
        <w:rPr>
          <w:lang w:val="vi-VN"/>
        </w:rPr>
      </w:pPr>
    </w:p>
    <w:p w14:paraId="22C7F5BB" w14:textId="667911E5" w:rsidR="008B3345" w:rsidRPr="002F7821" w:rsidRDefault="008B3345" w:rsidP="002F7821">
      <w:pPr>
        <w:jc w:val="both"/>
        <w:rPr>
          <w:lang w:val="vi-VN"/>
        </w:rPr>
      </w:pPr>
      <w:r w:rsidRPr="008B3345">
        <w:t>Theme 1 is developed in detail because it frames RQ1 and constrains what later themes may infer from text-based evidence</w:t>
      </w:r>
      <w:r w:rsidR="002F7821">
        <w:rPr>
          <w:lang w:val="vi-VN"/>
        </w:rPr>
        <w:t>:</w:t>
      </w:r>
    </w:p>
    <w:p w14:paraId="403B506D" w14:textId="77777777" w:rsidR="002F7821" w:rsidRPr="002F7821" w:rsidRDefault="002F7821" w:rsidP="002F7821">
      <w:pPr>
        <w:jc w:val="both"/>
        <w:rPr>
          <w:lang w:val="vi-VN"/>
        </w:rPr>
      </w:pPr>
    </w:p>
    <w:p w14:paraId="6C2ADF0C" w14:textId="55EBC043" w:rsidR="008B3345" w:rsidRDefault="008B3345" w:rsidP="002F7821">
      <w:pPr>
        <w:jc w:val="both"/>
        <w:rPr>
          <w:b/>
          <w:bCs/>
          <w:lang w:val="vi-VN"/>
        </w:rPr>
      </w:pPr>
      <w:r w:rsidRPr="008B3345">
        <w:rPr>
          <w:b/>
          <w:bCs/>
        </w:rPr>
        <w:t xml:space="preserve">3.1 Theme 1: ESG Regulatory Alignment – Harmonisation versus Institutional Isomorphism </w:t>
      </w:r>
    </w:p>
    <w:p w14:paraId="1CA5D869" w14:textId="01865F19" w:rsidR="002F7821" w:rsidRDefault="002F7821" w:rsidP="002F7821">
      <w:pPr>
        <w:jc w:val="both"/>
        <w:rPr>
          <w:lang w:val="vi-VN"/>
        </w:rPr>
      </w:pPr>
      <w:r>
        <w:t xml:space="preserve">In comparative studies, a distinction is frequently conflated, and Theme 1 is designed to clarify it. The central issue is whether a common ESG </w:t>
      </w:r>
      <w:r>
        <w:t>ruleset</w:t>
      </w:r>
      <w:r>
        <w:t xml:space="preserve"> exists as the true point of convergence for jurisdictions, whether they are operating under substantively equivalent rules or, </w:t>
      </w:r>
      <w:r>
        <w:t>conversely</w:t>
      </w:r>
      <w:r>
        <w:t>, whether convergence is primarily linguistic, produced as a compliance signal.</w:t>
      </w:r>
      <w:r>
        <w:rPr>
          <w:lang w:val="vi-VN"/>
        </w:rPr>
        <w:t xml:space="preserve"> Put plainly, it resembles rote, compliance-oriented learning to satisfy requirements and external scrutiny in lieu of building substantive understanding or capability. </w:t>
      </w:r>
    </w:p>
    <w:p w14:paraId="141D82FE" w14:textId="77777777" w:rsidR="002F7821" w:rsidRPr="002F7821" w:rsidRDefault="002F7821" w:rsidP="002F7821">
      <w:pPr>
        <w:jc w:val="both"/>
        <w:rPr>
          <w:b/>
          <w:bCs/>
          <w:lang w:val="vi-VN"/>
        </w:rPr>
      </w:pPr>
    </w:p>
    <w:p w14:paraId="43BBC093" w14:textId="5E0BA2D0" w:rsidR="008B3345" w:rsidRDefault="002F7821" w:rsidP="002F7821">
      <w:pPr>
        <w:jc w:val="both"/>
        <w:rPr>
          <w:lang w:val="vi-VN"/>
        </w:rPr>
      </w:pPr>
      <w:r>
        <w:t>The literature delineates two rival camps: a functionalist perspective, which clusters explanations oriented toward harmonisation and efficiency, and an institutional perspective, which advances accounts centred on isomorphism and decoupling, where reliance on mimicry and coping responses is foregrounded</w:t>
      </w:r>
      <w:r w:rsidR="008B3345" w:rsidRPr="008B3345">
        <w:t xml:space="preserve">. </w:t>
      </w:r>
    </w:p>
    <w:p w14:paraId="046763A2" w14:textId="77777777" w:rsidR="00834110" w:rsidRPr="00834110" w:rsidRDefault="00834110" w:rsidP="002F7821">
      <w:pPr>
        <w:jc w:val="both"/>
        <w:rPr>
          <w:lang w:val="vi-VN"/>
        </w:rPr>
      </w:pPr>
    </w:p>
    <w:p w14:paraId="52A4D546" w14:textId="100AE4F6" w:rsidR="002F7821" w:rsidRPr="002F7821" w:rsidRDefault="002F7821" w:rsidP="002F7821">
      <w:pPr>
        <w:jc w:val="both"/>
        <w:rPr>
          <w:lang w:val="vi-VN"/>
        </w:rPr>
      </w:pPr>
      <w:r>
        <w:t xml:space="preserve">To address RQ1, </w:t>
      </w:r>
      <w:r>
        <w:rPr>
          <w:rStyle w:val="Strong"/>
          <w:rFonts w:eastAsiaTheme="majorEastAsia"/>
        </w:rPr>
        <w:t>inferential discipline is pivotal</w:t>
      </w:r>
      <w:r>
        <w:t xml:space="preserve"> </w:t>
      </w:r>
      <w:r>
        <w:t>because</w:t>
      </w:r>
      <w:r>
        <w:rPr>
          <w:lang w:val="vi-VN"/>
        </w:rPr>
        <w:t xml:space="preserve"> </w:t>
      </w:r>
      <w:r>
        <w:t>it is indisputable that textual convergence constitutes a necessary condition for functional alignment, yet it remains insufficient to conclude that the two jurisdictions are substantively equivalent.</w:t>
      </w:r>
    </w:p>
    <w:p w14:paraId="058A52EF" w14:textId="77777777" w:rsidR="002F7821" w:rsidRPr="002F7821" w:rsidRDefault="002F7821" w:rsidP="002F7821">
      <w:pPr>
        <w:jc w:val="both"/>
        <w:rPr>
          <w:lang w:val="vi-VN"/>
        </w:rPr>
      </w:pPr>
    </w:p>
    <w:p w14:paraId="7F638C76" w14:textId="77777777" w:rsidR="002F7821" w:rsidRDefault="008B3345" w:rsidP="002F7821">
      <w:pPr>
        <w:ind w:firstLine="720"/>
        <w:jc w:val="both"/>
        <w:rPr>
          <w:b/>
          <w:bCs/>
          <w:lang w:val="vi-VN"/>
        </w:rPr>
      </w:pPr>
      <w:r w:rsidRPr="008B3345">
        <w:rPr>
          <w:b/>
          <w:bCs/>
        </w:rPr>
        <w:t>3.1.1 The functionalist view: alignment as efficiency and linear convergence</w:t>
      </w:r>
    </w:p>
    <w:p w14:paraId="780F3CE1" w14:textId="51255856" w:rsidR="002F7821" w:rsidRPr="002F7821" w:rsidRDefault="002F7821" w:rsidP="002F7821">
      <w:pPr>
        <w:jc w:val="both"/>
        <w:rPr>
          <w:lang w:val="vi-VN"/>
        </w:rPr>
      </w:pPr>
      <w:r>
        <w:t xml:space="preserve">Drawing on scholarship by </w:t>
      </w:r>
      <w:r w:rsidR="00834110">
        <w:t>Grewal</w:t>
      </w:r>
      <w:r w:rsidR="00834110">
        <w:rPr>
          <w:lang w:val="vi-VN"/>
        </w:rPr>
        <w:t xml:space="preserve"> et al.</w:t>
      </w:r>
      <w:r>
        <w:t xml:space="preserve"> (2019) and Christensen et al. (2021), functionalist economic studies involve a market-coordination premise, positing that institutional arrangements serve primarily to facilitate efficient market operations.</w:t>
      </w:r>
      <w:r>
        <w:rPr>
          <w:lang w:val="vi-VN"/>
        </w:rPr>
        <w:t xml:space="preserve"> </w:t>
      </w:r>
      <w:r>
        <w:t>This explains why aligned reporting</w:t>
      </w:r>
      <w:r>
        <w:rPr>
          <w:lang w:val="vi-VN"/>
        </w:rPr>
        <w:t xml:space="preserve">, for example, </w:t>
      </w:r>
      <w:r>
        <w:t>requiring disclosures to look broadly consistent</w:t>
      </w:r>
      <w:r>
        <w:rPr>
          <w:lang w:val="vi-VN"/>
        </w:rPr>
        <w:t xml:space="preserve"> </w:t>
      </w:r>
      <w:r>
        <w:t>is often presented as necessary to support cross-border investment, such as enabling capital to move more easily between countries and allowing risks to be priced more coherently. By contrast, fragmented disclosure</w:t>
      </w:r>
      <w:r>
        <w:rPr>
          <w:lang w:val="vi-VN"/>
        </w:rPr>
        <w:t xml:space="preserve">, where </w:t>
      </w:r>
      <w:r>
        <w:t>each country reports ESG differently</w:t>
      </w:r>
      <w:r>
        <w:rPr>
          <w:lang w:val="vi-VN"/>
        </w:rPr>
        <w:t xml:space="preserve">, fails to deliver these </w:t>
      </w:r>
      <w:r>
        <w:t>outcome</w:t>
      </w:r>
      <w:r>
        <w:rPr>
          <w:lang w:val="vi-VN"/>
        </w:rPr>
        <w:t>s</w:t>
      </w:r>
      <w:r>
        <w:t xml:space="preserve">, because it creates </w:t>
      </w:r>
      <w:r w:rsidRPr="002F7821">
        <w:rPr>
          <w:b/>
          <w:bCs/>
        </w:rPr>
        <w:t>information asymmetry</w:t>
      </w:r>
      <w:r>
        <w:t xml:space="preserve"> and </w:t>
      </w:r>
      <w:r w:rsidRPr="002F7821">
        <w:rPr>
          <w:b/>
          <w:bCs/>
        </w:rPr>
        <w:t>weak comparability</w:t>
      </w:r>
      <w:r>
        <w:t>, leaving investors less able to interpret and compare firms’ positions with confidence</w:t>
      </w:r>
      <w:r w:rsidR="00834110">
        <w:rPr>
          <w:lang w:val="vi-VN"/>
        </w:rPr>
        <w:t xml:space="preserve"> (</w:t>
      </w:r>
      <w:r w:rsidR="00834110">
        <w:t>Krueger, Sautner &amp; Starks</w:t>
      </w:r>
      <w:r w:rsidR="00834110">
        <w:rPr>
          <w:lang w:val="vi-VN"/>
        </w:rPr>
        <w:t xml:space="preserve">, </w:t>
      </w:r>
      <w:r w:rsidR="00834110">
        <w:t>2020</w:t>
      </w:r>
      <w:r w:rsidR="00834110">
        <w:t>)</w:t>
      </w:r>
      <w:r w:rsidR="00834110">
        <w:rPr>
          <w:lang w:val="vi-VN"/>
        </w:rPr>
        <w:t>.</w:t>
      </w:r>
      <w:r>
        <w:rPr>
          <w:lang w:val="vi-VN"/>
        </w:rPr>
        <w:t xml:space="preserve"> </w:t>
      </w:r>
      <w:r>
        <w:t>This dynamic underpins the establishment of the International Sustainability Standards Board (ISSB) as a common standard-setting arbiter</w:t>
      </w:r>
      <w:r>
        <w:rPr>
          <w:lang w:val="vi-VN"/>
        </w:rPr>
        <w:t xml:space="preserve">, it is considered as </w:t>
      </w:r>
      <w:r>
        <w:t xml:space="preserve">an institutional solution </w:t>
      </w:r>
      <w:r>
        <w:t>and</w:t>
      </w:r>
      <w:r>
        <w:rPr>
          <w:lang w:val="vi-VN"/>
        </w:rPr>
        <w:t xml:space="preserve"> </w:t>
      </w:r>
      <w:r>
        <w:t>intended to provide a global baseline for sustainability-related disclosures</w:t>
      </w:r>
      <w:r w:rsidR="00834110">
        <w:rPr>
          <w:lang w:val="vi-VN"/>
        </w:rPr>
        <w:t xml:space="preserve"> (</w:t>
      </w:r>
      <w:r w:rsidR="00834110">
        <w:t>Ali</w:t>
      </w:r>
      <w:r w:rsidR="00834110">
        <w:rPr>
          <w:lang w:val="vi-VN"/>
        </w:rPr>
        <w:t xml:space="preserve">, </w:t>
      </w:r>
      <w:r w:rsidR="00834110">
        <w:t>2023</w:t>
      </w:r>
      <w:r w:rsidR="00834110">
        <w:rPr>
          <w:lang w:val="vi-VN"/>
        </w:rPr>
        <w:t xml:space="preserve">; </w:t>
      </w:r>
      <w:r w:rsidR="00834110">
        <w:t xml:space="preserve">Adams &amp; </w:t>
      </w:r>
      <w:proofErr w:type="spellStart"/>
      <w:r w:rsidR="00834110">
        <w:t>Abhayawansa</w:t>
      </w:r>
      <w:proofErr w:type="spellEnd"/>
      <w:r w:rsidR="00834110">
        <w:rPr>
          <w:lang w:val="vi-VN"/>
        </w:rPr>
        <w:t xml:space="preserve">, </w:t>
      </w:r>
      <w:r w:rsidR="00834110">
        <w:t>2023</w:t>
      </w:r>
      <w:r w:rsidR="00834110">
        <w:rPr>
          <w:lang w:val="vi-VN"/>
        </w:rPr>
        <w:t>)</w:t>
      </w:r>
      <w:r>
        <w:t xml:space="preserve">. By setting a minimum, decision-useful disclosure floor, the ISSB </w:t>
      </w:r>
      <w:r>
        <w:t>enables</w:t>
      </w:r>
      <w:r>
        <w:rPr>
          <w:lang w:val="vi-VN"/>
        </w:rPr>
        <w:t xml:space="preserve"> </w:t>
      </w:r>
      <w:r>
        <w:t xml:space="preserve">comparability </w:t>
      </w:r>
      <w:r>
        <w:t>improvement</w:t>
      </w:r>
      <w:r>
        <w:rPr>
          <w:lang w:val="vi-VN"/>
        </w:rPr>
        <w:t xml:space="preserve"> </w:t>
      </w:r>
      <w:r>
        <w:t>across firms and jurisdictions, so that assessments are not contingent on bespoke local-to-local mapping exercises (IFRS Foundation, 202</w:t>
      </w:r>
      <w:r w:rsidR="00834110">
        <w:rPr>
          <w:lang w:val="vi-VN"/>
        </w:rPr>
        <w:t>3</w:t>
      </w:r>
      <w:r>
        <w:t>). In principle, a shared baseline reduces the coordination burden that arises when multiple, partially overlapping regimes require “conversion” across frameworks</w:t>
      </w:r>
      <w:r>
        <w:rPr>
          <w:lang w:val="vi-VN"/>
        </w:rPr>
        <w:t xml:space="preserve">, </w:t>
      </w:r>
      <w:r>
        <w:t>thereby lowering the translation and transaction costs of cross-market evaluation and supervision (IFRS Foundation, 2021).</w:t>
      </w:r>
    </w:p>
    <w:p w14:paraId="4394B0CB" w14:textId="13B10189" w:rsidR="002F7821" w:rsidRDefault="002F7821" w:rsidP="002F7821">
      <w:pPr>
        <w:jc w:val="both"/>
        <w:rPr>
          <w:lang w:val="vi-VN"/>
        </w:rPr>
      </w:pPr>
    </w:p>
    <w:p w14:paraId="426A5168" w14:textId="6D6E3632" w:rsidR="002F7821" w:rsidRPr="002F7821" w:rsidRDefault="002F7821" w:rsidP="002F7821">
      <w:pPr>
        <w:jc w:val="both"/>
        <w:rPr>
          <w:lang w:val="vi-VN"/>
        </w:rPr>
      </w:pPr>
      <w:r w:rsidRPr="002F7821">
        <w:rPr>
          <w:b/>
          <w:bCs/>
        </w:rPr>
        <w:t>Agency Theory</w:t>
      </w:r>
      <w:r>
        <w:t xml:space="preserve"> </w:t>
      </w:r>
      <w:r>
        <w:t>provides</w:t>
      </w:r>
      <w:r>
        <w:rPr>
          <w:lang w:val="vi-VN"/>
        </w:rPr>
        <w:t xml:space="preserve"> a compelling explaination for the emergence of </w:t>
      </w:r>
      <w:r>
        <w:t>ISSB</w:t>
      </w:r>
      <w:r>
        <w:rPr>
          <w:lang w:val="vi-VN"/>
        </w:rPr>
        <w:t xml:space="preserve">. As its core, this economic framework addresses the inherent tension in the principal-agent relationship, particularly </w:t>
      </w:r>
      <w:r>
        <w:t>between shareholders</w:t>
      </w:r>
      <w:r>
        <w:rPr>
          <w:lang w:val="vi-VN"/>
        </w:rPr>
        <w:t xml:space="preserve"> (principals)</w:t>
      </w:r>
      <w:r>
        <w:t xml:space="preserve"> </w:t>
      </w:r>
      <w:r>
        <w:t>and</w:t>
      </w:r>
      <w:r>
        <w:rPr>
          <w:lang w:val="vi-VN"/>
        </w:rPr>
        <w:t xml:space="preserve"> corporate managment (agents). Managment </w:t>
      </w:r>
      <w:r>
        <w:rPr>
          <w:lang w:val="vi-VN"/>
        </w:rPr>
        <w:lastRenderedPageBreak/>
        <w:t>teams may</w:t>
      </w:r>
      <w:r>
        <w:t xml:space="preserve"> </w:t>
      </w:r>
      <w:r>
        <w:t>possess</w:t>
      </w:r>
      <w:r>
        <w:t xml:space="preserve"> </w:t>
      </w:r>
      <w:r>
        <w:t>strong</w:t>
      </w:r>
      <w:r>
        <w:rPr>
          <w:lang w:val="vi-VN"/>
        </w:rPr>
        <w:t xml:space="preserve"> </w:t>
      </w:r>
      <w:r>
        <w:t xml:space="preserve">incentives to downplay ESG risks and hide negative issues (such as environmental </w:t>
      </w:r>
      <w:r>
        <w:t>violations</w:t>
      </w:r>
      <w:r>
        <w:rPr>
          <w:lang w:val="vi-VN"/>
        </w:rPr>
        <w:t xml:space="preserve"> or social controversies</w:t>
      </w:r>
      <w:r>
        <w:t xml:space="preserve">) to </w:t>
      </w:r>
      <w:r w:rsidRPr="002F7821">
        <w:rPr>
          <w:b/>
          <w:bCs/>
        </w:rPr>
        <w:t>avoid</w:t>
      </w:r>
      <w:r w:rsidRPr="002F7821">
        <w:rPr>
          <w:b/>
          <w:bCs/>
          <w:lang w:val="vi-VN"/>
        </w:rPr>
        <w:t xml:space="preserve"> shareholder backlash</w:t>
      </w:r>
      <w:r>
        <w:t>. In that sense, the ISSB</w:t>
      </w:r>
      <w:r>
        <w:rPr>
          <w:lang w:val="vi-VN"/>
        </w:rPr>
        <w:t xml:space="preserve"> acts</w:t>
      </w:r>
      <w:r>
        <w:t xml:space="preserve"> as a mandatory reporting requirement </w:t>
      </w:r>
      <w:r>
        <w:t xml:space="preserve">that </w:t>
      </w:r>
      <w:r>
        <w:rPr>
          <w:lang w:val="vi-VN"/>
        </w:rPr>
        <w:t>reduce managers’ ability to withhold material negative information as well as</w:t>
      </w:r>
      <w:r>
        <w:t xml:space="preserve"> </w:t>
      </w:r>
      <w:r>
        <w:t>mitigating</w:t>
      </w:r>
      <w:r>
        <w:rPr>
          <w:lang w:val="vi-VN"/>
        </w:rPr>
        <w:t xml:space="preserve"> </w:t>
      </w:r>
      <w:r>
        <w:t xml:space="preserve">information </w:t>
      </w:r>
      <w:r>
        <w:t>asymmetry</w:t>
      </w:r>
      <w:r>
        <w:t xml:space="preserve"> and lowers moral-hazard risk</w:t>
      </w:r>
      <w:r>
        <w:rPr>
          <w:lang w:val="vi-VN"/>
        </w:rPr>
        <w:t xml:space="preserve">, thereby aligning agent behavior with princial interests </w:t>
      </w:r>
      <w:r w:rsidRPr="008B3345">
        <w:t xml:space="preserve">(Jensen </w:t>
      </w:r>
      <w:r w:rsidR="00834110">
        <w:rPr>
          <w:lang w:val="vi-VN"/>
        </w:rPr>
        <w:t>&amp;</w:t>
      </w:r>
      <w:r w:rsidRPr="008B3345">
        <w:t xml:space="preserve"> Meckling, 1976; </w:t>
      </w:r>
      <w:r w:rsidR="00834110">
        <w:t>Grewal et al.</w:t>
      </w:r>
      <w:r w:rsidR="00834110">
        <w:rPr>
          <w:lang w:val="vi-VN"/>
        </w:rPr>
        <w:t xml:space="preserve">, </w:t>
      </w:r>
      <w:r w:rsidR="00834110">
        <w:t>2019</w:t>
      </w:r>
      <w:r w:rsidRPr="008B3345">
        <w:t>).</w:t>
      </w:r>
      <w:r>
        <w:rPr>
          <w:lang w:val="vi-VN"/>
        </w:rPr>
        <w:t xml:space="preserve"> </w:t>
      </w:r>
    </w:p>
    <w:p w14:paraId="3BA4384E" w14:textId="77777777" w:rsidR="002F7821" w:rsidRDefault="002F7821" w:rsidP="002F7821">
      <w:pPr>
        <w:jc w:val="both"/>
        <w:rPr>
          <w:lang w:val="vi-VN"/>
        </w:rPr>
      </w:pPr>
    </w:p>
    <w:p w14:paraId="11588AC1" w14:textId="137CF3DE" w:rsidR="008B3345" w:rsidRDefault="008B3345" w:rsidP="002F7821">
      <w:pPr>
        <w:jc w:val="both"/>
        <w:rPr>
          <w:lang w:val="vi-VN"/>
        </w:rPr>
      </w:pPr>
      <w:r w:rsidRPr="008B3345">
        <w:t>The prescription follows: strengthen mandatory reporting, tighten definitions via taxonomies, and increase the granularity of required metrics. The UK is commonly treated as a reference model because it institutionalises disclosure expectations through mandatory TCFD-style reporting and established supervisory routines.</w:t>
      </w:r>
    </w:p>
    <w:p w14:paraId="721D5CB9" w14:textId="77777777" w:rsidR="002F7821" w:rsidRPr="002F7821" w:rsidRDefault="002F7821" w:rsidP="002F7821">
      <w:pPr>
        <w:jc w:val="both"/>
        <w:rPr>
          <w:lang w:val="vi-VN"/>
        </w:rPr>
      </w:pPr>
    </w:p>
    <w:p w14:paraId="0CCFC1AB" w14:textId="68E3AABE" w:rsidR="008B3345" w:rsidRPr="00834110" w:rsidRDefault="008B3345" w:rsidP="002F7821">
      <w:pPr>
        <w:jc w:val="both"/>
        <w:rPr>
          <w:lang w:val="vi-VN"/>
        </w:rPr>
      </w:pPr>
      <w:r w:rsidRPr="008B3345">
        <w:t>Functionalism’s strength is operational clarity: it yields benchmarkable criteria that can be mapped across UK and Vietnamese texts. Its weakness is the linear inference that adoption of text implies convergence in governance</w:t>
      </w:r>
      <w:r w:rsidR="00834110">
        <w:rPr>
          <w:lang w:val="vi-VN"/>
        </w:rPr>
        <w:t xml:space="preserve">. </w:t>
      </w:r>
      <w:r w:rsidRPr="008B3345">
        <w:t>That inference is fragile where enforcement capacity is limited, supervisory mandates are dispersed, and assurance ecosystems are immature. In emerging markets, formal adoption can be easier than building the institutional machinery that makes adoption consequential</w:t>
      </w:r>
      <w:r w:rsidR="00834110">
        <w:rPr>
          <w:lang w:val="vi-VN"/>
        </w:rPr>
        <w:t xml:space="preserve"> </w:t>
      </w:r>
      <w:r w:rsidR="00834110">
        <w:rPr>
          <w:lang w:val="vi-VN"/>
        </w:rPr>
        <w:t>(</w:t>
      </w:r>
      <w:r w:rsidR="00834110">
        <w:rPr>
          <w:lang w:val="vi-VN"/>
        </w:rPr>
        <w:t xml:space="preserve">Aguilera et al., 2019; </w:t>
      </w:r>
      <w:r w:rsidR="00834110">
        <w:t>Jackson &amp; Deeg, 2019</w:t>
      </w:r>
      <w:r w:rsidR="00834110">
        <w:rPr>
          <w:lang w:val="vi-VN"/>
        </w:rPr>
        <w:t>)</w:t>
      </w:r>
      <w:r w:rsidR="00834110" w:rsidRPr="008B3345">
        <w:t>.</w:t>
      </w:r>
    </w:p>
    <w:p w14:paraId="0298CBEF" w14:textId="77777777" w:rsidR="00834110" w:rsidRPr="00834110" w:rsidRDefault="00834110" w:rsidP="002F7821">
      <w:pPr>
        <w:jc w:val="both"/>
        <w:rPr>
          <w:lang w:val="vi-VN"/>
        </w:rPr>
      </w:pPr>
    </w:p>
    <w:p w14:paraId="19456F67" w14:textId="62064BB6" w:rsidR="008B3345" w:rsidRDefault="008B3345" w:rsidP="002F7821">
      <w:pPr>
        <w:jc w:val="both"/>
        <w:rPr>
          <w:lang w:val="vi-VN"/>
        </w:rPr>
      </w:pPr>
      <w:r w:rsidRPr="008B3345">
        <w:t xml:space="preserve">Implication for the research problem (RQ1): a purely functionalist framing would collapse the Vietnam case into a template gap analysis against UK/ISSB expectations and treat divergence as “lag”. </w:t>
      </w:r>
      <w:r w:rsidR="00834110" w:rsidRPr="008B3345">
        <w:t>Those risks</w:t>
      </w:r>
      <w:r w:rsidRPr="008B3345">
        <w:t xml:space="preserve"> constructing an “alignment illusion” by letting text stand in for governance.</w:t>
      </w:r>
    </w:p>
    <w:p w14:paraId="72F1F785" w14:textId="77777777" w:rsidR="002F7821" w:rsidRPr="002F7821" w:rsidRDefault="002F7821" w:rsidP="002F7821">
      <w:pPr>
        <w:jc w:val="both"/>
        <w:rPr>
          <w:lang w:val="vi-VN"/>
        </w:rPr>
      </w:pPr>
    </w:p>
    <w:p w14:paraId="17CF7153" w14:textId="77777777" w:rsidR="008B3345" w:rsidRPr="008B3345" w:rsidRDefault="008B3345" w:rsidP="002F7821">
      <w:pPr>
        <w:jc w:val="both"/>
      </w:pPr>
      <w:r w:rsidRPr="008B3345">
        <w:rPr>
          <w:b/>
          <w:bCs/>
        </w:rPr>
        <w:t>3.1.2 The institutional view:</w:t>
      </w:r>
      <w:r w:rsidRPr="008B3345">
        <w:t xml:space="preserve"> alignment as legitimacy, strategic isomorphism, and decoupling</w:t>
      </w:r>
    </w:p>
    <w:p w14:paraId="0C3B4BC1" w14:textId="58B27452" w:rsidR="008B3345" w:rsidRPr="00834110" w:rsidRDefault="008B3345" w:rsidP="002F7821">
      <w:pPr>
        <w:jc w:val="both"/>
        <w:rPr>
          <w:lang w:val="vi-VN"/>
        </w:rPr>
      </w:pPr>
      <w:r w:rsidRPr="008B3345">
        <w:t>Neo-institutional theory begins from a different causal story: adoption is frequently driven by legitimacy pressures under uncertainty rather than technical efficiency</w:t>
      </w:r>
      <w:r w:rsidR="00834110">
        <w:rPr>
          <w:lang w:val="vi-VN"/>
        </w:rPr>
        <w:t xml:space="preserve">. </w:t>
      </w:r>
      <w:r w:rsidRPr="008B3345">
        <w:t>Bromley and Powell (2012) formalise how formal structures can be decoupled from practice: policies are adopted to satisfy external audiences while internal routines change little. In ESG, this logic underpins accounts of “strategic isomorphism”, where conformity is performed to secure legitimacy and resources</w:t>
      </w:r>
      <w:r w:rsidR="00834110">
        <w:rPr>
          <w:lang w:val="vi-VN"/>
        </w:rPr>
        <w:t xml:space="preserve"> </w:t>
      </w:r>
      <w:r w:rsidR="00834110" w:rsidRPr="00834110">
        <w:t>(Maroun, 2020)</w:t>
      </w:r>
      <w:r w:rsidR="00834110" w:rsidRPr="00834110">
        <w:rPr>
          <w:lang w:val="vi-VN"/>
        </w:rPr>
        <w:t>.</w:t>
      </w:r>
    </w:p>
    <w:p w14:paraId="776B2981" w14:textId="77777777" w:rsidR="00834110" w:rsidRPr="00834110" w:rsidRDefault="00834110" w:rsidP="002F7821">
      <w:pPr>
        <w:jc w:val="both"/>
        <w:rPr>
          <w:lang w:val="vi-VN"/>
        </w:rPr>
      </w:pPr>
    </w:p>
    <w:p w14:paraId="59D5F358" w14:textId="1777E84A" w:rsidR="008B3345" w:rsidRDefault="008B3345" w:rsidP="002F7821">
      <w:pPr>
        <w:jc w:val="both"/>
        <w:rPr>
          <w:lang w:val="vi-VN"/>
        </w:rPr>
      </w:pPr>
      <w:r w:rsidRPr="008B3345">
        <w:t>For Vietnam, institutional scholarship highlights three channels of isomorphism that can generate high textual similarity without commensurate implementation</w:t>
      </w:r>
      <w:r w:rsidR="00834110">
        <w:rPr>
          <w:lang w:val="vi-VN"/>
        </w:rPr>
        <w:t xml:space="preserve"> </w:t>
      </w:r>
      <w:r w:rsidR="00834110">
        <w:rPr>
          <w:lang w:val="vi-VN"/>
        </w:rPr>
        <w:t xml:space="preserve">(Maroun, </w:t>
      </w:r>
      <w:r w:rsidR="00834110">
        <w:t>202</w:t>
      </w:r>
      <w:r w:rsidR="00834110">
        <w:rPr>
          <w:lang w:val="vi-VN"/>
        </w:rPr>
        <w:t>0)</w:t>
      </w:r>
      <w:r w:rsidRPr="008B3345">
        <w:t xml:space="preserve">. </w:t>
      </w:r>
      <w:r w:rsidR="00834110">
        <w:t>First</w:t>
      </w:r>
      <w:r w:rsidR="00834110">
        <w:rPr>
          <w:lang w:val="vi-VN"/>
        </w:rPr>
        <w:t>, c</w:t>
      </w:r>
      <w:r w:rsidRPr="008B3345">
        <w:t xml:space="preserve">oercive isomorphism can arise through investor mandates and supply-chain requirements. </w:t>
      </w:r>
      <w:r w:rsidR="00834110">
        <w:t>Second</w:t>
      </w:r>
      <w:r w:rsidR="00834110">
        <w:rPr>
          <w:lang w:val="vi-VN"/>
        </w:rPr>
        <w:t xml:space="preserve">, </w:t>
      </w:r>
      <w:r w:rsidRPr="008B3345">
        <w:t>Mimetic isomorphism appears when firms copy “best-in-class” reports under uncertainty, producing similarity as a competence signal</w:t>
      </w:r>
      <w:r w:rsidR="00834110">
        <w:rPr>
          <w:lang w:val="vi-VN"/>
        </w:rPr>
        <w:t xml:space="preserve"> (</w:t>
      </w:r>
      <w:r w:rsidR="00834110">
        <w:t>Yu et al., 2020</w:t>
      </w:r>
      <w:r w:rsidR="00834110">
        <w:rPr>
          <w:lang w:val="vi-VN"/>
        </w:rPr>
        <w:t>)</w:t>
      </w:r>
      <w:r w:rsidRPr="008B3345">
        <w:t xml:space="preserve">. </w:t>
      </w:r>
      <w:r w:rsidR="00834110">
        <w:t>Third</w:t>
      </w:r>
      <w:r w:rsidR="00834110">
        <w:rPr>
          <w:lang w:val="vi-VN"/>
        </w:rPr>
        <w:t>, n</w:t>
      </w:r>
      <w:proofErr w:type="spellStart"/>
      <w:r w:rsidRPr="008B3345">
        <w:t>ormative</w:t>
      </w:r>
      <w:proofErr w:type="spellEnd"/>
      <w:r w:rsidRPr="008B3345">
        <w:t xml:space="preserve"> isomorphism spreads through consultants, auditors, and professional communities, standardising ESG language while masking functional gaps.</w:t>
      </w:r>
    </w:p>
    <w:p w14:paraId="37EEA5B4" w14:textId="77777777" w:rsidR="00834110" w:rsidRPr="00834110" w:rsidRDefault="00834110" w:rsidP="002F7821">
      <w:pPr>
        <w:jc w:val="both"/>
        <w:rPr>
          <w:lang w:val="vi-VN"/>
        </w:rPr>
      </w:pPr>
    </w:p>
    <w:p w14:paraId="7FE554B3" w14:textId="4F78ABE8" w:rsidR="008B3345" w:rsidRDefault="008B3345" w:rsidP="002F7821">
      <w:pPr>
        <w:jc w:val="both"/>
        <w:rPr>
          <w:lang w:val="vi-VN"/>
        </w:rPr>
      </w:pPr>
      <w:r w:rsidRPr="008B3345">
        <w:t>A common illustration is the publication of net-zero strategies or TCFD-shaped reports that closely resemble UK exemplars while the organisation lacks data infrastructure for Scope 3 accounting or credible transition planning (</w:t>
      </w:r>
      <w:r w:rsidR="00834110">
        <w:t>World</w:t>
      </w:r>
      <w:r w:rsidR="00834110">
        <w:rPr>
          <w:lang w:val="vi-VN"/>
        </w:rPr>
        <w:t xml:space="preserve"> Bank, 2022; </w:t>
      </w:r>
      <w:r w:rsidR="00834110">
        <w:t>IFC, 2021</w:t>
      </w:r>
      <w:r w:rsidRPr="008B3345">
        <w:t>). The point is not that imitation is inherently deceptive; it is that imitation is a predictable response when legitimacy is rewarded faster than capability can be built.</w:t>
      </w:r>
    </w:p>
    <w:p w14:paraId="17E1B3AB" w14:textId="77777777" w:rsidR="00834110" w:rsidRPr="00834110" w:rsidRDefault="00834110" w:rsidP="002F7821">
      <w:pPr>
        <w:jc w:val="both"/>
        <w:rPr>
          <w:lang w:val="vi-VN"/>
        </w:rPr>
      </w:pPr>
    </w:p>
    <w:p w14:paraId="1BEF6026" w14:textId="77777777" w:rsidR="008B3345" w:rsidRDefault="008B3345" w:rsidP="002F7821">
      <w:pPr>
        <w:jc w:val="both"/>
        <w:rPr>
          <w:lang w:val="vi-VN"/>
        </w:rPr>
      </w:pPr>
      <w:r w:rsidRPr="008B3345">
        <w:t xml:space="preserve">Vietnam-specific institutional accounts also emphasise state structure. Ortmann (2017) describes “fragmented authoritarianism”, where overlapping mandates across ministries create permissive conditions for selective compliance. This challenges any text-only alignment claim: </w:t>
      </w:r>
      <w:r w:rsidRPr="008B3345">
        <w:lastRenderedPageBreak/>
        <w:t>alignment can be performed through documentation even when enforcement is inconsistent, because coordination and supervisory capacity—not rule-writing—are the scarce resources.</w:t>
      </w:r>
    </w:p>
    <w:p w14:paraId="1796078F" w14:textId="77777777" w:rsidR="00834110" w:rsidRPr="00834110" w:rsidRDefault="00834110" w:rsidP="002F7821">
      <w:pPr>
        <w:jc w:val="both"/>
        <w:rPr>
          <w:lang w:val="vi-VN"/>
        </w:rPr>
      </w:pPr>
    </w:p>
    <w:p w14:paraId="494854B7" w14:textId="2E6BB3D9" w:rsidR="008B3345" w:rsidRDefault="008B3345" w:rsidP="002F7821">
      <w:pPr>
        <w:jc w:val="both"/>
        <w:rPr>
          <w:lang w:val="vi-VN"/>
        </w:rPr>
      </w:pPr>
      <w:r w:rsidRPr="008B3345">
        <w:t>The institutional lens is strong because it foregrounds mechanisms that activate standards: policy capacity, coordination, assurance, and incentive structures. Its weakness is the risk of over-correction: decoupling can become an assumed endpoint rather than a bounded empirical claim</w:t>
      </w:r>
      <w:r w:rsidR="00834110">
        <w:rPr>
          <w:lang w:val="vi-VN"/>
        </w:rPr>
        <w:t xml:space="preserve"> (</w:t>
      </w:r>
      <w:r w:rsidR="00834110">
        <w:t>Kantorowicz &amp; Reznichenko, 202</w:t>
      </w:r>
      <w:r w:rsidR="00834110">
        <w:rPr>
          <w:lang w:val="vi-VN"/>
        </w:rPr>
        <w:t>1)</w:t>
      </w:r>
      <w:r w:rsidRPr="008B3345">
        <w:t>.</w:t>
      </w:r>
    </w:p>
    <w:p w14:paraId="07FB07CD" w14:textId="77777777" w:rsidR="00834110" w:rsidRPr="00834110" w:rsidRDefault="00834110" w:rsidP="002F7821">
      <w:pPr>
        <w:jc w:val="both"/>
        <w:rPr>
          <w:lang w:val="vi-VN"/>
        </w:rPr>
      </w:pPr>
    </w:p>
    <w:p w14:paraId="76E6D22F" w14:textId="77777777" w:rsidR="008B3345" w:rsidRDefault="008B3345" w:rsidP="002F7821">
      <w:pPr>
        <w:jc w:val="both"/>
        <w:rPr>
          <w:lang w:val="vi-VN"/>
        </w:rPr>
      </w:pPr>
      <w:r w:rsidRPr="008B3345">
        <w:t>Implication for the research problem (RQ1): an institutional framing prevents the study from equating document similarity with governance similarity. It requires the analysis to explain how policy capacity and fragmentation mediate the adoption–implementation relationship.</w:t>
      </w:r>
    </w:p>
    <w:p w14:paraId="4B6E1845" w14:textId="77777777" w:rsidR="00834110" w:rsidRPr="00834110" w:rsidRDefault="00834110" w:rsidP="002F7821">
      <w:pPr>
        <w:jc w:val="both"/>
        <w:rPr>
          <w:lang w:val="vi-VN"/>
        </w:rPr>
      </w:pPr>
    </w:p>
    <w:p w14:paraId="101A4FE3" w14:textId="77777777" w:rsidR="008B3345" w:rsidRPr="008B3345" w:rsidRDefault="008B3345" w:rsidP="002F7821">
      <w:pPr>
        <w:jc w:val="both"/>
        <w:rPr>
          <w:b/>
          <w:bCs/>
        </w:rPr>
      </w:pPr>
      <w:r w:rsidRPr="008B3345">
        <w:rPr>
          <w:b/>
          <w:bCs/>
        </w:rPr>
        <w:t>3.1.3 Critical synthesis: the “alignment illusion” and the unresolved tension</w:t>
      </w:r>
    </w:p>
    <w:p w14:paraId="5C775FDA" w14:textId="60D08B0C" w:rsidR="008B3345" w:rsidRDefault="008B3345" w:rsidP="002F7821">
      <w:pPr>
        <w:jc w:val="both"/>
        <w:rPr>
          <w:lang w:val="vi-VN"/>
        </w:rPr>
      </w:pPr>
      <w:r w:rsidRPr="008B3345">
        <w:t xml:space="preserve">The contradiction between harmonisation and isomorphism produces a predictable failure mode: operationalising alignment through text and then concluding alignment in governance outcomes. This “alignment illusion” is amplified when computational techniques are used without a theory of institutions. NLP can quantify linguistic proximity and topic emphasis, but it cannot, on its own, warrant claims about enforcement routines or supervisory capability (Bender and Koller, 2020; </w:t>
      </w:r>
      <w:r w:rsidR="00834110">
        <w:t>D’Amour et al.</w:t>
      </w:r>
      <w:r w:rsidR="00834110">
        <w:rPr>
          <w:lang w:val="vi-VN"/>
        </w:rPr>
        <w:t xml:space="preserve">, </w:t>
      </w:r>
      <w:r w:rsidR="00834110">
        <w:t>2020</w:t>
      </w:r>
      <w:r w:rsidRPr="008B3345">
        <w:t>).</w:t>
      </w:r>
    </w:p>
    <w:p w14:paraId="3BACAA81" w14:textId="77777777" w:rsidR="00834110" w:rsidRPr="00834110" w:rsidRDefault="00834110" w:rsidP="002F7821">
      <w:pPr>
        <w:jc w:val="both"/>
        <w:rPr>
          <w:lang w:val="vi-VN"/>
        </w:rPr>
      </w:pPr>
    </w:p>
    <w:p w14:paraId="6AA5045C" w14:textId="77777777" w:rsidR="008B3345" w:rsidRDefault="008B3345" w:rsidP="002F7821">
      <w:pPr>
        <w:jc w:val="both"/>
        <w:rPr>
          <w:lang w:val="vi-VN"/>
        </w:rPr>
      </w:pPr>
      <w:r w:rsidRPr="008B3345">
        <w:t>Agency Theory also shows why portability cannot be assumed. Its principal–agent story presumes dispersed principals and strong market discipline; in Vietnam, state ownership and relational governance can reshape disclosure incentives. Institutional theory explains performance and decoupling, but it must specify boundary conditions for substantive upgrading. A mechanism-aware hybrid approach is therefore required: treat text-based convergence as an empirical signal, then explain it via capacity, coordination, and incentive mechanisms.</w:t>
      </w:r>
    </w:p>
    <w:p w14:paraId="653ECC64" w14:textId="77777777" w:rsidR="00834110" w:rsidRPr="00834110" w:rsidRDefault="00834110" w:rsidP="002F7821">
      <w:pPr>
        <w:jc w:val="both"/>
        <w:rPr>
          <w:lang w:val="vi-VN"/>
        </w:rPr>
      </w:pPr>
    </w:p>
    <w:p w14:paraId="57A53947" w14:textId="77777777" w:rsidR="008B3345" w:rsidRPr="008B3345" w:rsidRDefault="008B3345" w:rsidP="002F7821">
      <w:pPr>
        <w:jc w:val="both"/>
      </w:pPr>
      <w:r w:rsidRPr="008B3345">
        <w:t>Disciplined compare–contrast clarifies what each paradigm contributes:</w:t>
      </w:r>
    </w:p>
    <w:p w14:paraId="78933C4B" w14:textId="77777777" w:rsidR="008B3345" w:rsidRPr="008B3345" w:rsidRDefault="008B3345" w:rsidP="00834110">
      <w:pPr>
        <w:pStyle w:val="ListParagraph"/>
        <w:numPr>
          <w:ilvl w:val="0"/>
          <w:numId w:val="11"/>
        </w:numPr>
        <w:jc w:val="both"/>
      </w:pPr>
      <w:r w:rsidRPr="008B3345">
        <w:t>Functionalism highlights efficiency gains from comparability but risks over-inference from text.</w:t>
      </w:r>
    </w:p>
    <w:p w14:paraId="437D11D7" w14:textId="77777777" w:rsidR="008B3345" w:rsidRPr="008B3345" w:rsidRDefault="008B3345" w:rsidP="00834110">
      <w:pPr>
        <w:pStyle w:val="ListParagraph"/>
        <w:numPr>
          <w:ilvl w:val="0"/>
          <w:numId w:val="11"/>
        </w:numPr>
        <w:jc w:val="both"/>
      </w:pPr>
      <w:r w:rsidRPr="008B3345">
        <w:t>Institutionalism explains legitimacy-driven adoption and decoupling but risks treating capacity constraints as destiny.</w:t>
      </w:r>
    </w:p>
    <w:p w14:paraId="3022440A" w14:textId="77777777" w:rsidR="008B3345" w:rsidRPr="00834110" w:rsidRDefault="008B3345" w:rsidP="00834110">
      <w:pPr>
        <w:pStyle w:val="ListParagraph"/>
        <w:numPr>
          <w:ilvl w:val="0"/>
          <w:numId w:val="11"/>
        </w:numPr>
        <w:jc w:val="both"/>
        <w:rPr>
          <w:lang w:val="vi-VN"/>
        </w:rPr>
      </w:pPr>
      <w:r w:rsidRPr="008B3345">
        <w:t>Computational legal analysis scales comparison but risks flattening meaning and encouraging misplaced confidence in measurement.</w:t>
      </w:r>
    </w:p>
    <w:p w14:paraId="271193F2" w14:textId="77777777" w:rsidR="00834110" w:rsidRPr="00834110" w:rsidRDefault="00834110" w:rsidP="002F7821">
      <w:pPr>
        <w:jc w:val="both"/>
        <w:rPr>
          <w:lang w:val="vi-VN"/>
        </w:rPr>
      </w:pPr>
    </w:p>
    <w:p w14:paraId="2D9912CB" w14:textId="457EDA91" w:rsidR="008B3345" w:rsidRDefault="00834110" w:rsidP="002F7821">
      <w:pPr>
        <w:jc w:val="both"/>
        <w:rPr>
          <w:lang w:val="vi-VN"/>
        </w:rPr>
      </w:pPr>
      <w:r>
        <w:t>The</w:t>
      </w:r>
      <w:r>
        <w:rPr>
          <w:lang w:val="vi-VN"/>
        </w:rPr>
        <w:t xml:space="preserve"> u</w:t>
      </w:r>
      <w:r w:rsidR="008B3345" w:rsidRPr="008B3345">
        <w:t>nresolved tension</w:t>
      </w:r>
      <w:r>
        <w:rPr>
          <w:lang w:val="vi-VN"/>
        </w:rPr>
        <w:t xml:space="preserve"> is that</w:t>
      </w:r>
      <w:r w:rsidR="008B3345" w:rsidRPr="008B3345">
        <w:t xml:space="preserve"> global standardisation enables comparability and can intensify convergence pressures, yet it can also widen the space for strategic isomorphism and boilerplate reporting when enforcement and capacity do not keep pace</w:t>
      </w:r>
      <w:r>
        <w:rPr>
          <w:lang w:val="vi-VN"/>
        </w:rPr>
        <w:t xml:space="preserve"> (</w:t>
      </w:r>
      <w:r>
        <w:t xml:space="preserve">Berg, Koelbel &amp; </w:t>
      </w:r>
      <w:proofErr w:type="spellStart"/>
      <w:r>
        <w:t>Rigobon</w:t>
      </w:r>
      <w:proofErr w:type="spellEnd"/>
      <w:r>
        <w:rPr>
          <w:lang w:val="vi-VN"/>
        </w:rPr>
        <w:t>, 2019)</w:t>
      </w:r>
      <w:r w:rsidR="008B3345" w:rsidRPr="008B3345">
        <w:t>. The literature has not produced a UK–Vietnam-specific framework that reconciles these forces while using AI/NLP without collapsing measurement into explanation.</w:t>
      </w:r>
    </w:p>
    <w:p w14:paraId="1940F62F" w14:textId="77777777" w:rsidR="00834110" w:rsidRPr="00834110" w:rsidRDefault="00834110" w:rsidP="002F7821">
      <w:pPr>
        <w:jc w:val="both"/>
        <w:rPr>
          <w:lang w:val="vi-VN"/>
        </w:rPr>
      </w:pPr>
    </w:p>
    <w:p w14:paraId="6472C372" w14:textId="77777777" w:rsidR="008B3345" w:rsidRPr="008B3345" w:rsidRDefault="008B3345" w:rsidP="002F7821">
      <w:pPr>
        <w:jc w:val="both"/>
      </w:pPr>
      <w:r w:rsidRPr="008B3345">
        <w:t>Implication for the research problem (closing Theme 1): RQ1 requires an approach that measures textual convergence without mistaking it for functional convergence. This justifies positioning AI/NLP as pattern detection within a broader institutional explanation of capacity, fragmentation, and legitimacy incentives, and it sets the inferential discipline that Themes 2–4 must follow.</w:t>
      </w:r>
    </w:p>
    <w:p w14:paraId="004F88D6" w14:textId="77777777" w:rsidR="008B3345" w:rsidRDefault="008B3345" w:rsidP="002F7821">
      <w:pPr>
        <w:pStyle w:val="NormalWeb"/>
        <w:jc w:val="both"/>
        <w:rPr>
          <w:color w:val="000000" w:themeColor="text1"/>
          <w:lang w:val="vi-VN"/>
        </w:rPr>
      </w:pPr>
    </w:p>
    <w:p w14:paraId="0ADB6CC4" w14:textId="77777777" w:rsidR="008B3345" w:rsidRDefault="008B3345" w:rsidP="002F7821">
      <w:pPr>
        <w:pStyle w:val="NormalWeb"/>
        <w:jc w:val="both"/>
        <w:rPr>
          <w:color w:val="000000" w:themeColor="text1"/>
          <w:lang w:val="vi-VN"/>
        </w:rPr>
      </w:pPr>
    </w:p>
    <w:p w14:paraId="51862C41" w14:textId="77777777" w:rsidR="008B3345" w:rsidRDefault="008B3345" w:rsidP="002F7821">
      <w:pPr>
        <w:pStyle w:val="NormalWeb"/>
        <w:jc w:val="both"/>
        <w:rPr>
          <w:color w:val="000000" w:themeColor="text1"/>
          <w:lang w:val="vi-VN"/>
        </w:rPr>
      </w:pPr>
    </w:p>
    <w:p w14:paraId="3499B7E5" w14:textId="77777777" w:rsidR="008B3345" w:rsidRDefault="008B3345" w:rsidP="002F7821">
      <w:pPr>
        <w:pStyle w:val="NormalWeb"/>
        <w:jc w:val="both"/>
        <w:rPr>
          <w:color w:val="000000" w:themeColor="text1"/>
          <w:lang w:val="vi-VN"/>
        </w:rPr>
      </w:pPr>
    </w:p>
    <w:p w14:paraId="4D47539D" w14:textId="77777777" w:rsidR="008B3345" w:rsidRDefault="008B3345" w:rsidP="002F7821">
      <w:pPr>
        <w:pStyle w:val="NormalWeb"/>
        <w:jc w:val="both"/>
        <w:rPr>
          <w:color w:val="000000" w:themeColor="text1"/>
          <w:lang w:val="vi-VN"/>
        </w:rPr>
      </w:pPr>
    </w:p>
    <w:p w14:paraId="1F0C3823" w14:textId="77777777" w:rsidR="008B3345" w:rsidRDefault="008B3345" w:rsidP="002F7821">
      <w:pPr>
        <w:pStyle w:val="NormalWeb"/>
        <w:jc w:val="both"/>
        <w:rPr>
          <w:color w:val="000000" w:themeColor="text1"/>
          <w:lang w:val="vi-VN"/>
        </w:rPr>
      </w:pPr>
    </w:p>
    <w:p w14:paraId="4A917329" w14:textId="77777777" w:rsidR="008B3345" w:rsidRDefault="008B3345" w:rsidP="002F7821">
      <w:pPr>
        <w:pStyle w:val="NormalWeb"/>
        <w:jc w:val="both"/>
        <w:rPr>
          <w:color w:val="000000" w:themeColor="text1"/>
          <w:lang w:val="vi-VN"/>
        </w:rPr>
      </w:pPr>
    </w:p>
    <w:p w14:paraId="7CACDCAD" w14:textId="77777777" w:rsidR="008B3345" w:rsidRDefault="008B3345" w:rsidP="002F7821">
      <w:pPr>
        <w:pStyle w:val="NormalWeb"/>
        <w:jc w:val="both"/>
        <w:rPr>
          <w:color w:val="000000" w:themeColor="text1"/>
          <w:lang w:val="vi-VN"/>
        </w:rPr>
      </w:pPr>
    </w:p>
    <w:p w14:paraId="61EDC2DA" w14:textId="77777777" w:rsidR="008B3345" w:rsidRDefault="008B3345" w:rsidP="002F7821">
      <w:pPr>
        <w:pStyle w:val="NormalWeb"/>
        <w:jc w:val="both"/>
        <w:rPr>
          <w:color w:val="000000" w:themeColor="text1"/>
          <w:lang w:val="vi-VN"/>
        </w:rPr>
      </w:pPr>
    </w:p>
    <w:p w14:paraId="695EC9DB" w14:textId="77777777" w:rsidR="008B3345" w:rsidRDefault="008B3345" w:rsidP="002F7821">
      <w:pPr>
        <w:pStyle w:val="NormalWeb"/>
        <w:jc w:val="both"/>
        <w:rPr>
          <w:color w:val="000000" w:themeColor="text1"/>
          <w:lang w:val="vi-VN"/>
        </w:rPr>
      </w:pPr>
    </w:p>
    <w:p w14:paraId="74C28737" w14:textId="77777777" w:rsidR="008B3345" w:rsidRDefault="008B3345" w:rsidP="002F7821">
      <w:pPr>
        <w:pStyle w:val="NormalWeb"/>
        <w:jc w:val="both"/>
        <w:rPr>
          <w:color w:val="000000" w:themeColor="text1"/>
          <w:lang w:val="vi-VN"/>
        </w:rPr>
      </w:pPr>
    </w:p>
    <w:p w14:paraId="1BE7E784" w14:textId="77777777" w:rsidR="008B3345" w:rsidRDefault="008B3345" w:rsidP="002F7821">
      <w:pPr>
        <w:pStyle w:val="NormalWeb"/>
        <w:jc w:val="both"/>
        <w:rPr>
          <w:color w:val="000000" w:themeColor="text1"/>
          <w:lang w:val="vi-VN"/>
        </w:rPr>
      </w:pPr>
    </w:p>
    <w:p w14:paraId="3F33027D" w14:textId="77777777" w:rsidR="008B3345" w:rsidRDefault="008B3345" w:rsidP="002F7821">
      <w:pPr>
        <w:pStyle w:val="NormalWeb"/>
        <w:jc w:val="both"/>
        <w:rPr>
          <w:color w:val="000000" w:themeColor="text1"/>
          <w:lang w:val="vi-VN"/>
        </w:rPr>
      </w:pPr>
    </w:p>
    <w:p w14:paraId="695F9100" w14:textId="77777777" w:rsidR="008B3345" w:rsidRDefault="008B3345" w:rsidP="002F7821">
      <w:pPr>
        <w:pStyle w:val="NormalWeb"/>
        <w:jc w:val="both"/>
        <w:rPr>
          <w:color w:val="000000" w:themeColor="text1"/>
          <w:lang w:val="vi-VN"/>
        </w:rPr>
      </w:pPr>
    </w:p>
    <w:p w14:paraId="5300B6CC" w14:textId="77777777" w:rsidR="008B3345" w:rsidRDefault="008B3345" w:rsidP="002F7821">
      <w:pPr>
        <w:pStyle w:val="NormalWeb"/>
        <w:jc w:val="both"/>
        <w:rPr>
          <w:color w:val="000000" w:themeColor="text1"/>
          <w:lang w:val="vi-VN"/>
        </w:rPr>
      </w:pPr>
    </w:p>
    <w:p w14:paraId="45E13C3E" w14:textId="77777777" w:rsidR="008B3345" w:rsidRDefault="008B3345" w:rsidP="002F7821">
      <w:pPr>
        <w:pStyle w:val="NormalWeb"/>
        <w:jc w:val="both"/>
        <w:rPr>
          <w:color w:val="000000" w:themeColor="text1"/>
          <w:lang w:val="vi-VN"/>
        </w:rPr>
      </w:pPr>
    </w:p>
    <w:p w14:paraId="24D8E606" w14:textId="77777777" w:rsidR="008B3345" w:rsidRDefault="008B3345" w:rsidP="002F7821">
      <w:pPr>
        <w:pStyle w:val="NormalWeb"/>
        <w:jc w:val="both"/>
        <w:rPr>
          <w:color w:val="000000" w:themeColor="text1"/>
          <w:lang w:val="vi-VN"/>
        </w:rPr>
      </w:pPr>
    </w:p>
    <w:p w14:paraId="1E4EA50D" w14:textId="77777777" w:rsidR="008B3345" w:rsidRDefault="008B3345" w:rsidP="002F7821">
      <w:pPr>
        <w:pStyle w:val="NormalWeb"/>
        <w:jc w:val="both"/>
        <w:rPr>
          <w:color w:val="000000" w:themeColor="text1"/>
          <w:lang w:val="vi-VN"/>
        </w:rPr>
      </w:pPr>
    </w:p>
    <w:p w14:paraId="134D892F" w14:textId="77777777" w:rsidR="008B3345" w:rsidRDefault="008B3345" w:rsidP="002F7821">
      <w:pPr>
        <w:pStyle w:val="NormalWeb"/>
        <w:jc w:val="both"/>
        <w:rPr>
          <w:color w:val="000000" w:themeColor="text1"/>
          <w:lang w:val="vi-VN"/>
        </w:rPr>
      </w:pPr>
    </w:p>
    <w:p w14:paraId="7E6A742A" w14:textId="77777777" w:rsidR="008B3345" w:rsidRDefault="008B3345" w:rsidP="002F7821">
      <w:pPr>
        <w:pStyle w:val="NormalWeb"/>
        <w:jc w:val="both"/>
        <w:rPr>
          <w:color w:val="000000" w:themeColor="text1"/>
          <w:lang w:val="vi-VN"/>
        </w:rPr>
      </w:pPr>
    </w:p>
    <w:p w14:paraId="3325977F" w14:textId="77777777" w:rsidR="008B3345" w:rsidRDefault="008B3345" w:rsidP="002F7821">
      <w:pPr>
        <w:pStyle w:val="NormalWeb"/>
        <w:jc w:val="both"/>
        <w:rPr>
          <w:color w:val="000000" w:themeColor="text1"/>
          <w:lang w:val="vi-VN"/>
        </w:rPr>
      </w:pPr>
    </w:p>
    <w:p w14:paraId="3FAD9CB6" w14:textId="77777777" w:rsidR="008B3345" w:rsidRDefault="008B3345" w:rsidP="002F7821">
      <w:pPr>
        <w:pStyle w:val="NormalWeb"/>
        <w:jc w:val="both"/>
        <w:rPr>
          <w:color w:val="000000" w:themeColor="text1"/>
          <w:lang w:val="vi-VN"/>
        </w:rPr>
      </w:pPr>
    </w:p>
    <w:p w14:paraId="7F21CD6B" w14:textId="77777777" w:rsidR="008B3345" w:rsidRDefault="008B3345" w:rsidP="002F7821">
      <w:pPr>
        <w:pStyle w:val="NormalWeb"/>
        <w:jc w:val="both"/>
        <w:rPr>
          <w:color w:val="000000" w:themeColor="text1"/>
          <w:lang w:val="vi-VN"/>
        </w:rPr>
      </w:pPr>
    </w:p>
    <w:p w14:paraId="7DE04F79" w14:textId="77777777" w:rsidR="008B3345" w:rsidRDefault="008B3345" w:rsidP="002F7821">
      <w:pPr>
        <w:pStyle w:val="NormalWeb"/>
        <w:jc w:val="both"/>
        <w:rPr>
          <w:color w:val="000000" w:themeColor="text1"/>
          <w:lang w:val="vi-VN"/>
        </w:rPr>
      </w:pPr>
    </w:p>
    <w:p w14:paraId="7275535E" w14:textId="77777777" w:rsidR="008B3345" w:rsidRDefault="008B3345" w:rsidP="002F7821">
      <w:pPr>
        <w:pStyle w:val="NormalWeb"/>
        <w:jc w:val="both"/>
        <w:rPr>
          <w:color w:val="000000" w:themeColor="text1"/>
          <w:lang w:val="vi-VN"/>
        </w:rPr>
      </w:pPr>
    </w:p>
    <w:p w14:paraId="366573DA" w14:textId="4E26491D" w:rsidR="00834110" w:rsidRPr="00834110" w:rsidRDefault="00834110" w:rsidP="00834110">
      <w:pPr>
        <w:rPr>
          <w:lang w:val="vi-VN"/>
        </w:rPr>
      </w:pPr>
    </w:p>
    <w:p w14:paraId="6D1A3BB3" w14:textId="77777777" w:rsidR="00834110" w:rsidRDefault="00834110" w:rsidP="00834110">
      <w:pPr>
        <w:pStyle w:val="Heading3"/>
      </w:pPr>
      <w:r>
        <w:lastRenderedPageBreak/>
        <w:t>Reference List</w:t>
      </w:r>
    </w:p>
    <w:p w14:paraId="452367C4" w14:textId="77777777" w:rsidR="00834110" w:rsidRPr="00834110" w:rsidRDefault="00834110" w:rsidP="00834110">
      <w:pPr>
        <w:spacing w:before="100" w:beforeAutospacing="1" w:after="100" w:afterAutospacing="1"/>
      </w:pPr>
      <w:r w:rsidRPr="00834110">
        <w:t xml:space="preserve">Adams, C. A., &amp; </w:t>
      </w:r>
      <w:proofErr w:type="spellStart"/>
      <w:r w:rsidRPr="00834110">
        <w:t>Abhayawansa</w:t>
      </w:r>
      <w:proofErr w:type="spellEnd"/>
      <w:r w:rsidRPr="00834110">
        <w:t xml:space="preserve">, S. (2022). Connecting the dots: The future of corporate reporting. </w:t>
      </w:r>
      <w:r w:rsidRPr="00834110">
        <w:rPr>
          <w:i/>
          <w:iCs/>
        </w:rPr>
        <w:t>Sustainability Accounting, Management and Policy Journal</w:t>
      </w:r>
      <w:r w:rsidRPr="00834110">
        <w:t xml:space="preserve">, </w:t>
      </w:r>
      <w:r w:rsidRPr="00834110">
        <w:rPr>
          <w:i/>
          <w:iCs/>
        </w:rPr>
        <w:t>13</w:t>
      </w:r>
      <w:r w:rsidRPr="00834110">
        <w:t xml:space="preserve">(2), 360–385. </w:t>
      </w:r>
      <w:hyperlink r:id="rId13" w:tgtFrame="_blank" w:history="1">
        <w:r w:rsidRPr="00834110">
          <w:rPr>
            <w:color w:val="0000FF"/>
            <w:u w:val="single"/>
          </w:rPr>
          <w:t>https://doi.org/10.1108/SAMPJ-10-2021-0436</w:t>
        </w:r>
      </w:hyperlink>
    </w:p>
    <w:p w14:paraId="7A50B5A6" w14:textId="77777777" w:rsidR="00834110" w:rsidRPr="00834110" w:rsidRDefault="00834110" w:rsidP="00834110">
      <w:pPr>
        <w:spacing w:before="100" w:beforeAutospacing="1" w:after="100" w:afterAutospacing="1"/>
      </w:pPr>
      <w:r w:rsidRPr="00834110">
        <w:t xml:space="preserve">ADB. (2021). </w:t>
      </w:r>
      <w:r w:rsidRPr="00834110">
        <w:rPr>
          <w:i/>
          <w:iCs/>
        </w:rPr>
        <w:t>Green finance in Vietnam: Barriers and solutions</w:t>
      </w:r>
      <w:r w:rsidRPr="00834110">
        <w:t xml:space="preserve">. Asian Development Bank. </w:t>
      </w:r>
      <w:hyperlink r:id="rId14" w:tgtFrame="_blank" w:history="1">
        <w:r w:rsidRPr="00834110">
          <w:rPr>
            <w:color w:val="0000FF"/>
            <w:u w:val="single"/>
          </w:rPr>
          <w:t>https://www.adb.org/publications/green-finance-viet-nam-barriers-solutions</w:t>
        </w:r>
      </w:hyperlink>
    </w:p>
    <w:p w14:paraId="05558D48" w14:textId="77777777" w:rsidR="00834110" w:rsidRPr="00834110" w:rsidRDefault="00834110" w:rsidP="00834110">
      <w:pPr>
        <w:spacing w:before="100" w:beforeAutospacing="1" w:after="100" w:afterAutospacing="1"/>
      </w:pPr>
      <w:r w:rsidRPr="00834110">
        <w:t xml:space="preserve">Aguilera, R. V., Marano, V., &amp; Haxhi, I. (2019). International corporate governance: A review and opportunities for future research. </w:t>
      </w:r>
      <w:r w:rsidRPr="00834110">
        <w:rPr>
          <w:i/>
          <w:iCs/>
        </w:rPr>
        <w:t>Journal of International Business Studies</w:t>
      </w:r>
      <w:r w:rsidRPr="00834110">
        <w:t xml:space="preserve">, </w:t>
      </w:r>
      <w:r w:rsidRPr="00834110">
        <w:rPr>
          <w:i/>
          <w:iCs/>
        </w:rPr>
        <w:t>50</w:t>
      </w:r>
      <w:r w:rsidRPr="00834110">
        <w:t xml:space="preserve">, 457–498. </w:t>
      </w:r>
      <w:hyperlink r:id="rId15" w:tgtFrame="_blank" w:history="1">
        <w:r w:rsidRPr="00834110">
          <w:rPr>
            <w:color w:val="0000FF"/>
            <w:u w:val="single"/>
          </w:rPr>
          <w:t>https://doi.org/10.1057/s41267-019-00232-w</w:t>
        </w:r>
      </w:hyperlink>
    </w:p>
    <w:p w14:paraId="3E19ACE4" w14:textId="77777777" w:rsidR="00834110" w:rsidRPr="00834110" w:rsidRDefault="00834110" w:rsidP="00834110">
      <w:pPr>
        <w:spacing w:before="100" w:beforeAutospacing="1" w:after="100" w:afterAutospacing="1"/>
      </w:pPr>
      <w:r w:rsidRPr="00834110">
        <w:t xml:space="preserve">Ali, M. J. (2023). Critical reflections on the International Sustainability Standards Board (ISSB) and sustainability reporting. </w:t>
      </w:r>
      <w:r w:rsidRPr="00834110">
        <w:rPr>
          <w:i/>
          <w:iCs/>
        </w:rPr>
        <w:t>Sustainability Accounting, Management and Policy Journal</w:t>
      </w:r>
      <w:r w:rsidRPr="00834110">
        <w:t xml:space="preserve">, </w:t>
      </w:r>
      <w:r w:rsidRPr="00834110">
        <w:rPr>
          <w:i/>
          <w:iCs/>
        </w:rPr>
        <w:t>14</w:t>
      </w:r>
      <w:r w:rsidRPr="00834110">
        <w:t xml:space="preserve">(6), 1290–1314. </w:t>
      </w:r>
      <w:hyperlink r:id="rId16" w:tgtFrame="_blank" w:history="1">
        <w:r w:rsidRPr="00834110">
          <w:rPr>
            <w:color w:val="0000FF"/>
            <w:u w:val="single"/>
          </w:rPr>
          <w:t>https://doi.org/10.1108/SAMPJ-02-2023-0095</w:t>
        </w:r>
      </w:hyperlink>
    </w:p>
    <w:p w14:paraId="7A0A8755" w14:textId="77777777" w:rsidR="00834110" w:rsidRPr="00834110" w:rsidRDefault="00834110" w:rsidP="00834110">
      <w:pPr>
        <w:spacing w:before="100" w:beforeAutospacing="1" w:after="100" w:afterAutospacing="1"/>
      </w:pPr>
      <w:r w:rsidRPr="00834110">
        <w:t xml:space="preserve">Amano, T., González-Varo, J. P., &amp; Sutherland, W. J. (2021). Languages are still a major barrier to global science. </w:t>
      </w:r>
      <w:r w:rsidRPr="00834110">
        <w:rPr>
          <w:i/>
          <w:iCs/>
        </w:rPr>
        <w:t>PLOS Biology</w:t>
      </w:r>
      <w:r w:rsidRPr="00834110">
        <w:t xml:space="preserve">, </w:t>
      </w:r>
      <w:r w:rsidRPr="00834110">
        <w:rPr>
          <w:i/>
          <w:iCs/>
        </w:rPr>
        <w:t>19</w:t>
      </w:r>
      <w:r w:rsidRPr="00834110">
        <w:t xml:space="preserve">(12), Article e3001293. </w:t>
      </w:r>
      <w:hyperlink r:id="rId17" w:tgtFrame="_blank" w:history="1">
        <w:r w:rsidRPr="00834110">
          <w:rPr>
            <w:color w:val="0000FF"/>
            <w:u w:val="single"/>
          </w:rPr>
          <w:t>https://doi.org/10.1371/journal.pbio.3001293</w:t>
        </w:r>
      </w:hyperlink>
    </w:p>
    <w:p w14:paraId="00F6C64A" w14:textId="77777777" w:rsidR="00834110" w:rsidRPr="00834110" w:rsidRDefault="00834110" w:rsidP="00834110">
      <w:pPr>
        <w:spacing w:before="100" w:beforeAutospacing="1" w:after="100" w:afterAutospacing="1"/>
      </w:pPr>
      <w:r w:rsidRPr="00834110">
        <w:t xml:space="preserve">Bender, E. M., &amp; Koller, A. (2020). Climbing towards NLU: On meaning, form, and understanding in the age of data. </w:t>
      </w:r>
      <w:r w:rsidRPr="00834110">
        <w:rPr>
          <w:i/>
          <w:iCs/>
        </w:rPr>
        <w:t>Proceedings of the 58th Annual Meeting of the Association for Computational Linguistics</w:t>
      </w:r>
      <w:r w:rsidRPr="00834110">
        <w:t xml:space="preserve">, 5185–5198. </w:t>
      </w:r>
      <w:hyperlink r:id="rId18" w:tgtFrame="_blank" w:history="1">
        <w:r w:rsidRPr="00834110">
          <w:rPr>
            <w:color w:val="0000FF"/>
            <w:u w:val="single"/>
          </w:rPr>
          <w:t>https://doi.org/10.18653/v1/2020.acl-main.463</w:t>
        </w:r>
      </w:hyperlink>
    </w:p>
    <w:p w14:paraId="1621A27B" w14:textId="77777777" w:rsidR="00834110" w:rsidRPr="00834110" w:rsidRDefault="00834110" w:rsidP="00834110">
      <w:pPr>
        <w:spacing w:before="100" w:beforeAutospacing="1" w:after="100" w:afterAutospacing="1"/>
      </w:pPr>
      <w:r w:rsidRPr="00834110">
        <w:t xml:space="preserve">Berg, F., Kölbel, J. F., &amp; </w:t>
      </w:r>
      <w:proofErr w:type="spellStart"/>
      <w:r w:rsidRPr="00834110">
        <w:t>Rigobon</w:t>
      </w:r>
      <w:proofErr w:type="spellEnd"/>
      <w:r w:rsidRPr="00834110">
        <w:t xml:space="preserve">, R. (2022). Aggregate confusion: The divergence of ESG ratings. </w:t>
      </w:r>
      <w:r w:rsidRPr="00834110">
        <w:rPr>
          <w:i/>
          <w:iCs/>
        </w:rPr>
        <w:t>Review of Finance</w:t>
      </w:r>
      <w:r w:rsidRPr="00834110">
        <w:t xml:space="preserve">, </w:t>
      </w:r>
      <w:r w:rsidRPr="00834110">
        <w:rPr>
          <w:i/>
          <w:iCs/>
        </w:rPr>
        <w:t>26</w:t>
      </w:r>
      <w:r w:rsidRPr="00834110">
        <w:t xml:space="preserve">(6), 1315–1344. </w:t>
      </w:r>
      <w:hyperlink r:id="rId19" w:tgtFrame="_blank" w:history="1">
        <w:r w:rsidRPr="00834110">
          <w:rPr>
            <w:color w:val="0000FF"/>
            <w:u w:val="single"/>
          </w:rPr>
          <w:t>https://doi.org/10.1093/rof/rfac033</w:t>
        </w:r>
      </w:hyperlink>
    </w:p>
    <w:p w14:paraId="236318DC" w14:textId="77777777" w:rsidR="00834110" w:rsidRPr="00834110" w:rsidRDefault="00834110" w:rsidP="00834110">
      <w:pPr>
        <w:spacing w:before="100" w:beforeAutospacing="1" w:after="100" w:afterAutospacing="1"/>
      </w:pPr>
      <w:r w:rsidRPr="00834110">
        <w:t xml:space="preserve">Best, J. (2019). </w:t>
      </w:r>
      <w:r w:rsidRPr="00834110">
        <w:rPr>
          <w:i/>
          <w:iCs/>
        </w:rPr>
        <w:t>The rise of measurement in global governance</w:t>
      </w:r>
      <w:r w:rsidRPr="00834110">
        <w:t>. Cambridge University Press.</w:t>
      </w:r>
    </w:p>
    <w:p w14:paraId="2BBD7C8A" w14:textId="77777777" w:rsidR="00834110" w:rsidRPr="00834110" w:rsidRDefault="00834110" w:rsidP="00834110">
      <w:pPr>
        <w:spacing w:before="100" w:beforeAutospacing="1" w:after="100" w:afterAutospacing="1"/>
      </w:pPr>
      <w:r w:rsidRPr="00834110">
        <w:t xml:space="preserve">Bommasani, R., Hudson, D. A., Adeli, E., Altman, R., Arora, S., von Arx, S., ... &amp; Liang, P. (2021). </w:t>
      </w:r>
      <w:r w:rsidRPr="00834110">
        <w:rPr>
          <w:i/>
          <w:iCs/>
        </w:rPr>
        <w:t>On the opportunities and risks of foundation models</w:t>
      </w:r>
      <w:r w:rsidRPr="00834110">
        <w:t xml:space="preserve">. </w:t>
      </w:r>
      <w:proofErr w:type="spellStart"/>
      <w:r w:rsidRPr="00834110">
        <w:t>arXiv</w:t>
      </w:r>
      <w:proofErr w:type="spellEnd"/>
      <w:r w:rsidRPr="00834110">
        <w:t xml:space="preserve">. </w:t>
      </w:r>
      <w:hyperlink r:id="rId20" w:tgtFrame="_blank" w:history="1">
        <w:r w:rsidRPr="00834110">
          <w:rPr>
            <w:color w:val="0000FF"/>
            <w:u w:val="single"/>
          </w:rPr>
          <w:t>https://doi.org/10.48550/arXiv.2108.07258</w:t>
        </w:r>
      </w:hyperlink>
    </w:p>
    <w:p w14:paraId="1F5F7657" w14:textId="77777777" w:rsidR="00834110" w:rsidRPr="00834110" w:rsidRDefault="00834110" w:rsidP="00834110">
      <w:pPr>
        <w:spacing w:before="100" w:beforeAutospacing="1" w:after="100" w:afterAutospacing="1"/>
      </w:pPr>
      <w:r w:rsidRPr="00834110">
        <w:t xml:space="preserve">Bromley, P., &amp; Powell, W. W. (2012). From smoke and mirrors to walking the talk: Decoupling in the contemporary world. </w:t>
      </w:r>
      <w:r w:rsidRPr="00834110">
        <w:rPr>
          <w:i/>
          <w:iCs/>
        </w:rPr>
        <w:t>Academy of Management Annals</w:t>
      </w:r>
      <w:r w:rsidRPr="00834110">
        <w:t xml:space="preserve">, </w:t>
      </w:r>
      <w:r w:rsidRPr="00834110">
        <w:rPr>
          <w:i/>
          <w:iCs/>
        </w:rPr>
        <w:t>6</w:t>
      </w:r>
      <w:r w:rsidRPr="00834110">
        <w:t xml:space="preserve">(1), 483–530. </w:t>
      </w:r>
      <w:hyperlink r:id="rId21" w:tgtFrame="_blank" w:history="1">
        <w:r w:rsidRPr="00834110">
          <w:rPr>
            <w:color w:val="0000FF"/>
            <w:u w:val="single"/>
          </w:rPr>
          <w:t>https://doi.org/10.5465/19416520.2012.684462</w:t>
        </w:r>
      </w:hyperlink>
    </w:p>
    <w:p w14:paraId="2C4BAC47" w14:textId="77777777" w:rsidR="00834110" w:rsidRPr="00834110" w:rsidRDefault="00834110" w:rsidP="00834110">
      <w:pPr>
        <w:spacing w:before="100" w:beforeAutospacing="1" w:after="100" w:afterAutospacing="1"/>
      </w:pPr>
      <w:r w:rsidRPr="00834110">
        <w:t xml:space="preserve">Chowdhury, S., Gonzalez, K., Aytekin, M. C. K., Baek, S.-Y., </w:t>
      </w:r>
      <w:proofErr w:type="spellStart"/>
      <w:r w:rsidRPr="00834110">
        <w:t>Bełcik</w:t>
      </w:r>
      <w:proofErr w:type="spellEnd"/>
      <w:r w:rsidRPr="00834110">
        <w:t xml:space="preserve">, M., Bertolino, S., ... &amp; Amano, T. (2022). Growth of non-English-language literature on biodiversity conservation. </w:t>
      </w:r>
      <w:r w:rsidRPr="00834110">
        <w:rPr>
          <w:i/>
          <w:iCs/>
        </w:rPr>
        <w:t>Conservation Biology</w:t>
      </w:r>
      <w:r w:rsidRPr="00834110">
        <w:t xml:space="preserve">, </w:t>
      </w:r>
      <w:r w:rsidRPr="00834110">
        <w:rPr>
          <w:i/>
          <w:iCs/>
        </w:rPr>
        <w:t>36</w:t>
      </w:r>
      <w:r w:rsidRPr="00834110">
        <w:t xml:space="preserve">(4), Article e13883. </w:t>
      </w:r>
      <w:hyperlink r:id="rId22" w:tgtFrame="_blank" w:history="1">
        <w:r w:rsidRPr="00834110">
          <w:rPr>
            <w:color w:val="0000FF"/>
            <w:u w:val="single"/>
          </w:rPr>
          <w:t>https://doi.org/10.1111/cobi.13883</w:t>
        </w:r>
      </w:hyperlink>
    </w:p>
    <w:p w14:paraId="6E1CF89E" w14:textId="77777777" w:rsidR="00834110" w:rsidRPr="00834110" w:rsidRDefault="00834110" w:rsidP="00834110">
      <w:pPr>
        <w:spacing w:before="100" w:beforeAutospacing="1" w:after="100" w:afterAutospacing="1"/>
      </w:pPr>
      <w:r w:rsidRPr="00834110">
        <w:t xml:space="preserve">Christensen, H. B., Hail, L., &amp; </w:t>
      </w:r>
      <w:proofErr w:type="spellStart"/>
      <w:r w:rsidRPr="00834110">
        <w:t>Leuz</w:t>
      </w:r>
      <w:proofErr w:type="spellEnd"/>
      <w:r w:rsidRPr="00834110">
        <w:t xml:space="preserve">, C. (2021). Mandatory CSR reporting and its consequences. </w:t>
      </w:r>
      <w:r w:rsidRPr="00834110">
        <w:rPr>
          <w:i/>
          <w:iCs/>
        </w:rPr>
        <w:t>Review of Accounting Studies</w:t>
      </w:r>
      <w:r w:rsidRPr="00834110">
        <w:t xml:space="preserve">, </w:t>
      </w:r>
      <w:r w:rsidRPr="00834110">
        <w:rPr>
          <w:i/>
          <w:iCs/>
        </w:rPr>
        <w:t>26</w:t>
      </w:r>
      <w:r w:rsidRPr="00834110">
        <w:t xml:space="preserve">(4), 1176–1248. </w:t>
      </w:r>
      <w:hyperlink r:id="rId23" w:tgtFrame="_blank" w:history="1">
        <w:r w:rsidRPr="00834110">
          <w:rPr>
            <w:color w:val="0000FF"/>
            <w:u w:val="single"/>
          </w:rPr>
          <w:t>https://doi.org/10.1007/s11142-021-09609-5</w:t>
        </w:r>
      </w:hyperlink>
    </w:p>
    <w:p w14:paraId="687ABF44" w14:textId="77777777" w:rsidR="00834110" w:rsidRPr="00834110" w:rsidRDefault="00834110" w:rsidP="00834110">
      <w:pPr>
        <w:spacing w:before="100" w:beforeAutospacing="1" w:after="100" w:afterAutospacing="1"/>
      </w:pPr>
      <w:r w:rsidRPr="00834110">
        <w:t xml:space="preserve">D’Amour, A., Heller, K., Moldovan, D., Adlam, B., </w:t>
      </w:r>
      <w:proofErr w:type="spellStart"/>
      <w:r w:rsidRPr="00834110">
        <w:t>Alipanahi</w:t>
      </w:r>
      <w:proofErr w:type="spellEnd"/>
      <w:r w:rsidRPr="00834110">
        <w:t xml:space="preserve">, B., Beutel, A., ... &amp; Sculley, D. (2020). </w:t>
      </w:r>
      <w:proofErr w:type="spellStart"/>
      <w:r w:rsidRPr="00834110">
        <w:t>Underspecification</w:t>
      </w:r>
      <w:proofErr w:type="spellEnd"/>
      <w:r w:rsidRPr="00834110">
        <w:t xml:space="preserve"> presents challenges for credibility in modern machine learning. </w:t>
      </w:r>
      <w:r w:rsidRPr="00834110">
        <w:rPr>
          <w:i/>
          <w:iCs/>
        </w:rPr>
        <w:t>Journal of Machine Learning Research</w:t>
      </w:r>
      <w:r w:rsidRPr="00834110">
        <w:t xml:space="preserve">, </w:t>
      </w:r>
      <w:r w:rsidRPr="00834110">
        <w:rPr>
          <w:i/>
          <w:iCs/>
        </w:rPr>
        <w:t>21</w:t>
      </w:r>
      <w:r w:rsidRPr="00834110">
        <w:t>(239), 1–61.</w:t>
      </w:r>
    </w:p>
    <w:p w14:paraId="48089182" w14:textId="77777777" w:rsidR="00834110" w:rsidRPr="00834110" w:rsidRDefault="00834110" w:rsidP="00834110">
      <w:pPr>
        <w:spacing w:before="100" w:beforeAutospacing="1" w:after="100" w:afterAutospacing="1"/>
      </w:pPr>
      <w:r w:rsidRPr="00834110">
        <w:lastRenderedPageBreak/>
        <w:t xml:space="preserve">Department for International Trade. (2021). </w:t>
      </w:r>
      <w:r w:rsidRPr="00834110">
        <w:rPr>
          <w:i/>
          <w:iCs/>
        </w:rPr>
        <w:t>Green finance: A quantitative assessment of market trends</w:t>
      </w:r>
      <w:r w:rsidRPr="00834110">
        <w:t>. HM Government.</w:t>
      </w:r>
    </w:p>
    <w:p w14:paraId="0BC30118" w14:textId="77777777" w:rsidR="00834110" w:rsidRPr="00834110" w:rsidRDefault="00834110" w:rsidP="00834110">
      <w:pPr>
        <w:spacing w:before="100" w:beforeAutospacing="1" w:after="100" w:afterAutospacing="1"/>
      </w:pPr>
      <w:r w:rsidRPr="00834110">
        <w:t xml:space="preserve">Devlin, J., Chang, M.-W., Lee, K., &amp; Toutanova, K. (2019). BERT: Pre-training of deep bidirectional transformers for language understanding. </w:t>
      </w:r>
      <w:r w:rsidRPr="00834110">
        <w:rPr>
          <w:i/>
          <w:iCs/>
        </w:rPr>
        <w:t>Proceedings of the 2019 Conference of the North American Chapter of the Association for Computational Linguistics</w:t>
      </w:r>
      <w:r w:rsidRPr="00834110">
        <w:t xml:space="preserve">, 4171–4186. </w:t>
      </w:r>
      <w:hyperlink r:id="rId24" w:tgtFrame="_blank" w:history="1">
        <w:r w:rsidRPr="00834110">
          <w:rPr>
            <w:color w:val="0000FF"/>
            <w:u w:val="single"/>
          </w:rPr>
          <w:t>https://doi.org/10.18653/v1/N19-1423</w:t>
        </w:r>
      </w:hyperlink>
    </w:p>
    <w:p w14:paraId="530DB987" w14:textId="77777777" w:rsidR="00834110" w:rsidRPr="00834110" w:rsidRDefault="00834110" w:rsidP="00834110">
      <w:pPr>
        <w:spacing w:before="100" w:beforeAutospacing="1" w:after="100" w:afterAutospacing="1"/>
      </w:pPr>
      <w:proofErr w:type="spellStart"/>
      <w:r w:rsidRPr="00834110">
        <w:t>Dikau</w:t>
      </w:r>
      <w:proofErr w:type="spellEnd"/>
      <w:r w:rsidRPr="00834110">
        <w:t xml:space="preserve">, S., &amp; Volz, U. (2021). Central bank mandates, sustainability objectives and the promotion of green finance. </w:t>
      </w:r>
      <w:r w:rsidRPr="00834110">
        <w:rPr>
          <w:i/>
          <w:iCs/>
        </w:rPr>
        <w:t>Ecological Economics</w:t>
      </w:r>
      <w:r w:rsidRPr="00834110">
        <w:t xml:space="preserve">, </w:t>
      </w:r>
      <w:r w:rsidRPr="00834110">
        <w:rPr>
          <w:i/>
          <w:iCs/>
        </w:rPr>
        <w:t>184</w:t>
      </w:r>
      <w:r w:rsidRPr="00834110">
        <w:t xml:space="preserve">, Article 107022. </w:t>
      </w:r>
      <w:hyperlink r:id="rId25" w:tgtFrame="_blank" w:history="1">
        <w:r w:rsidRPr="00834110">
          <w:rPr>
            <w:color w:val="0000FF"/>
            <w:u w:val="single"/>
          </w:rPr>
          <w:t>https://doi.org/10.1016/j.ecolecon.2021.107022</w:t>
        </w:r>
      </w:hyperlink>
    </w:p>
    <w:p w14:paraId="509358A4" w14:textId="77777777" w:rsidR="00834110" w:rsidRPr="00834110" w:rsidRDefault="00834110" w:rsidP="00834110">
      <w:pPr>
        <w:spacing w:before="100" w:beforeAutospacing="1" w:after="100" w:afterAutospacing="1"/>
      </w:pPr>
      <w:r w:rsidRPr="00834110">
        <w:t xml:space="preserve">Eccles, R. G., Ioannou, I., &amp; Serafeim, G. (2014). The impact of corporate sustainability on organizational processes and performance. </w:t>
      </w:r>
      <w:r w:rsidRPr="00834110">
        <w:rPr>
          <w:i/>
          <w:iCs/>
        </w:rPr>
        <w:t>Management Science</w:t>
      </w:r>
      <w:r w:rsidRPr="00834110">
        <w:t xml:space="preserve">, </w:t>
      </w:r>
      <w:r w:rsidRPr="00834110">
        <w:rPr>
          <w:i/>
          <w:iCs/>
        </w:rPr>
        <w:t>60</w:t>
      </w:r>
      <w:r w:rsidRPr="00834110">
        <w:t xml:space="preserve">(11), 2835–2857. </w:t>
      </w:r>
      <w:hyperlink r:id="rId26" w:tgtFrame="_blank" w:history="1">
        <w:r w:rsidRPr="00834110">
          <w:rPr>
            <w:color w:val="0000FF"/>
            <w:u w:val="single"/>
          </w:rPr>
          <w:t>https://doi.org/10.1287/mnsc.2014.1984</w:t>
        </w:r>
      </w:hyperlink>
    </w:p>
    <w:p w14:paraId="3FBC7B4C" w14:textId="77777777" w:rsidR="00834110" w:rsidRPr="00834110" w:rsidRDefault="00834110" w:rsidP="00834110">
      <w:pPr>
        <w:spacing w:before="100" w:beforeAutospacing="1" w:after="100" w:afterAutospacing="1"/>
      </w:pPr>
      <w:r w:rsidRPr="00834110">
        <w:t xml:space="preserve">Frankel, R. (2025). </w:t>
      </w:r>
      <w:r w:rsidRPr="00834110">
        <w:rPr>
          <w:i/>
          <w:iCs/>
        </w:rPr>
        <w:t>The economics of ESG disclosure regulation</w:t>
      </w:r>
      <w:r w:rsidRPr="00834110">
        <w:t xml:space="preserve"> [Working paper]. SSRN. </w:t>
      </w:r>
      <w:hyperlink r:id="rId27" w:tgtFrame="_blank" w:history="1">
        <w:r w:rsidRPr="00834110">
          <w:rPr>
            <w:color w:val="0000FF"/>
            <w:u w:val="single"/>
          </w:rPr>
          <w:t>https://papers.ssrn.com/sol3/papers.cfm?abstract_id=5637490</w:t>
        </w:r>
      </w:hyperlink>
    </w:p>
    <w:p w14:paraId="3CD2E5C8" w14:textId="77777777" w:rsidR="00834110" w:rsidRPr="00834110" w:rsidRDefault="00834110" w:rsidP="00834110">
      <w:pPr>
        <w:spacing w:before="100" w:beforeAutospacing="1" w:after="100" w:afterAutospacing="1"/>
      </w:pPr>
      <w:r w:rsidRPr="00834110">
        <w:t xml:space="preserve">Frankenreiter, J., &amp; Livermore, M. A. (2020). Computational methods in legal analysis. </w:t>
      </w:r>
      <w:r w:rsidRPr="00834110">
        <w:rPr>
          <w:i/>
          <w:iCs/>
        </w:rPr>
        <w:t>Annual Review of Law and Social Science</w:t>
      </w:r>
      <w:r w:rsidRPr="00834110">
        <w:t xml:space="preserve">, </w:t>
      </w:r>
      <w:r w:rsidRPr="00834110">
        <w:rPr>
          <w:i/>
          <w:iCs/>
        </w:rPr>
        <w:t>16</w:t>
      </w:r>
      <w:r w:rsidRPr="00834110">
        <w:t xml:space="preserve">, 39–57. </w:t>
      </w:r>
      <w:hyperlink r:id="rId28" w:tgtFrame="_blank" w:history="1">
        <w:r w:rsidRPr="00834110">
          <w:rPr>
            <w:color w:val="0000FF"/>
            <w:u w:val="single"/>
          </w:rPr>
          <w:t>https://doi.org/10.1146/annurev-lawsocsci-051920-035252</w:t>
        </w:r>
      </w:hyperlink>
    </w:p>
    <w:p w14:paraId="01C5F4F7" w14:textId="77777777" w:rsidR="00834110" w:rsidRPr="00834110" w:rsidRDefault="00834110" w:rsidP="00834110">
      <w:pPr>
        <w:spacing w:before="100" w:beforeAutospacing="1" w:after="100" w:afterAutospacing="1"/>
      </w:pPr>
      <w:r w:rsidRPr="00834110">
        <w:t xml:space="preserve">Garza, E., </w:t>
      </w:r>
      <w:proofErr w:type="spellStart"/>
      <w:r w:rsidRPr="00834110">
        <w:t>Fullinwider</w:t>
      </w:r>
      <w:proofErr w:type="spellEnd"/>
      <w:r w:rsidRPr="00834110">
        <w:t xml:space="preserve">, B., Wiebe, R. P., Kim, Y., &amp; Li, C. (2020). Can we trust the evidence? A systematic review of the quality of systematic reviews in business ethics. </w:t>
      </w:r>
      <w:r w:rsidRPr="00834110">
        <w:rPr>
          <w:i/>
          <w:iCs/>
        </w:rPr>
        <w:t>Journal of Business Ethics</w:t>
      </w:r>
      <w:r w:rsidRPr="00834110">
        <w:t xml:space="preserve">, </w:t>
      </w:r>
      <w:r w:rsidRPr="00834110">
        <w:rPr>
          <w:i/>
          <w:iCs/>
        </w:rPr>
        <w:t>165</w:t>
      </w:r>
      <w:r w:rsidRPr="00834110">
        <w:t>, 367–386.</w:t>
      </w:r>
    </w:p>
    <w:p w14:paraId="225349E6" w14:textId="77777777" w:rsidR="00834110" w:rsidRPr="00834110" w:rsidRDefault="00834110" w:rsidP="00834110">
      <w:pPr>
        <w:spacing w:before="100" w:beforeAutospacing="1" w:after="100" w:afterAutospacing="1"/>
      </w:pPr>
      <w:r w:rsidRPr="00834110">
        <w:t xml:space="preserve">Grassi, L. (2022). </w:t>
      </w:r>
      <w:proofErr w:type="spellStart"/>
      <w:r w:rsidRPr="00834110">
        <w:t>RegTech</w:t>
      </w:r>
      <w:proofErr w:type="spellEnd"/>
      <w:r w:rsidRPr="00834110">
        <w:t xml:space="preserve"> in banking: Regulation, risks and opportunities. </w:t>
      </w:r>
      <w:r w:rsidRPr="00834110">
        <w:rPr>
          <w:i/>
          <w:iCs/>
        </w:rPr>
        <w:t>Journal of Banking Regulation</w:t>
      </w:r>
      <w:r w:rsidRPr="00834110">
        <w:t xml:space="preserve">, </w:t>
      </w:r>
      <w:r w:rsidRPr="00834110">
        <w:rPr>
          <w:i/>
          <w:iCs/>
        </w:rPr>
        <w:t>23</w:t>
      </w:r>
      <w:r w:rsidRPr="00834110">
        <w:t>, 1–12.</w:t>
      </w:r>
    </w:p>
    <w:p w14:paraId="7046CFCD" w14:textId="77777777" w:rsidR="00834110" w:rsidRPr="00834110" w:rsidRDefault="00834110" w:rsidP="00834110">
      <w:pPr>
        <w:spacing w:before="100" w:beforeAutospacing="1" w:after="100" w:afterAutospacing="1"/>
      </w:pPr>
      <w:r w:rsidRPr="00834110">
        <w:t xml:space="preserve">Grewal, J., Riedl, E. J., &amp; Serafeim, G. (2019). Market effects of mandatory nonfinancial disclosure. </w:t>
      </w:r>
      <w:r w:rsidRPr="00834110">
        <w:rPr>
          <w:i/>
          <w:iCs/>
        </w:rPr>
        <w:t>Management Science</w:t>
      </w:r>
      <w:r w:rsidRPr="00834110">
        <w:t xml:space="preserve">, </w:t>
      </w:r>
      <w:r w:rsidRPr="00834110">
        <w:rPr>
          <w:i/>
          <w:iCs/>
        </w:rPr>
        <w:t>65</w:t>
      </w:r>
      <w:r w:rsidRPr="00834110">
        <w:t xml:space="preserve">(7), 3061–3084. </w:t>
      </w:r>
      <w:hyperlink r:id="rId29" w:tgtFrame="_blank" w:history="1">
        <w:r w:rsidRPr="00834110">
          <w:rPr>
            <w:color w:val="0000FF"/>
            <w:u w:val="single"/>
          </w:rPr>
          <w:t>https://doi.org/10.1287/mnsc.2018.3074</w:t>
        </w:r>
      </w:hyperlink>
    </w:p>
    <w:p w14:paraId="679ED4BF" w14:textId="77777777" w:rsidR="00834110" w:rsidRPr="00834110" w:rsidRDefault="00834110" w:rsidP="00834110">
      <w:pPr>
        <w:spacing w:before="100" w:beforeAutospacing="1" w:after="100" w:afterAutospacing="1"/>
      </w:pPr>
      <w:r w:rsidRPr="00834110">
        <w:t xml:space="preserve">Grimmer, J., Roberts, M. E., &amp; Stewart, B. M. (2022). </w:t>
      </w:r>
      <w:r w:rsidRPr="00834110">
        <w:rPr>
          <w:i/>
          <w:iCs/>
        </w:rPr>
        <w:t>Text as data: A new framework for machine learning and the social sciences</w:t>
      </w:r>
      <w:r w:rsidRPr="00834110">
        <w:t>. Princeton University Press.</w:t>
      </w:r>
    </w:p>
    <w:p w14:paraId="5354852B" w14:textId="77777777" w:rsidR="00834110" w:rsidRPr="00834110" w:rsidRDefault="00834110" w:rsidP="00834110">
      <w:pPr>
        <w:spacing w:before="100" w:beforeAutospacing="1" w:after="100" w:afterAutospacing="1"/>
      </w:pPr>
      <w:r w:rsidRPr="00834110">
        <w:t xml:space="preserve">Howlett, M. (2019). </w:t>
      </w:r>
      <w:r w:rsidRPr="00834110">
        <w:rPr>
          <w:i/>
          <w:iCs/>
        </w:rPr>
        <w:t>The policy design primer: Choosing the right tools for the job</w:t>
      </w:r>
      <w:r w:rsidRPr="00834110">
        <w:t>. Routledge.</w:t>
      </w:r>
    </w:p>
    <w:p w14:paraId="6C859E08" w14:textId="77777777" w:rsidR="00834110" w:rsidRPr="00834110" w:rsidRDefault="00834110" w:rsidP="00834110">
      <w:pPr>
        <w:spacing w:before="100" w:beforeAutospacing="1" w:after="100" w:afterAutospacing="1"/>
      </w:pPr>
      <w:r w:rsidRPr="00834110">
        <w:t xml:space="preserve">IFRS Foundation. (2021). </w:t>
      </w:r>
      <w:r w:rsidRPr="00834110">
        <w:rPr>
          <w:i/>
          <w:iCs/>
        </w:rPr>
        <w:t>Emmanuel Faber appointed to lead the International Sustainability Standards Board</w:t>
      </w:r>
      <w:r w:rsidRPr="00834110">
        <w:t xml:space="preserve">. </w:t>
      </w:r>
      <w:hyperlink r:id="rId30" w:tgtFrame="_blank" w:history="1">
        <w:r w:rsidRPr="00834110">
          <w:rPr>
            <w:color w:val="0000FF"/>
            <w:u w:val="single"/>
          </w:rPr>
          <w:t>https://www.ifrs.org</w:t>
        </w:r>
      </w:hyperlink>
    </w:p>
    <w:p w14:paraId="5D0C89D2" w14:textId="77777777" w:rsidR="00834110" w:rsidRPr="00834110" w:rsidRDefault="00834110" w:rsidP="00834110">
      <w:pPr>
        <w:spacing w:before="100" w:beforeAutospacing="1" w:after="100" w:afterAutospacing="1"/>
      </w:pPr>
      <w:r w:rsidRPr="00834110">
        <w:t xml:space="preserve">IFRS Foundation. (2023). </w:t>
      </w:r>
      <w:r w:rsidRPr="00834110">
        <w:rPr>
          <w:i/>
          <w:iCs/>
        </w:rPr>
        <w:t>Adoption guide overview: Implementation of IFRS S1 and IFRS S2</w:t>
      </w:r>
      <w:r w:rsidRPr="00834110">
        <w:t xml:space="preserve">. </w:t>
      </w:r>
      <w:hyperlink r:id="rId31" w:tgtFrame="_blank" w:history="1">
        <w:r w:rsidRPr="00834110">
          <w:rPr>
            <w:color w:val="0000FF"/>
            <w:u w:val="single"/>
          </w:rPr>
          <w:t>https://www.ifrs.org</w:t>
        </w:r>
      </w:hyperlink>
    </w:p>
    <w:p w14:paraId="4510334D" w14:textId="77777777" w:rsidR="00834110" w:rsidRPr="00834110" w:rsidRDefault="00834110" w:rsidP="00834110">
      <w:pPr>
        <w:spacing w:before="100" w:beforeAutospacing="1" w:after="100" w:afterAutospacing="1"/>
      </w:pPr>
      <w:r w:rsidRPr="00834110">
        <w:t xml:space="preserve">International Finance Corporation (IFC). (2021). </w:t>
      </w:r>
      <w:r w:rsidRPr="00834110">
        <w:rPr>
          <w:i/>
          <w:iCs/>
        </w:rPr>
        <w:t>Vietnam: Climate risk country profile</w:t>
      </w:r>
      <w:r w:rsidRPr="00834110">
        <w:t>. World Bank Group.</w:t>
      </w:r>
    </w:p>
    <w:p w14:paraId="198CEE09" w14:textId="77777777" w:rsidR="00834110" w:rsidRPr="00834110" w:rsidRDefault="00834110" w:rsidP="00834110">
      <w:pPr>
        <w:spacing w:before="100" w:beforeAutospacing="1" w:after="100" w:afterAutospacing="1"/>
      </w:pPr>
      <w:r w:rsidRPr="00834110">
        <w:lastRenderedPageBreak/>
        <w:t xml:space="preserve">Jackson, G., &amp; Deeg, R. (2019). Comparing capitalisms and taking institutional context seriously. </w:t>
      </w:r>
      <w:r w:rsidRPr="00834110">
        <w:rPr>
          <w:i/>
          <w:iCs/>
        </w:rPr>
        <w:t>Journal of International Business Studies</w:t>
      </w:r>
      <w:r w:rsidRPr="00834110">
        <w:t xml:space="preserve">, </w:t>
      </w:r>
      <w:r w:rsidRPr="00834110">
        <w:rPr>
          <w:i/>
          <w:iCs/>
        </w:rPr>
        <w:t>50</w:t>
      </w:r>
      <w:r w:rsidRPr="00834110">
        <w:t xml:space="preserve">, 4–19. </w:t>
      </w:r>
      <w:hyperlink r:id="rId32" w:tgtFrame="_blank" w:history="1">
        <w:r w:rsidRPr="00834110">
          <w:rPr>
            <w:color w:val="0000FF"/>
            <w:u w:val="single"/>
          </w:rPr>
          <w:t>https://doi.org/10.1057/s41267-018-0206-0</w:t>
        </w:r>
      </w:hyperlink>
    </w:p>
    <w:p w14:paraId="4E9499AC" w14:textId="77777777" w:rsidR="00834110" w:rsidRPr="00834110" w:rsidRDefault="00834110" w:rsidP="00834110">
      <w:pPr>
        <w:spacing w:before="100" w:beforeAutospacing="1" w:after="100" w:afterAutospacing="1"/>
      </w:pPr>
      <w:r w:rsidRPr="00834110">
        <w:t xml:space="preserve">Jensen, M. C., &amp; Meckling, W. H. (1976). Theory of the firm: Managerial </w:t>
      </w:r>
      <w:proofErr w:type="spellStart"/>
      <w:r w:rsidRPr="00834110">
        <w:t>behavior</w:t>
      </w:r>
      <w:proofErr w:type="spellEnd"/>
      <w:r w:rsidRPr="00834110">
        <w:t xml:space="preserve">, agency costs and ownership structure. </w:t>
      </w:r>
      <w:r w:rsidRPr="00834110">
        <w:rPr>
          <w:i/>
          <w:iCs/>
        </w:rPr>
        <w:t>Journal of Financial Economics</w:t>
      </w:r>
      <w:r w:rsidRPr="00834110">
        <w:t xml:space="preserve">, </w:t>
      </w:r>
      <w:r w:rsidRPr="00834110">
        <w:rPr>
          <w:i/>
          <w:iCs/>
        </w:rPr>
        <w:t>3</w:t>
      </w:r>
      <w:r w:rsidRPr="00834110">
        <w:t xml:space="preserve">(4), 305–360. </w:t>
      </w:r>
      <w:hyperlink r:id="rId33" w:tgtFrame="_blank" w:history="1">
        <w:r w:rsidRPr="00834110">
          <w:rPr>
            <w:color w:val="0000FF"/>
            <w:u w:val="single"/>
          </w:rPr>
          <w:t>https://doi.org/10.1016/0304-405X(76)90026-X</w:t>
        </w:r>
      </w:hyperlink>
    </w:p>
    <w:p w14:paraId="35D8437C" w14:textId="77777777" w:rsidR="00834110" w:rsidRPr="00834110" w:rsidRDefault="00834110" w:rsidP="00834110">
      <w:pPr>
        <w:spacing w:before="100" w:beforeAutospacing="1" w:after="100" w:afterAutospacing="1"/>
      </w:pPr>
      <w:r w:rsidRPr="00834110">
        <w:t xml:space="preserve">Kantorowicz, J., &amp; Reznichenko, A. (2021). Computational legal studies: Promise, pitfalls, and prudence. </w:t>
      </w:r>
      <w:r w:rsidRPr="00834110">
        <w:rPr>
          <w:i/>
          <w:iCs/>
        </w:rPr>
        <w:t>Erasmus Law Review</w:t>
      </w:r>
      <w:r w:rsidRPr="00834110">
        <w:t xml:space="preserve">, </w:t>
      </w:r>
      <w:r w:rsidRPr="00834110">
        <w:rPr>
          <w:i/>
          <w:iCs/>
        </w:rPr>
        <w:t>14</w:t>
      </w:r>
      <w:r w:rsidRPr="00834110">
        <w:t xml:space="preserve">(3), 129–143. </w:t>
      </w:r>
      <w:hyperlink r:id="rId34" w:tgtFrame="_blank" w:history="1">
        <w:r w:rsidRPr="00834110">
          <w:rPr>
            <w:color w:val="0000FF"/>
            <w:u w:val="single"/>
          </w:rPr>
          <w:t>https://doi.org/10.5553/ELR.000213</w:t>
        </w:r>
      </w:hyperlink>
    </w:p>
    <w:p w14:paraId="44A1CA62" w14:textId="77777777" w:rsidR="00834110" w:rsidRPr="00834110" w:rsidRDefault="00834110" w:rsidP="00834110">
      <w:pPr>
        <w:spacing w:before="100" w:beforeAutospacing="1" w:after="100" w:afterAutospacing="1"/>
      </w:pPr>
      <w:r w:rsidRPr="00834110">
        <w:t xml:space="preserve">Krivogorsky, V. (2024). </w:t>
      </w:r>
      <w:r w:rsidRPr="00834110">
        <w:rPr>
          <w:i/>
          <w:iCs/>
        </w:rPr>
        <w:t>Sustainability reporting and the emergence of the ISSB</w:t>
      </w:r>
      <w:r w:rsidRPr="00834110">
        <w:t>. Palgrave Macmillan.</w:t>
      </w:r>
    </w:p>
    <w:p w14:paraId="0DDDDF61" w14:textId="77777777" w:rsidR="00834110" w:rsidRPr="00834110" w:rsidRDefault="00834110" w:rsidP="00834110">
      <w:pPr>
        <w:spacing w:before="100" w:beforeAutospacing="1" w:after="100" w:afterAutospacing="1"/>
      </w:pPr>
      <w:r w:rsidRPr="00834110">
        <w:t xml:space="preserve">Krueger, P., Sautner, Z., &amp; Starks, L. T. (2020). The importance of climate risks for institutional investors. </w:t>
      </w:r>
      <w:r w:rsidRPr="00834110">
        <w:rPr>
          <w:i/>
          <w:iCs/>
        </w:rPr>
        <w:t>The Review of Financial Studies</w:t>
      </w:r>
      <w:r w:rsidRPr="00834110">
        <w:t xml:space="preserve">, </w:t>
      </w:r>
      <w:r w:rsidRPr="00834110">
        <w:rPr>
          <w:i/>
          <w:iCs/>
        </w:rPr>
        <w:t>33</w:t>
      </w:r>
      <w:r w:rsidRPr="00834110">
        <w:t xml:space="preserve">(3), 1067–1111. </w:t>
      </w:r>
      <w:hyperlink r:id="rId35" w:tgtFrame="_blank" w:history="1">
        <w:r w:rsidRPr="00834110">
          <w:rPr>
            <w:color w:val="0000FF"/>
            <w:u w:val="single"/>
          </w:rPr>
          <w:t>https://doi.org/10.1093/rfs/hhz137</w:t>
        </w:r>
      </w:hyperlink>
    </w:p>
    <w:p w14:paraId="13CF548C" w14:textId="77777777" w:rsidR="00834110" w:rsidRPr="00834110" w:rsidRDefault="00834110" w:rsidP="00834110">
      <w:pPr>
        <w:spacing w:before="100" w:beforeAutospacing="1" w:after="100" w:afterAutospacing="1"/>
      </w:pPr>
      <w:r w:rsidRPr="00834110">
        <w:t xml:space="preserve">Lincoln, Y. S., &amp; Guba, E. G. (1985). </w:t>
      </w:r>
      <w:r w:rsidRPr="00834110">
        <w:rPr>
          <w:i/>
          <w:iCs/>
        </w:rPr>
        <w:t>Naturalistic inquiry</w:t>
      </w:r>
      <w:r w:rsidRPr="00834110">
        <w:t>. SAGE Publications.</w:t>
      </w:r>
    </w:p>
    <w:p w14:paraId="13EB3D34" w14:textId="77777777" w:rsidR="00834110" w:rsidRPr="00834110" w:rsidRDefault="00834110" w:rsidP="00834110">
      <w:pPr>
        <w:spacing w:before="100" w:beforeAutospacing="1" w:after="100" w:afterAutospacing="1"/>
      </w:pPr>
      <w:r w:rsidRPr="00834110">
        <w:t xml:space="preserve">Maroun, W. (2020). A conceptual model for understanding corporate social responsibility assurance practice. </w:t>
      </w:r>
      <w:r w:rsidRPr="00834110">
        <w:rPr>
          <w:i/>
          <w:iCs/>
        </w:rPr>
        <w:t>Journal of Business Ethics</w:t>
      </w:r>
      <w:r w:rsidRPr="00834110">
        <w:t xml:space="preserve">, </w:t>
      </w:r>
      <w:r w:rsidRPr="00834110">
        <w:rPr>
          <w:i/>
          <w:iCs/>
        </w:rPr>
        <w:t>161</w:t>
      </w:r>
      <w:r w:rsidRPr="00834110">
        <w:t xml:space="preserve">, 187–207. </w:t>
      </w:r>
      <w:hyperlink r:id="rId36" w:tgtFrame="_blank" w:history="1">
        <w:r w:rsidRPr="00834110">
          <w:rPr>
            <w:color w:val="0000FF"/>
            <w:u w:val="single"/>
          </w:rPr>
          <w:t>https://doi.org/10.1007/s10551-018-3909-z</w:t>
        </w:r>
      </w:hyperlink>
    </w:p>
    <w:p w14:paraId="4297AC29" w14:textId="77777777" w:rsidR="00834110" w:rsidRPr="00834110" w:rsidRDefault="00834110" w:rsidP="00834110">
      <w:pPr>
        <w:spacing w:before="100" w:beforeAutospacing="1" w:after="100" w:afterAutospacing="1"/>
      </w:pPr>
      <w:r w:rsidRPr="00834110">
        <w:t xml:space="preserve">McNulty, J., </w:t>
      </w:r>
      <w:proofErr w:type="spellStart"/>
      <w:r w:rsidRPr="00834110">
        <w:t>Zetzsche</w:t>
      </w:r>
      <w:proofErr w:type="spellEnd"/>
      <w:r w:rsidRPr="00834110">
        <w:t>, D. A., Buckley, R. P., &amp; Arner, D. W. (2023). Supervisory technology (</w:t>
      </w:r>
      <w:proofErr w:type="spellStart"/>
      <w:r w:rsidRPr="00834110">
        <w:t>SupTech</w:t>
      </w:r>
      <w:proofErr w:type="spellEnd"/>
      <w:r w:rsidRPr="00834110">
        <w:t xml:space="preserve">) and the state’s regulatory capacity. </w:t>
      </w:r>
      <w:r w:rsidRPr="00834110">
        <w:rPr>
          <w:i/>
          <w:iCs/>
        </w:rPr>
        <w:t>Journal of Financial Regulation</w:t>
      </w:r>
      <w:r w:rsidRPr="00834110">
        <w:t xml:space="preserve">, </w:t>
      </w:r>
      <w:r w:rsidRPr="00834110">
        <w:rPr>
          <w:i/>
          <w:iCs/>
        </w:rPr>
        <w:t>9</w:t>
      </w:r>
      <w:r w:rsidRPr="00834110">
        <w:t>(1), 74–106.</w:t>
      </w:r>
    </w:p>
    <w:p w14:paraId="4FB48A8B" w14:textId="77777777" w:rsidR="00834110" w:rsidRPr="00834110" w:rsidRDefault="00834110" w:rsidP="00834110">
      <w:pPr>
        <w:spacing w:before="100" w:beforeAutospacing="1" w:after="100" w:afterAutospacing="1"/>
      </w:pPr>
      <w:r w:rsidRPr="00834110">
        <w:t xml:space="preserve">Nowell, L. S., Norris, J. M., White, D. E., &amp; Moules, N. J. (2017). Thematic analysis: Striving to meet the trustworthiness criteria. </w:t>
      </w:r>
      <w:r w:rsidRPr="00834110">
        <w:rPr>
          <w:i/>
          <w:iCs/>
        </w:rPr>
        <w:t>International Journal of Qualitative Methods</w:t>
      </w:r>
      <w:r w:rsidRPr="00834110">
        <w:t xml:space="preserve">, </w:t>
      </w:r>
      <w:r w:rsidRPr="00834110">
        <w:rPr>
          <w:i/>
          <w:iCs/>
        </w:rPr>
        <w:t>16</w:t>
      </w:r>
      <w:r w:rsidRPr="00834110">
        <w:t xml:space="preserve">(1), 1609406917733847. </w:t>
      </w:r>
      <w:hyperlink r:id="rId37" w:tgtFrame="_blank" w:history="1">
        <w:r w:rsidRPr="00834110">
          <w:rPr>
            <w:color w:val="0000FF"/>
            <w:u w:val="single"/>
          </w:rPr>
          <w:t>https://doi.org/10.1177/1609406917733847</w:t>
        </w:r>
      </w:hyperlink>
    </w:p>
    <w:p w14:paraId="5C33D4AE" w14:textId="77777777" w:rsidR="00834110" w:rsidRPr="00834110" w:rsidRDefault="00834110" w:rsidP="00834110">
      <w:pPr>
        <w:spacing w:before="100" w:beforeAutospacing="1" w:after="100" w:afterAutospacing="1"/>
      </w:pPr>
      <w:r w:rsidRPr="00834110">
        <w:t xml:space="preserve">OECD. (2022). </w:t>
      </w:r>
      <w:r w:rsidRPr="00834110">
        <w:rPr>
          <w:i/>
          <w:iCs/>
        </w:rPr>
        <w:t>Global outlook on financing for sustainable development 2023: No sustainability without equity</w:t>
      </w:r>
      <w:r w:rsidRPr="00834110">
        <w:t>. OECD Publishing.</w:t>
      </w:r>
    </w:p>
    <w:p w14:paraId="4B72FD6A" w14:textId="77777777" w:rsidR="00834110" w:rsidRPr="00834110" w:rsidRDefault="00834110" w:rsidP="00834110">
      <w:pPr>
        <w:spacing w:before="100" w:beforeAutospacing="1" w:after="100" w:afterAutospacing="1"/>
      </w:pPr>
      <w:r w:rsidRPr="00834110">
        <w:t xml:space="preserve">Ortmann, S. (2017). </w:t>
      </w:r>
      <w:r w:rsidRPr="00834110">
        <w:rPr>
          <w:i/>
          <w:iCs/>
        </w:rPr>
        <w:t>Environmental governance in Vietnam: Institutional reforms and failures</w:t>
      </w:r>
      <w:r w:rsidRPr="00834110">
        <w:t>. Palgrave Macmillan.</w:t>
      </w:r>
    </w:p>
    <w:p w14:paraId="15709C0F" w14:textId="77777777" w:rsidR="00834110" w:rsidRPr="00834110" w:rsidRDefault="00834110" w:rsidP="00834110">
      <w:pPr>
        <w:spacing w:before="100" w:beforeAutospacing="1" w:after="100" w:afterAutospacing="1"/>
      </w:pPr>
      <w:r w:rsidRPr="00834110">
        <w:t xml:space="preserve">Page, M. J., McKenzie, J. E., Bossuyt, P. M., </w:t>
      </w:r>
      <w:proofErr w:type="spellStart"/>
      <w:r w:rsidRPr="00834110">
        <w:t>Boutron</w:t>
      </w:r>
      <w:proofErr w:type="spellEnd"/>
      <w:r w:rsidRPr="00834110">
        <w:t xml:space="preserve">, I., Hoffmann, T. C., Mulrow, C. D., ... &amp; Moher, D. (2021). The PRISMA 2020 statement: An updated guideline for reporting systematic reviews. </w:t>
      </w:r>
      <w:r w:rsidRPr="00834110">
        <w:rPr>
          <w:i/>
          <w:iCs/>
        </w:rPr>
        <w:t>BMJ</w:t>
      </w:r>
      <w:r w:rsidRPr="00834110">
        <w:t xml:space="preserve">, </w:t>
      </w:r>
      <w:r w:rsidRPr="00834110">
        <w:rPr>
          <w:i/>
          <w:iCs/>
        </w:rPr>
        <w:t>372</w:t>
      </w:r>
      <w:r w:rsidRPr="00834110">
        <w:t xml:space="preserve">, Article n71. </w:t>
      </w:r>
      <w:hyperlink r:id="rId38" w:tgtFrame="_blank" w:history="1">
        <w:r w:rsidRPr="00834110">
          <w:rPr>
            <w:color w:val="0000FF"/>
            <w:u w:val="single"/>
          </w:rPr>
          <w:t>https://doi.org/10.1136/bmj.n71</w:t>
        </w:r>
      </w:hyperlink>
    </w:p>
    <w:p w14:paraId="1C1FA90B" w14:textId="77777777" w:rsidR="00834110" w:rsidRPr="00834110" w:rsidRDefault="00834110" w:rsidP="00834110">
      <w:pPr>
        <w:spacing w:before="100" w:beforeAutospacing="1" w:after="100" w:afterAutospacing="1"/>
      </w:pPr>
      <w:r w:rsidRPr="00834110">
        <w:t xml:space="preserve">Paul, J., &amp; Criado, A. R. (2020). The art of writing literature review: What do we know and what do we need to know? </w:t>
      </w:r>
      <w:r w:rsidRPr="00834110">
        <w:rPr>
          <w:i/>
          <w:iCs/>
        </w:rPr>
        <w:t>International Business Review</w:t>
      </w:r>
      <w:r w:rsidRPr="00834110">
        <w:t xml:space="preserve">, </w:t>
      </w:r>
      <w:r w:rsidRPr="00834110">
        <w:rPr>
          <w:i/>
          <w:iCs/>
        </w:rPr>
        <w:t>29</w:t>
      </w:r>
      <w:r w:rsidRPr="00834110">
        <w:t xml:space="preserve">(4), Article 101717. </w:t>
      </w:r>
      <w:hyperlink r:id="rId39" w:tgtFrame="_blank" w:history="1">
        <w:r w:rsidRPr="00834110">
          <w:rPr>
            <w:color w:val="0000FF"/>
            <w:u w:val="single"/>
          </w:rPr>
          <w:t>https://doi.org/10.1016/j.ibusrev.2020.101717</w:t>
        </w:r>
      </w:hyperlink>
    </w:p>
    <w:p w14:paraId="05A4CA50" w14:textId="77777777" w:rsidR="00834110" w:rsidRPr="00834110" w:rsidRDefault="00834110" w:rsidP="00834110">
      <w:pPr>
        <w:spacing w:before="100" w:beforeAutospacing="1" w:after="100" w:afterAutospacing="1"/>
      </w:pPr>
      <w:r w:rsidRPr="00834110">
        <w:t xml:space="preserve">Petticrew, M., &amp; Roberts, H. (2020). </w:t>
      </w:r>
      <w:r w:rsidRPr="00834110">
        <w:rPr>
          <w:i/>
          <w:iCs/>
        </w:rPr>
        <w:t>Systematic reviews in the social sciences: A practical guide</w:t>
      </w:r>
      <w:r w:rsidRPr="00834110">
        <w:t>. Blackwell Publishing.</w:t>
      </w:r>
    </w:p>
    <w:p w14:paraId="1DF22533" w14:textId="77777777" w:rsidR="00834110" w:rsidRPr="00834110" w:rsidRDefault="00834110" w:rsidP="00834110">
      <w:pPr>
        <w:spacing w:before="100" w:beforeAutospacing="1" w:after="100" w:afterAutospacing="1"/>
      </w:pPr>
      <w:r w:rsidRPr="00834110">
        <w:lastRenderedPageBreak/>
        <w:t xml:space="preserve">Rekker, S., Ives, M. C., Wade, B., Webb, L., &amp; Greig, C. (2022). Measuring corporate Paris compliance using a strict science-based approach. </w:t>
      </w:r>
      <w:r w:rsidRPr="00834110">
        <w:rPr>
          <w:i/>
          <w:iCs/>
        </w:rPr>
        <w:t>Nature Communications</w:t>
      </w:r>
      <w:r w:rsidRPr="00834110">
        <w:t xml:space="preserve">, </w:t>
      </w:r>
      <w:r w:rsidRPr="00834110">
        <w:rPr>
          <w:i/>
          <w:iCs/>
        </w:rPr>
        <w:t>13</w:t>
      </w:r>
      <w:r w:rsidRPr="00834110">
        <w:t xml:space="preserve">, Article 4441. </w:t>
      </w:r>
      <w:hyperlink r:id="rId40" w:tgtFrame="_blank" w:history="1">
        <w:r w:rsidRPr="00834110">
          <w:rPr>
            <w:color w:val="0000FF"/>
            <w:u w:val="single"/>
          </w:rPr>
          <w:t>https://doi.org/10.1038/s41467-022-32117-z</w:t>
        </w:r>
      </w:hyperlink>
    </w:p>
    <w:p w14:paraId="6D89C99A" w14:textId="77777777" w:rsidR="00834110" w:rsidRPr="00834110" w:rsidRDefault="00834110" w:rsidP="00834110">
      <w:pPr>
        <w:spacing w:before="100" w:beforeAutospacing="1" w:after="100" w:afterAutospacing="1"/>
      </w:pPr>
      <w:r w:rsidRPr="00834110">
        <w:t xml:space="preserve">Selbst, A. D., Boyd, D., Friedler, S. A., Venkatasubramanian, S., &amp; Vertesi, J. (2019). Fairness and abstraction in sociotechnical systems. </w:t>
      </w:r>
      <w:r w:rsidRPr="00834110">
        <w:rPr>
          <w:i/>
          <w:iCs/>
        </w:rPr>
        <w:t>Proceedings of the Conference on Fairness, Accountability, and Transparency</w:t>
      </w:r>
      <w:r w:rsidRPr="00834110">
        <w:t xml:space="preserve">, 59–68. </w:t>
      </w:r>
      <w:hyperlink r:id="rId41" w:tgtFrame="_blank" w:history="1">
        <w:r w:rsidRPr="00834110">
          <w:rPr>
            <w:color w:val="0000FF"/>
            <w:u w:val="single"/>
          </w:rPr>
          <w:t>https://doi.org/10.1145/3287560.3287598</w:t>
        </w:r>
      </w:hyperlink>
    </w:p>
    <w:p w14:paraId="5A07FC00" w14:textId="77777777" w:rsidR="00834110" w:rsidRPr="00834110" w:rsidRDefault="00834110" w:rsidP="00834110">
      <w:pPr>
        <w:spacing w:before="100" w:beforeAutospacing="1" w:after="100" w:afterAutospacing="1"/>
      </w:pPr>
      <w:r w:rsidRPr="00834110">
        <w:t xml:space="preserve">Snyder, H. (2019). Literature review as a research methodology: An overview and guidelines. </w:t>
      </w:r>
      <w:r w:rsidRPr="00834110">
        <w:rPr>
          <w:i/>
          <w:iCs/>
        </w:rPr>
        <w:t>Journal of Business Research</w:t>
      </w:r>
      <w:r w:rsidRPr="00834110">
        <w:t xml:space="preserve">, </w:t>
      </w:r>
      <w:r w:rsidRPr="00834110">
        <w:rPr>
          <w:i/>
          <w:iCs/>
        </w:rPr>
        <w:t>104</w:t>
      </w:r>
      <w:r w:rsidRPr="00834110">
        <w:t xml:space="preserve">, 333–339. </w:t>
      </w:r>
      <w:hyperlink r:id="rId42" w:tgtFrame="_blank" w:history="1">
        <w:r w:rsidRPr="00834110">
          <w:rPr>
            <w:color w:val="0000FF"/>
            <w:u w:val="single"/>
          </w:rPr>
          <w:t>https://doi.org/10.1016/j.jbusres.2019.07.039</w:t>
        </w:r>
      </w:hyperlink>
    </w:p>
    <w:p w14:paraId="7F5B6AC8" w14:textId="77777777" w:rsidR="00834110" w:rsidRPr="00834110" w:rsidRDefault="00834110" w:rsidP="00834110">
      <w:pPr>
        <w:spacing w:before="100" w:beforeAutospacing="1" w:after="100" w:afterAutospacing="1"/>
      </w:pPr>
      <w:r w:rsidRPr="00834110">
        <w:t xml:space="preserve">Varpio, L., Paradis, E., </w:t>
      </w:r>
      <w:proofErr w:type="spellStart"/>
      <w:r w:rsidRPr="00834110">
        <w:t>Uraimov</w:t>
      </w:r>
      <w:proofErr w:type="spellEnd"/>
      <w:r w:rsidRPr="00834110">
        <w:t xml:space="preserve">, A., &amp; Archibald, D. (2020). The distinctions between theory, theoretical framework, and conceptual framework. </w:t>
      </w:r>
      <w:r w:rsidRPr="00834110">
        <w:rPr>
          <w:i/>
          <w:iCs/>
        </w:rPr>
        <w:t>Academic Medicine</w:t>
      </w:r>
      <w:r w:rsidRPr="00834110">
        <w:t xml:space="preserve">, </w:t>
      </w:r>
      <w:r w:rsidRPr="00834110">
        <w:rPr>
          <w:i/>
          <w:iCs/>
        </w:rPr>
        <w:t>95</w:t>
      </w:r>
      <w:r w:rsidRPr="00834110">
        <w:t xml:space="preserve">(7), 989–994. </w:t>
      </w:r>
      <w:hyperlink r:id="rId43" w:tgtFrame="_blank" w:history="1">
        <w:r w:rsidRPr="00834110">
          <w:rPr>
            <w:color w:val="0000FF"/>
            <w:u w:val="single"/>
          </w:rPr>
          <w:t>https://doi.org/10.1097/ACM.0000000000003075</w:t>
        </w:r>
      </w:hyperlink>
    </w:p>
    <w:p w14:paraId="711C723D" w14:textId="77777777" w:rsidR="00834110" w:rsidRPr="00834110" w:rsidRDefault="00834110" w:rsidP="00834110">
      <w:pPr>
        <w:spacing w:before="100" w:beforeAutospacing="1" w:after="100" w:afterAutospacing="1"/>
      </w:pPr>
      <w:r w:rsidRPr="00834110">
        <w:t xml:space="preserve">Weidinger, L., Mellor, J., Rauh, M., Griffin, V., Uesato, J., Huang, P.-S., ... &amp; Gabriel, I. (2021). Ethical and social risks of harm from language models. </w:t>
      </w:r>
      <w:r w:rsidRPr="00834110">
        <w:rPr>
          <w:i/>
          <w:iCs/>
        </w:rPr>
        <w:t>Proceedings of the 2021 ACM Conference on Fairness, Accountability, and Transparency</w:t>
      </w:r>
      <w:r w:rsidRPr="00834110">
        <w:t xml:space="preserve">, 214–229. </w:t>
      </w:r>
      <w:hyperlink r:id="rId44" w:tgtFrame="_blank" w:history="1">
        <w:r w:rsidRPr="00834110">
          <w:rPr>
            <w:color w:val="0000FF"/>
            <w:u w:val="single"/>
          </w:rPr>
          <w:t>https://doi.org/10.1145/3442188.3445918</w:t>
        </w:r>
      </w:hyperlink>
    </w:p>
    <w:p w14:paraId="6B578A77" w14:textId="77777777" w:rsidR="00834110" w:rsidRPr="00834110" w:rsidRDefault="00834110" w:rsidP="00834110">
      <w:pPr>
        <w:spacing w:before="100" w:beforeAutospacing="1" w:after="100" w:afterAutospacing="1"/>
      </w:pPr>
      <w:r w:rsidRPr="00834110">
        <w:t xml:space="preserve">World Bank. (2022). </w:t>
      </w:r>
      <w:r w:rsidRPr="00834110">
        <w:rPr>
          <w:i/>
          <w:iCs/>
        </w:rPr>
        <w:t>Vietnam country climate and development report</w:t>
      </w:r>
      <w:r w:rsidRPr="00834110">
        <w:t>. The World Bank Group.</w:t>
      </w:r>
    </w:p>
    <w:p w14:paraId="1867DE42" w14:textId="77777777" w:rsidR="00834110" w:rsidRPr="00834110" w:rsidRDefault="00834110" w:rsidP="00834110">
      <w:pPr>
        <w:spacing w:before="100" w:beforeAutospacing="1" w:after="100" w:afterAutospacing="1"/>
      </w:pPr>
      <w:r w:rsidRPr="00834110">
        <w:t xml:space="preserve">Yu, E. P., Luu, B. V., &amp; Chen, C. H. (2020). Greenwashing in environmental, social and governance disclosures. </w:t>
      </w:r>
      <w:r w:rsidRPr="00834110">
        <w:rPr>
          <w:i/>
          <w:iCs/>
        </w:rPr>
        <w:t>International Review of Financial Analysis</w:t>
      </w:r>
      <w:r w:rsidRPr="00834110">
        <w:t xml:space="preserve">, </w:t>
      </w:r>
      <w:r w:rsidRPr="00834110">
        <w:rPr>
          <w:i/>
          <w:iCs/>
        </w:rPr>
        <w:t>71</w:t>
      </w:r>
      <w:r w:rsidRPr="00834110">
        <w:t xml:space="preserve">, Article 101566. </w:t>
      </w:r>
      <w:hyperlink r:id="rId45" w:tgtFrame="_blank" w:history="1">
        <w:r w:rsidRPr="00834110">
          <w:rPr>
            <w:color w:val="0000FF"/>
            <w:u w:val="single"/>
          </w:rPr>
          <w:t>https://doi.org/10.1016/j.irfa.2020.101566</w:t>
        </w:r>
      </w:hyperlink>
    </w:p>
    <w:p w14:paraId="69059EF1" w14:textId="77777777" w:rsidR="00834110" w:rsidRPr="00834110" w:rsidRDefault="00834110" w:rsidP="00834110">
      <w:pPr>
        <w:pStyle w:val="NormalWeb"/>
        <w:jc w:val="both"/>
        <w:rPr>
          <w:color w:val="000000" w:themeColor="text1"/>
          <w:lang w:val="vi-VN"/>
        </w:rPr>
      </w:pPr>
    </w:p>
    <w:sectPr w:rsidR="00834110" w:rsidRPr="00834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306C0" w14:textId="77777777" w:rsidR="00B43D04" w:rsidRDefault="00B43D04" w:rsidP="00834110">
      <w:r>
        <w:separator/>
      </w:r>
    </w:p>
  </w:endnote>
  <w:endnote w:type="continuationSeparator" w:id="0">
    <w:p w14:paraId="29A063B7" w14:textId="77777777" w:rsidR="00B43D04" w:rsidRDefault="00B43D04" w:rsidP="00834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3542C" w14:textId="77777777" w:rsidR="00B43D04" w:rsidRDefault="00B43D04" w:rsidP="00834110">
      <w:r>
        <w:separator/>
      </w:r>
    </w:p>
  </w:footnote>
  <w:footnote w:type="continuationSeparator" w:id="0">
    <w:p w14:paraId="0CB06C19" w14:textId="77777777" w:rsidR="00B43D04" w:rsidRDefault="00B43D04" w:rsidP="00834110">
      <w:r>
        <w:continuationSeparator/>
      </w:r>
    </w:p>
  </w:footnote>
  <w:footnote w:id="1">
    <w:p w14:paraId="67513B3B" w14:textId="575CB973" w:rsidR="00834110" w:rsidRPr="00834110" w:rsidRDefault="00834110">
      <w:pPr>
        <w:pStyle w:val="FootnoteText"/>
        <w:rPr>
          <w:sz w:val="16"/>
          <w:szCs w:val="16"/>
          <w:lang w:val="vi-VN"/>
        </w:rPr>
      </w:pPr>
      <w:r w:rsidRPr="00834110">
        <w:rPr>
          <w:rStyle w:val="FootnoteReference"/>
          <w:sz w:val="16"/>
          <w:szCs w:val="16"/>
        </w:rPr>
        <w:footnoteRef/>
      </w:r>
      <w:r w:rsidRPr="00834110">
        <w:rPr>
          <w:sz w:val="16"/>
          <w:szCs w:val="16"/>
        </w:rPr>
        <w:t xml:space="preserve"> </w:t>
      </w:r>
      <w:r w:rsidRPr="00834110">
        <w:rPr>
          <w:sz w:val="16"/>
          <w:szCs w:val="16"/>
          <w:lang w:val="vi-VN"/>
        </w:rPr>
        <w:t>T</w:t>
      </w:r>
      <w:r w:rsidRPr="00834110">
        <w:rPr>
          <w:sz w:val="16"/>
          <w:szCs w:val="16"/>
          <w:lang w:val="vi-VN"/>
        </w:rPr>
        <w:t>he new international reporting standard</w:t>
      </w:r>
    </w:p>
  </w:footnote>
  <w:footnote w:id="2">
    <w:p w14:paraId="4B059ED3" w14:textId="4B0C5AFB" w:rsidR="00834110" w:rsidRPr="00834110" w:rsidRDefault="00834110">
      <w:pPr>
        <w:pStyle w:val="FootnoteText"/>
        <w:rPr>
          <w:sz w:val="16"/>
          <w:szCs w:val="16"/>
          <w:lang w:val="vi-VN"/>
        </w:rPr>
      </w:pPr>
      <w:r w:rsidRPr="00834110">
        <w:rPr>
          <w:rStyle w:val="FootnoteReference"/>
          <w:sz w:val="16"/>
          <w:szCs w:val="16"/>
        </w:rPr>
        <w:footnoteRef/>
      </w:r>
      <w:r w:rsidRPr="00834110">
        <w:rPr>
          <w:sz w:val="16"/>
          <w:szCs w:val="16"/>
        </w:rPr>
        <w:t xml:space="preserve"> </w:t>
      </w:r>
      <w:r w:rsidRPr="00834110">
        <w:rPr>
          <w:sz w:val="16"/>
          <w:szCs w:val="16"/>
          <w:lang w:val="vi-VN"/>
        </w:rPr>
        <w:t>T</w:t>
      </w:r>
      <w:r w:rsidRPr="00834110">
        <w:rPr>
          <w:sz w:val="16"/>
          <w:szCs w:val="16"/>
          <w:lang w:val="vi-VN"/>
        </w:rPr>
        <w:t>he climate-risk disclosure framework</w:t>
      </w:r>
    </w:p>
  </w:footnote>
  <w:footnote w:id="3">
    <w:p w14:paraId="7E40F13E" w14:textId="13A6B8B0" w:rsidR="00834110" w:rsidRPr="00834110" w:rsidRDefault="00834110">
      <w:pPr>
        <w:pStyle w:val="FootnoteText"/>
        <w:rPr>
          <w:lang w:val="vi-VN"/>
        </w:rPr>
      </w:pPr>
      <w:r w:rsidRPr="00834110">
        <w:rPr>
          <w:rStyle w:val="FootnoteReference"/>
          <w:sz w:val="16"/>
          <w:szCs w:val="16"/>
        </w:rPr>
        <w:footnoteRef/>
      </w:r>
      <w:r w:rsidRPr="00834110">
        <w:rPr>
          <w:sz w:val="16"/>
          <w:szCs w:val="16"/>
        </w:rPr>
        <w:t xml:space="preserve"> </w:t>
      </w:r>
      <w:r w:rsidRPr="00834110">
        <w:rPr>
          <w:color w:val="000000" w:themeColor="text1"/>
          <w:sz w:val="16"/>
          <w:szCs w:val="16"/>
          <w:lang w:val="vi-VN"/>
        </w:rPr>
        <w:t>A</w:t>
      </w:r>
      <w:r w:rsidRPr="00834110">
        <w:rPr>
          <w:color w:val="000000" w:themeColor="text1"/>
          <w:sz w:val="16"/>
          <w:szCs w:val="16"/>
        </w:rPr>
        <w:t>voided emissions debates</w:t>
      </w:r>
    </w:p>
  </w:footnote>
  <w:footnote w:id="4">
    <w:p w14:paraId="22539F41" w14:textId="32049041" w:rsidR="00834110" w:rsidRPr="00834110" w:rsidRDefault="00834110">
      <w:pPr>
        <w:pStyle w:val="FootnoteText"/>
        <w:rPr>
          <w:sz w:val="16"/>
          <w:szCs w:val="16"/>
          <w:lang w:val="vi-VN"/>
        </w:rPr>
      </w:pPr>
      <w:r w:rsidRPr="00834110">
        <w:rPr>
          <w:rStyle w:val="FootnoteReference"/>
          <w:sz w:val="16"/>
          <w:szCs w:val="16"/>
        </w:rPr>
        <w:footnoteRef/>
      </w:r>
      <w:r w:rsidRPr="00834110">
        <w:rPr>
          <w:sz w:val="16"/>
          <w:szCs w:val="16"/>
        </w:rPr>
        <w:t xml:space="preserve"> </w:t>
      </w:r>
      <w:r w:rsidRPr="00834110">
        <w:rPr>
          <w:sz w:val="16"/>
          <w:szCs w:val="16"/>
          <w:lang w:val="vi-VN"/>
        </w:rPr>
        <w:t>P</w:t>
      </w:r>
      <w:r w:rsidRPr="00834110">
        <w:rPr>
          <w:sz w:val="16"/>
          <w:szCs w:val="16"/>
          <w:lang w:val="vi-VN"/>
        </w:rPr>
        <w:t>ressures to imitate Western models</w:t>
      </w:r>
    </w:p>
  </w:footnote>
  <w:footnote w:id="5">
    <w:p w14:paraId="62F3A6AA" w14:textId="0F7F87C9" w:rsidR="00834110" w:rsidRPr="00834110" w:rsidRDefault="00834110">
      <w:pPr>
        <w:pStyle w:val="FootnoteText"/>
        <w:rPr>
          <w:sz w:val="16"/>
          <w:szCs w:val="16"/>
          <w:lang w:val="vi-VN"/>
        </w:rPr>
      </w:pPr>
      <w:r w:rsidRPr="00834110">
        <w:rPr>
          <w:rStyle w:val="FootnoteReference"/>
          <w:sz w:val="16"/>
          <w:szCs w:val="16"/>
        </w:rPr>
        <w:footnoteRef/>
      </w:r>
      <w:r w:rsidRPr="00834110">
        <w:rPr>
          <w:sz w:val="16"/>
          <w:szCs w:val="16"/>
        </w:rPr>
        <w:t xml:space="preserve"> </w:t>
      </w:r>
      <w:r w:rsidRPr="00834110">
        <w:rPr>
          <w:sz w:val="16"/>
          <w:szCs w:val="16"/>
          <w:lang w:val="vi-VN"/>
        </w:rPr>
        <w:t>N</w:t>
      </w:r>
      <w:r w:rsidRPr="00834110">
        <w:rPr>
          <w:sz w:val="16"/>
          <w:szCs w:val="16"/>
          <w:lang w:val="vi-VN"/>
        </w:rPr>
        <w:t>atural language processing</w:t>
      </w:r>
    </w:p>
  </w:footnote>
  <w:footnote w:id="6">
    <w:p w14:paraId="357F510F" w14:textId="379BD4A5" w:rsidR="00834110" w:rsidRPr="00834110" w:rsidRDefault="00834110">
      <w:pPr>
        <w:pStyle w:val="FootnoteText"/>
        <w:rPr>
          <w:lang w:val="vi-VN"/>
        </w:rPr>
      </w:pPr>
      <w:r w:rsidRPr="00834110">
        <w:rPr>
          <w:rStyle w:val="FootnoteReference"/>
          <w:sz w:val="16"/>
          <w:szCs w:val="16"/>
        </w:rPr>
        <w:footnoteRef/>
      </w:r>
      <w:r w:rsidRPr="00834110">
        <w:rPr>
          <w:sz w:val="16"/>
          <w:szCs w:val="16"/>
        </w:rPr>
        <w:t xml:space="preserve"> </w:t>
      </w:r>
      <w:r w:rsidRPr="00834110">
        <w:rPr>
          <w:sz w:val="16"/>
          <w:szCs w:val="16"/>
          <w:lang w:val="vi-VN"/>
        </w:rPr>
        <w:t>R</w:t>
      </w:r>
      <w:r w:rsidRPr="00834110">
        <w:rPr>
          <w:sz w:val="16"/>
          <w:szCs w:val="16"/>
          <w:lang w:val="vi-VN"/>
        </w:rPr>
        <w:t>egulatory technology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2D1"/>
    <w:multiLevelType w:val="hybridMultilevel"/>
    <w:tmpl w:val="8D02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B769E"/>
    <w:multiLevelType w:val="multilevel"/>
    <w:tmpl w:val="D966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A1486"/>
    <w:multiLevelType w:val="hybridMultilevel"/>
    <w:tmpl w:val="CA08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11A92"/>
    <w:multiLevelType w:val="multilevel"/>
    <w:tmpl w:val="EC44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12C4E"/>
    <w:multiLevelType w:val="multilevel"/>
    <w:tmpl w:val="DC78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5C7250"/>
    <w:multiLevelType w:val="multilevel"/>
    <w:tmpl w:val="76E2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701A67"/>
    <w:multiLevelType w:val="hybridMultilevel"/>
    <w:tmpl w:val="1DCC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D52AA"/>
    <w:multiLevelType w:val="hybridMultilevel"/>
    <w:tmpl w:val="DDCC9904"/>
    <w:lvl w:ilvl="0" w:tplc="147C2D2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92AF4"/>
    <w:multiLevelType w:val="multilevel"/>
    <w:tmpl w:val="31AC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8C1BF8"/>
    <w:multiLevelType w:val="multilevel"/>
    <w:tmpl w:val="8012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F28A6"/>
    <w:multiLevelType w:val="multilevel"/>
    <w:tmpl w:val="363A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F62A01"/>
    <w:multiLevelType w:val="multilevel"/>
    <w:tmpl w:val="4D1479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A016C6"/>
    <w:multiLevelType w:val="multilevel"/>
    <w:tmpl w:val="DE26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6671977">
    <w:abstractNumId w:val="7"/>
  </w:num>
  <w:num w:numId="2" w16cid:durableId="514610221">
    <w:abstractNumId w:val="2"/>
  </w:num>
  <w:num w:numId="3" w16cid:durableId="1263955625">
    <w:abstractNumId w:val="1"/>
  </w:num>
  <w:num w:numId="4" w16cid:durableId="1159806191">
    <w:abstractNumId w:val="12"/>
  </w:num>
  <w:num w:numId="5" w16cid:durableId="527371126">
    <w:abstractNumId w:val="3"/>
  </w:num>
  <w:num w:numId="6" w16cid:durableId="1790010912">
    <w:abstractNumId w:val="8"/>
  </w:num>
  <w:num w:numId="7" w16cid:durableId="572159863">
    <w:abstractNumId w:val="5"/>
  </w:num>
  <w:num w:numId="8" w16cid:durableId="1703750692">
    <w:abstractNumId w:val="9"/>
  </w:num>
  <w:num w:numId="9" w16cid:durableId="1690065261">
    <w:abstractNumId w:val="11"/>
  </w:num>
  <w:num w:numId="10" w16cid:durableId="1378234707">
    <w:abstractNumId w:val="10"/>
  </w:num>
  <w:num w:numId="11" w16cid:durableId="422070838">
    <w:abstractNumId w:val="6"/>
  </w:num>
  <w:num w:numId="12" w16cid:durableId="2106340998">
    <w:abstractNumId w:val="0"/>
  </w:num>
  <w:num w:numId="13" w16cid:durableId="507794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345"/>
    <w:rsid w:val="00040EFA"/>
    <w:rsid w:val="002F7821"/>
    <w:rsid w:val="00716E56"/>
    <w:rsid w:val="00805759"/>
    <w:rsid w:val="00834110"/>
    <w:rsid w:val="008B3345"/>
    <w:rsid w:val="00B4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CD20"/>
  <w15:chartTrackingRefBased/>
  <w15:docId w15:val="{9321F0FD-79AC-0D48-B2B7-4C150D17F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4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B33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3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3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3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3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3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3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3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3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3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3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3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3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3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3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3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3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345"/>
    <w:rPr>
      <w:rFonts w:eastAsiaTheme="majorEastAsia" w:cstheme="majorBidi"/>
      <w:color w:val="272727" w:themeColor="text1" w:themeTint="D8"/>
    </w:rPr>
  </w:style>
  <w:style w:type="paragraph" w:styleId="Title">
    <w:name w:val="Title"/>
    <w:basedOn w:val="Normal"/>
    <w:next w:val="Normal"/>
    <w:link w:val="TitleChar"/>
    <w:uiPriority w:val="10"/>
    <w:qFormat/>
    <w:rsid w:val="008B33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3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3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3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345"/>
    <w:pPr>
      <w:spacing w:before="160"/>
      <w:jc w:val="center"/>
    </w:pPr>
    <w:rPr>
      <w:i/>
      <w:iCs/>
      <w:color w:val="404040" w:themeColor="text1" w:themeTint="BF"/>
    </w:rPr>
  </w:style>
  <w:style w:type="character" w:customStyle="1" w:styleId="QuoteChar">
    <w:name w:val="Quote Char"/>
    <w:basedOn w:val="DefaultParagraphFont"/>
    <w:link w:val="Quote"/>
    <w:uiPriority w:val="29"/>
    <w:rsid w:val="008B3345"/>
    <w:rPr>
      <w:i/>
      <w:iCs/>
      <w:color w:val="404040" w:themeColor="text1" w:themeTint="BF"/>
    </w:rPr>
  </w:style>
  <w:style w:type="paragraph" w:styleId="ListParagraph">
    <w:name w:val="List Paragraph"/>
    <w:basedOn w:val="Normal"/>
    <w:uiPriority w:val="34"/>
    <w:qFormat/>
    <w:rsid w:val="008B3345"/>
    <w:pPr>
      <w:ind w:left="720"/>
      <w:contextualSpacing/>
    </w:pPr>
  </w:style>
  <w:style w:type="character" w:styleId="IntenseEmphasis">
    <w:name w:val="Intense Emphasis"/>
    <w:basedOn w:val="DefaultParagraphFont"/>
    <w:uiPriority w:val="21"/>
    <w:qFormat/>
    <w:rsid w:val="008B3345"/>
    <w:rPr>
      <w:i/>
      <w:iCs/>
      <w:color w:val="0F4761" w:themeColor="accent1" w:themeShade="BF"/>
    </w:rPr>
  </w:style>
  <w:style w:type="paragraph" w:styleId="IntenseQuote">
    <w:name w:val="Intense Quote"/>
    <w:basedOn w:val="Normal"/>
    <w:next w:val="Normal"/>
    <w:link w:val="IntenseQuoteChar"/>
    <w:uiPriority w:val="30"/>
    <w:qFormat/>
    <w:rsid w:val="008B33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345"/>
    <w:rPr>
      <w:i/>
      <w:iCs/>
      <w:color w:val="0F4761" w:themeColor="accent1" w:themeShade="BF"/>
    </w:rPr>
  </w:style>
  <w:style w:type="character" w:styleId="IntenseReference">
    <w:name w:val="Intense Reference"/>
    <w:basedOn w:val="DefaultParagraphFont"/>
    <w:uiPriority w:val="32"/>
    <w:qFormat/>
    <w:rsid w:val="008B3345"/>
    <w:rPr>
      <w:b/>
      <w:bCs/>
      <w:smallCaps/>
      <w:color w:val="0F4761" w:themeColor="accent1" w:themeShade="BF"/>
      <w:spacing w:val="5"/>
    </w:rPr>
  </w:style>
  <w:style w:type="paragraph" w:styleId="NormalWeb">
    <w:name w:val="Normal (Web)"/>
    <w:basedOn w:val="Normal"/>
    <w:uiPriority w:val="99"/>
    <w:unhideWhenUsed/>
    <w:rsid w:val="008B3345"/>
    <w:pPr>
      <w:spacing w:before="100" w:beforeAutospacing="1" w:after="100" w:afterAutospacing="1"/>
    </w:pPr>
  </w:style>
  <w:style w:type="paragraph" w:customStyle="1" w:styleId="mb-2">
    <w:name w:val="mb-2"/>
    <w:basedOn w:val="Normal"/>
    <w:rsid w:val="008B3345"/>
    <w:pPr>
      <w:spacing w:before="100" w:beforeAutospacing="1" w:after="100" w:afterAutospacing="1"/>
    </w:pPr>
  </w:style>
  <w:style w:type="character" w:styleId="Emphasis">
    <w:name w:val="Emphasis"/>
    <w:basedOn w:val="DefaultParagraphFont"/>
    <w:uiPriority w:val="20"/>
    <w:qFormat/>
    <w:rsid w:val="008B3345"/>
    <w:rPr>
      <w:i/>
      <w:iCs/>
    </w:rPr>
  </w:style>
  <w:style w:type="character" w:customStyle="1" w:styleId="ms-1">
    <w:name w:val="ms-1"/>
    <w:basedOn w:val="DefaultParagraphFont"/>
    <w:rsid w:val="008B3345"/>
  </w:style>
  <w:style w:type="character" w:customStyle="1" w:styleId="max-w-15ch">
    <w:name w:val="max-w-[15ch]"/>
    <w:basedOn w:val="DefaultParagraphFont"/>
    <w:rsid w:val="008B3345"/>
  </w:style>
  <w:style w:type="character" w:customStyle="1" w:styleId="-me-1">
    <w:name w:val="-me-1"/>
    <w:basedOn w:val="DefaultParagraphFont"/>
    <w:rsid w:val="008B3345"/>
  </w:style>
  <w:style w:type="character" w:styleId="Hyperlink">
    <w:name w:val="Hyperlink"/>
    <w:basedOn w:val="DefaultParagraphFont"/>
    <w:uiPriority w:val="99"/>
    <w:unhideWhenUsed/>
    <w:rsid w:val="008B3345"/>
    <w:rPr>
      <w:color w:val="467886" w:themeColor="hyperlink"/>
      <w:u w:val="single"/>
    </w:rPr>
  </w:style>
  <w:style w:type="character" w:styleId="Strong">
    <w:name w:val="Strong"/>
    <w:basedOn w:val="DefaultParagraphFont"/>
    <w:uiPriority w:val="22"/>
    <w:qFormat/>
    <w:rsid w:val="008B3345"/>
    <w:rPr>
      <w:b/>
      <w:bCs/>
    </w:rPr>
  </w:style>
  <w:style w:type="paragraph" w:styleId="FootnoteText">
    <w:name w:val="footnote text"/>
    <w:basedOn w:val="Normal"/>
    <w:link w:val="FootnoteTextChar"/>
    <w:uiPriority w:val="99"/>
    <w:semiHidden/>
    <w:unhideWhenUsed/>
    <w:rsid w:val="00834110"/>
    <w:rPr>
      <w:sz w:val="20"/>
      <w:szCs w:val="20"/>
    </w:rPr>
  </w:style>
  <w:style w:type="character" w:customStyle="1" w:styleId="FootnoteTextChar">
    <w:name w:val="Footnote Text Char"/>
    <w:basedOn w:val="DefaultParagraphFont"/>
    <w:link w:val="FootnoteText"/>
    <w:uiPriority w:val="99"/>
    <w:semiHidden/>
    <w:rsid w:val="00834110"/>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8341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SAMPJ-10-2021-0436" TargetMode="External"/><Relationship Id="rId18" Type="http://schemas.openxmlformats.org/officeDocument/2006/relationships/hyperlink" Target="https://www.google.com/search?q=https://doi.org/10.18653/v1/2020.acl-main.463" TargetMode="External"/><Relationship Id="rId26" Type="http://schemas.openxmlformats.org/officeDocument/2006/relationships/hyperlink" Target="https://doi.org/10.1287/mnsc.2014.1984" TargetMode="External"/><Relationship Id="rId39" Type="http://schemas.openxmlformats.org/officeDocument/2006/relationships/hyperlink" Target="https://doi.org/10.1016/j.ibusrev.2020.101717" TargetMode="External"/><Relationship Id="rId21" Type="http://schemas.openxmlformats.org/officeDocument/2006/relationships/hyperlink" Target="https://doi.org/10.5465/19416520.2012.684462" TargetMode="External"/><Relationship Id="rId34" Type="http://schemas.openxmlformats.org/officeDocument/2006/relationships/hyperlink" Target="https://doi.org/10.5553/ELR.000213" TargetMode="External"/><Relationship Id="rId42" Type="http://schemas.openxmlformats.org/officeDocument/2006/relationships/hyperlink" Target="https://doi.org/10.1016/j.jbusres.2019.07.039"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search?q=https://doi.org/10.1108/SAMPJ-02-2023-0095" TargetMode="External"/><Relationship Id="rId29" Type="http://schemas.openxmlformats.org/officeDocument/2006/relationships/hyperlink" Target="https://doi.org/10.1287/mnsc.2018.30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doi.org/10.18653/v1/N19-1423" TargetMode="External"/><Relationship Id="rId32" Type="http://schemas.openxmlformats.org/officeDocument/2006/relationships/hyperlink" Target="https://doi.org/10.1057/s41267-018-0206-0" TargetMode="External"/><Relationship Id="rId37" Type="http://schemas.openxmlformats.org/officeDocument/2006/relationships/hyperlink" Target="https://doi.org/10.1177/1609406917733847" TargetMode="External"/><Relationship Id="rId40" Type="http://schemas.openxmlformats.org/officeDocument/2006/relationships/hyperlink" Target="https://www.google.com/search?q=https://doi.org/10.1038/s41467-022-32117-z" TargetMode="External"/><Relationship Id="rId45" Type="http://schemas.openxmlformats.org/officeDocument/2006/relationships/hyperlink" Target="https://www.google.com/search?q=https://doi.org/10.1016/j.irfa.2020.101566" TargetMode="External"/><Relationship Id="rId5" Type="http://schemas.openxmlformats.org/officeDocument/2006/relationships/webSettings" Target="webSettings.xml"/><Relationship Id="rId15" Type="http://schemas.openxmlformats.org/officeDocument/2006/relationships/hyperlink" Target="https://doi.org/10.1057/s41267-019-00232-w" TargetMode="External"/><Relationship Id="rId23" Type="http://schemas.openxmlformats.org/officeDocument/2006/relationships/hyperlink" Target="https://doi.org/10.1007/s11142-021-09609-5" TargetMode="External"/><Relationship Id="rId28" Type="http://schemas.openxmlformats.org/officeDocument/2006/relationships/hyperlink" Target="https://www.google.com/search?q=https://doi.org/10.1146/annurev-lawsocsci-051920-035252" TargetMode="External"/><Relationship Id="rId36" Type="http://schemas.openxmlformats.org/officeDocument/2006/relationships/hyperlink" Target="https://doi.org/10.1007/s10551-018-3909-z" TargetMode="External"/><Relationship Id="rId10" Type="http://schemas.openxmlformats.org/officeDocument/2006/relationships/diagramQuickStyle" Target="diagrams/quickStyle1.xml"/><Relationship Id="rId19" Type="http://schemas.openxmlformats.org/officeDocument/2006/relationships/hyperlink" Target="https://www.google.com/search?q=https://doi.org/10.1093/rof/rfac033" TargetMode="External"/><Relationship Id="rId31" Type="http://schemas.openxmlformats.org/officeDocument/2006/relationships/hyperlink" Target="https://www.ifrs.org" TargetMode="External"/><Relationship Id="rId44" Type="http://schemas.openxmlformats.org/officeDocument/2006/relationships/hyperlink" Target="https://doi.org/10.1145/3442188.3445918"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google.com/search?q=https://www.adb.org/publications/green-finance-viet-nam-barriers-solutions" TargetMode="External"/><Relationship Id="rId22" Type="http://schemas.openxmlformats.org/officeDocument/2006/relationships/hyperlink" Target="https://doi.org/10.1111/cobi.13883" TargetMode="External"/><Relationship Id="rId27" Type="http://schemas.openxmlformats.org/officeDocument/2006/relationships/hyperlink" Target="https://papers.ssrn.com/sol3/papers.cfm?abstract_id=5637490" TargetMode="External"/><Relationship Id="rId30" Type="http://schemas.openxmlformats.org/officeDocument/2006/relationships/hyperlink" Target="https://www.ifrs.org" TargetMode="External"/><Relationship Id="rId35" Type="http://schemas.openxmlformats.org/officeDocument/2006/relationships/hyperlink" Target="https://www.google.com/search?q=https://doi.org/10.1093/rfs/hhz137" TargetMode="External"/><Relationship Id="rId43" Type="http://schemas.openxmlformats.org/officeDocument/2006/relationships/hyperlink" Target="https://www.google.com/search?q=https://doi.org/10.1097/ACM.0000000000003075" TargetMode="Externa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doi.org/10.1371/journal.pbio.3001293" TargetMode="External"/><Relationship Id="rId25" Type="http://schemas.openxmlformats.org/officeDocument/2006/relationships/hyperlink" Target="https://doi.org/10.1016/j.ecolecon.2021.107022" TargetMode="External"/><Relationship Id="rId33" Type="http://schemas.openxmlformats.org/officeDocument/2006/relationships/hyperlink" Target="https://doi.org/10.1016/0304-405X(76)90026-X" TargetMode="External"/><Relationship Id="rId38" Type="http://schemas.openxmlformats.org/officeDocument/2006/relationships/hyperlink" Target="https://doi.org/10.1136/bmj.n71" TargetMode="External"/><Relationship Id="rId46" Type="http://schemas.openxmlformats.org/officeDocument/2006/relationships/fontTable" Target="fontTable.xml"/><Relationship Id="rId20" Type="http://schemas.openxmlformats.org/officeDocument/2006/relationships/hyperlink" Target="https://www.google.com/search?q=https://doi.org/10.48550/arXiv.2108.07258" TargetMode="External"/><Relationship Id="rId41" Type="http://schemas.openxmlformats.org/officeDocument/2006/relationships/hyperlink" Target="https://doi.org/10.1145/3287560.3287598"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D3D185-1839-9C4E-BC3F-D1795A8FD845}" type="doc">
      <dgm:prSet loTypeId="urn:microsoft.com/office/officeart/2005/8/layout/radial4" loCatId="" qsTypeId="urn:microsoft.com/office/officeart/2005/8/quickstyle/simple1" qsCatId="simple" csTypeId="urn:microsoft.com/office/officeart/2005/8/colors/accent0_1" csCatId="mainScheme" phldr="1"/>
      <dgm:spPr/>
      <dgm:t>
        <a:bodyPr/>
        <a:lstStyle/>
        <a:p>
          <a:endParaRPr lang="en-GB"/>
        </a:p>
      </dgm:t>
    </dgm:pt>
    <dgm:pt modelId="{9BE64B52-3500-8946-B0C6-82B2CDFA902B}">
      <dgm:prSet phldrT="[Text]" custT="1"/>
      <dgm:spPr/>
      <dgm:t>
        <a:bodyPr/>
        <a:lstStyle/>
        <a:p>
          <a:r>
            <a:rPr lang="en-GB" sz="800" b="1">
              <a:latin typeface="Times New Roman" panose="02020603050405020304" pitchFamily="18" charset="0"/>
              <a:cs typeface="Times New Roman" panose="02020603050405020304" pitchFamily="18" charset="0"/>
            </a:rPr>
            <a:t>ESG-Relevant, Institutionally Aligned, Technology-Enabled Research Objective </a:t>
          </a:r>
        </a:p>
      </dgm:t>
    </dgm:pt>
    <dgm:pt modelId="{4149CD42-B475-E040-AA63-C6A086AFD5D4}" type="parTrans" cxnId="{65C68688-53A6-7845-8483-AF77931BBD3B}">
      <dgm:prSet/>
      <dgm:spPr/>
      <dgm:t>
        <a:bodyPr/>
        <a:lstStyle/>
        <a:p>
          <a:endParaRPr lang="en-GB"/>
        </a:p>
      </dgm:t>
    </dgm:pt>
    <dgm:pt modelId="{600CFA9B-6E5C-FB45-A39D-59AFA6DD1065}" type="sibTrans" cxnId="{65C68688-53A6-7845-8483-AF77931BBD3B}">
      <dgm:prSet/>
      <dgm:spPr/>
      <dgm:t>
        <a:bodyPr/>
        <a:lstStyle/>
        <a:p>
          <a:endParaRPr lang="en-GB"/>
        </a:p>
      </dgm:t>
    </dgm:pt>
    <dgm:pt modelId="{25289399-B0ED-5746-8512-25E5CD3F616B}">
      <dgm:prSet custT="1"/>
      <dgm:spPr/>
      <dgm:t>
        <a:bodyPr/>
        <a:lstStyle/>
        <a:p>
          <a:r>
            <a:rPr lang="en-GB" sz="800" b="1">
              <a:latin typeface="Times New Roman" panose="02020603050405020304" pitchFamily="18" charset="0"/>
              <a:cs typeface="Times New Roman" panose="02020603050405020304" pitchFamily="18" charset="0"/>
            </a:rPr>
            <a:t>ESG MANAGEMENT</a:t>
          </a:r>
        </a:p>
        <a:p>
          <a:r>
            <a:rPr lang="en-GB" sz="800">
              <a:latin typeface="Times New Roman" panose="02020603050405020304" pitchFamily="18" charset="0"/>
              <a:cs typeface="Times New Roman" panose="02020603050405020304" pitchFamily="18" charset="0"/>
            </a:rPr>
            <a:t>ESG Regulation &amp; Standards</a:t>
          </a:r>
        </a:p>
      </dgm:t>
    </dgm:pt>
    <dgm:pt modelId="{3515355D-8390-2D4E-B78A-04A6A175829D}" type="parTrans" cxnId="{48C62E39-8F76-FD45-A09D-216C6EA700F0}">
      <dgm:prSet/>
      <dgm:spPr/>
      <dgm:t>
        <a:bodyPr/>
        <a:lstStyle/>
        <a:p>
          <a:endParaRPr lang="en-GB" sz="800">
            <a:latin typeface="Times New Roman" panose="02020603050405020304" pitchFamily="18" charset="0"/>
            <a:cs typeface="Times New Roman" panose="02020603050405020304" pitchFamily="18" charset="0"/>
          </a:endParaRPr>
        </a:p>
      </dgm:t>
    </dgm:pt>
    <dgm:pt modelId="{FFA22C4D-A39D-F048-836C-6EA4220CBBF6}" type="sibTrans" cxnId="{48C62E39-8F76-FD45-A09D-216C6EA700F0}">
      <dgm:prSet/>
      <dgm:spPr/>
      <dgm:t>
        <a:bodyPr/>
        <a:lstStyle/>
        <a:p>
          <a:endParaRPr lang="en-GB"/>
        </a:p>
      </dgm:t>
    </dgm:pt>
    <dgm:pt modelId="{A117EBA6-745B-F34D-8513-0AEDD248C009}">
      <dgm:prSet custT="1"/>
      <dgm:spPr/>
      <dgm:t>
        <a:bodyPr/>
        <a:lstStyle/>
        <a:p>
          <a:r>
            <a:rPr lang="en-GB" sz="800" b="1">
              <a:latin typeface="Times New Roman" panose="02020603050405020304" pitchFamily="18" charset="0"/>
              <a:cs typeface="Times New Roman" panose="02020603050405020304" pitchFamily="18" charset="0"/>
            </a:rPr>
            <a:t>INSTITUTIONAL SETTING</a:t>
          </a:r>
        </a:p>
        <a:p>
          <a:r>
            <a:rPr lang="en-GB" sz="800">
              <a:latin typeface="Times New Roman" panose="02020603050405020304" pitchFamily="18" charset="0"/>
              <a:cs typeface="Times New Roman" panose="02020603050405020304" pitchFamily="18" charset="0"/>
            </a:rPr>
            <a:t>National Context &amp; Policy Capacity</a:t>
          </a:r>
        </a:p>
      </dgm:t>
    </dgm:pt>
    <dgm:pt modelId="{AF2B4040-7402-7544-994F-5211F2F3E667}" type="parTrans" cxnId="{855279C0-3B29-EB45-BC97-D0077CABBAD1}">
      <dgm:prSet/>
      <dgm:spPr/>
      <dgm:t>
        <a:bodyPr/>
        <a:lstStyle/>
        <a:p>
          <a:endParaRPr lang="en-GB" sz="800">
            <a:latin typeface="Times New Roman" panose="02020603050405020304" pitchFamily="18" charset="0"/>
            <a:cs typeface="Times New Roman" panose="02020603050405020304" pitchFamily="18" charset="0"/>
          </a:endParaRPr>
        </a:p>
      </dgm:t>
    </dgm:pt>
    <dgm:pt modelId="{CD3BED24-9782-4A44-96BC-006AC49326A6}" type="sibTrans" cxnId="{855279C0-3B29-EB45-BC97-D0077CABBAD1}">
      <dgm:prSet/>
      <dgm:spPr/>
      <dgm:t>
        <a:bodyPr/>
        <a:lstStyle/>
        <a:p>
          <a:endParaRPr lang="en-GB"/>
        </a:p>
      </dgm:t>
    </dgm:pt>
    <dgm:pt modelId="{14C527A3-C9F5-D74A-A3C7-67517D146702}">
      <dgm:prSet custT="1"/>
      <dgm:spPr/>
      <dgm:t>
        <a:bodyPr/>
        <a:lstStyle/>
        <a:p>
          <a:r>
            <a:rPr lang="en-GB" sz="800" b="1">
              <a:latin typeface="Times New Roman" panose="02020603050405020304" pitchFamily="18" charset="0"/>
              <a:cs typeface="Times New Roman" panose="02020603050405020304" pitchFamily="18" charset="0"/>
            </a:rPr>
            <a:t>TECHNOLOGICAL APPROACHES</a:t>
          </a:r>
        </a:p>
        <a:p>
          <a:r>
            <a:rPr lang="en-GB" sz="800">
              <a:latin typeface="Times New Roman" panose="02020603050405020304" pitchFamily="18" charset="0"/>
              <a:cs typeface="Times New Roman" panose="02020603050405020304" pitchFamily="18" charset="0"/>
            </a:rPr>
            <a:t>AI-Driven Data Analytics  </a:t>
          </a:r>
        </a:p>
      </dgm:t>
    </dgm:pt>
    <dgm:pt modelId="{2306FA32-EC4D-4A40-95A2-43068CC3EB50}" type="parTrans" cxnId="{C075C266-F9CA-E341-90A3-A16BB71BBB22}">
      <dgm:prSet/>
      <dgm:spPr/>
      <dgm:t>
        <a:bodyPr/>
        <a:lstStyle/>
        <a:p>
          <a:endParaRPr lang="en-GB" sz="800">
            <a:latin typeface="Times New Roman" panose="02020603050405020304" pitchFamily="18" charset="0"/>
            <a:cs typeface="Times New Roman" panose="02020603050405020304" pitchFamily="18" charset="0"/>
          </a:endParaRPr>
        </a:p>
      </dgm:t>
    </dgm:pt>
    <dgm:pt modelId="{7E3E05CC-CC39-344D-877A-3531065AEF05}" type="sibTrans" cxnId="{C075C266-F9CA-E341-90A3-A16BB71BBB22}">
      <dgm:prSet/>
      <dgm:spPr/>
      <dgm:t>
        <a:bodyPr/>
        <a:lstStyle/>
        <a:p>
          <a:endParaRPr lang="en-GB"/>
        </a:p>
      </dgm:t>
    </dgm:pt>
    <dgm:pt modelId="{4D477C96-BDC6-2547-9685-530F44274AF1}">
      <dgm:prSet/>
      <dgm:spPr/>
      <dgm:t>
        <a:bodyPr/>
        <a:lstStyle/>
        <a:p>
          <a:endParaRPr lang="en-GB" sz="800">
            <a:latin typeface="Times New Roman" panose="02020603050405020304" pitchFamily="18" charset="0"/>
            <a:cs typeface="Times New Roman" panose="02020603050405020304" pitchFamily="18" charset="0"/>
          </a:endParaRPr>
        </a:p>
      </dgm:t>
    </dgm:pt>
    <dgm:pt modelId="{CD82B9F6-E073-CE43-8CF9-3DEDA9DC153D}" type="parTrans" cxnId="{BFDC3881-8E4D-B54D-9112-2AC1CFF6D83A}">
      <dgm:prSet/>
      <dgm:spPr/>
      <dgm:t>
        <a:bodyPr/>
        <a:lstStyle/>
        <a:p>
          <a:endParaRPr lang="en-GB"/>
        </a:p>
      </dgm:t>
    </dgm:pt>
    <dgm:pt modelId="{84F05708-BB2B-5548-9746-D6484F3327C5}" type="sibTrans" cxnId="{BFDC3881-8E4D-B54D-9112-2AC1CFF6D83A}">
      <dgm:prSet/>
      <dgm:spPr/>
      <dgm:t>
        <a:bodyPr/>
        <a:lstStyle/>
        <a:p>
          <a:endParaRPr lang="en-GB"/>
        </a:p>
      </dgm:t>
    </dgm:pt>
    <dgm:pt modelId="{D7753BC4-7C0D-8A43-AFE7-1CC893D0F5B0}">
      <dgm:prSet/>
      <dgm:spPr/>
      <dgm:t>
        <a:bodyPr/>
        <a:lstStyle/>
        <a:p>
          <a:endParaRPr lang="en-GB" sz="800">
            <a:latin typeface="Times New Roman" panose="02020603050405020304" pitchFamily="18" charset="0"/>
            <a:cs typeface="Times New Roman" panose="02020603050405020304" pitchFamily="18" charset="0"/>
          </a:endParaRPr>
        </a:p>
      </dgm:t>
    </dgm:pt>
    <dgm:pt modelId="{C6539773-0C31-C44E-9518-41FDC340AD3E}" type="parTrans" cxnId="{66A50A65-085D-EE44-BCB1-5B99916EDF1F}">
      <dgm:prSet/>
      <dgm:spPr/>
      <dgm:t>
        <a:bodyPr/>
        <a:lstStyle/>
        <a:p>
          <a:endParaRPr lang="en-GB"/>
        </a:p>
      </dgm:t>
    </dgm:pt>
    <dgm:pt modelId="{E10C13B5-78C4-B341-9473-B468676E89E8}" type="sibTrans" cxnId="{66A50A65-085D-EE44-BCB1-5B99916EDF1F}">
      <dgm:prSet/>
      <dgm:spPr/>
      <dgm:t>
        <a:bodyPr/>
        <a:lstStyle/>
        <a:p>
          <a:endParaRPr lang="en-GB"/>
        </a:p>
      </dgm:t>
    </dgm:pt>
    <dgm:pt modelId="{3947DA24-2054-B046-BECB-475F46A45694}" type="pres">
      <dgm:prSet presAssocID="{53D3D185-1839-9C4E-BC3F-D1795A8FD845}" presName="cycle" presStyleCnt="0">
        <dgm:presLayoutVars>
          <dgm:chMax val="1"/>
          <dgm:dir/>
          <dgm:animLvl val="ctr"/>
          <dgm:resizeHandles val="exact"/>
        </dgm:presLayoutVars>
      </dgm:prSet>
      <dgm:spPr/>
    </dgm:pt>
    <dgm:pt modelId="{B8E2BC8B-8BDF-9C42-B8D7-B4587CC90018}" type="pres">
      <dgm:prSet presAssocID="{9BE64B52-3500-8946-B0C6-82B2CDFA902B}" presName="centerShape" presStyleLbl="node0" presStyleIdx="0" presStyleCnt="1" custScaleX="118795"/>
      <dgm:spPr/>
    </dgm:pt>
    <dgm:pt modelId="{ABF2A09F-73A2-8842-B2B0-B461563BE115}" type="pres">
      <dgm:prSet presAssocID="{3515355D-8390-2D4E-B78A-04A6A175829D}" presName="parTrans" presStyleLbl="bgSibTrans2D1" presStyleIdx="0" presStyleCnt="3"/>
      <dgm:spPr/>
    </dgm:pt>
    <dgm:pt modelId="{D822D16A-43A2-C848-A162-6B3B9617F435}" type="pres">
      <dgm:prSet presAssocID="{25289399-B0ED-5746-8512-25E5CD3F616B}" presName="node" presStyleLbl="node1" presStyleIdx="0" presStyleCnt="3">
        <dgm:presLayoutVars>
          <dgm:bulletEnabled val="1"/>
        </dgm:presLayoutVars>
      </dgm:prSet>
      <dgm:spPr/>
    </dgm:pt>
    <dgm:pt modelId="{08F01B70-53C7-8B49-BE4F-B8526654AA34}" type="pres">
      <dgm:prSet presAssocID="{AF2B4040-7402-7544-994F-5211F2F3E667}" presName="parTrans" presStyleLbl="bgSibTrans2D1" presStyleIdx="1" presStyleCnt="3"/>
      <dgm:spPr/>
    </dgm:pt>
    <dgm:pt modelId="{A6F1985D-17B3-C145-BB15-A4B7BD8BB0B9}" type="pres">
      <dgm:prSet presAssocID="{A117EBA6-745B-F34D-8513-0AEDD248C009}" presName="node" presStyleLbl="node1" presStyleIdx="1" presStyleCnt="3">
        <dgm:presLayoutVars>
          <dgm:bulletEnabled val="1"/>
        </dgm:presLayoutVars>
      </dgm:prSet>
      <dgm:spPr/>
    </dgm:pt>
    <dgm:pt modelId="{E8F79B49-2ED8-AF40-B749-384F8887D77E}" type="pres">
      <dgm:prSet presAssocID="{2306FA32-EC4D-4A40-95A2-43068CC3EB50}" presName="parTrans" presStyleLbl="bgSibTrans2D1" presStyleIdx="2" presStyleCnt="3"/>
      <dgm:spPr/>
    </dgm:pt>
    <dgm:pt modelId="{30C01C7B-B4BB-C94D-ACF8-2C07A6CA3223}" type="pres">
      <dgm:prSet presAssocID="{14C527A3-C9F5-D74A-A3C7-67517D146702}" presName="node" presStyleLbl="node1" presStyleIdx="2" presStyleCnt="3" custScaleX="96213">
        <dgm:presLayoutVars>
          <dgm:bulletEnabled val="1"/>
        </dgm:presLayoutVars>
      </dgm:prSet>
      <dgm:spPr/>
    </dgm:pt>
  </dgm:ptLst>
  <dgm:cxnLst>
    <dgm:cxn modelId="{B0FA5435-165F-8047-8C37-F43C0D01EA2E}" type="presOf" srcId="{25289399-B0ED-5746-8512-25E5CD3F616B}" destId="{D822D16A-43A2-C848-A162-6B3B9617F435}" srcOrd="0" destOrd="0" presId="urn:microsoft.com/office/officeart/2005/8/layout/radial4"/>
    <dgm:cxn modelId="{48C62E39-8F76-FD45-A09D-216C6EA700F0}" srcId="{9BE64B52-3500-8946-B0C6-82B2CDFA902B}" destId="{25289399-B0ED-5746-8512-25E5CD3F616B}" srcOrd="0" destOrd="0" parTransId="{3515355D-8390-2D4E-B78A-04A6A175829D}" sibTransId="{FFA22C4D-A39D-F048-836C-6EA4220CBBF6}"/>
    <dgm:cxn modelId="{66A50A65-085D-EE44-BCB1-5B99916EDF1F}" srcId="{53D3D185-1839-9C4E-BC3F-D1795A8FD845}" destId="{D7753BC4-7C0D-8A43-AFE7-1CC893D0F5B0}" srcOrd="2" destOrd="0" parTransId="{C6539773-0C31-C44E-9518-41FDC340AD3E}" sibTransId="{E10C13B5-78C4-B341-9473-B468676E89E8}"/>
    <dgm:cxn modelId="{C075C266-F9CA-E341-90A3-A16BB71BBB22}" srcId="{9BE64B52-3500-8946-B0C6-82B2CDFA902B}" destId="{14C527A3-C9F5-D74A-A3C7-67517D146702}" srcOrd="2" destOrd="0" parTransId="{2306FA32-EC4D-4A40-95A2-43068CC3EB50}" sibTransId="{7E3E05CC-CC39-344D-877A-3531065AEF05}"/>
    <dgm:cxn modelId="{17CF1F74-4BDB-B944-9EC6-2E8BFE037197}" type="presOf" srcId="{14C527A3-C9F5-D74A-A3C7-67517D146702}" destId="{30C01C7B-B4BB-C94D-ACF8-2C07A6CA3223}" srcOrd="0" destOrd="0" presId="urn:microsoft.com/office/officeart/2005/8/layout/radial4"/>
    <dgm:cxn modelId="{A9A8B180-DA74-1545-950D-55652CAD45A5}" type="presOf" srcId="{A117EBA6-745B-F34D-8513-0AEDD248C009}" destId="{A6F1985D-17B3-C145-BB15-A4B7BD8BB0B9}" srcOrd="0" destOrd="0" presId="urn:microsoft.com/office/officeart/2005/8/layout/radial4"/>
    <dgm:cxn modelId="{BFDC3881-8E4D-B54D-9112-2AC1CFF6D83A}" srcId="{53D3D185-1839-9C4E-BC3F-D1795A8FD845}" destId="{4D477C96-BDC6-2547-9685-530F44274AF1}" srcOrd="1" destOrd="0" parTransId="{CD82B9F6-E073-CE43-8CF9-3DEDA9DC153D}" sibTransId="{84F05708-BB2B-5548-9746-D6484F3327C5}"/>
    <dgm:cxn modelId="{EEEF6C87-CE7B-AD4E-84CB-5AD81E246D0E}" type="presOf" srcId="{53D3D185-1839-9C4E-BC3F-D1795A8FD845}" destId="{3947DA24-2054-B046-BECB-475F46A45694}" srcOrd="0" destOrd="0" presId="urn:microsoft.com/office/officeart/2005/8/layout/radial4"/>
    <dgm:cxn modelId="{65C68688-53A6-7845-8483-AF77931BBD3B}" srcId="{53D3D185-1839-9C4E-BC3F-D1795A8FD845}" destId="{9BE64B52-3500-8946-B0C6-82B2CDFA902B}" srcOrd="0" destOrd="0" parTransId="{4149CD42-B475-E040-AA63-C6A086AFD5D4}" sibTransId="{600CFA9B-6E5C-FB45-A39D-59AFA6DD1065}"/>
    <dgm:cxn modelId="{A3017BA2-0E29-6C4A-AFBC-B36BF8BDA6FC}" type="presOf" srcId="{AF2B4040-7402-7544-994F-5211F2F3E667}" destId="{08F01B70-53C7-8B49-BE4F-B8526654AA34}" srcOrd="0" destOrd="0" presId="urn:microsoft.com/office/officeart/2005/8/layout/radial4"/>
    <dgm:cxn modelId="{A29B00BA-A580-E54E-BD07-268C2D086D13}" type="presOf" srcId="{2306FA32-EC4D-4A40-95A2-43068CC3EB50}" destId="{E8F79B49-2ED8-AF40-B749-384F8887D77E}" srcOrd="0" destOrd="0" presId="urn:microsoft.com/office/officeart/2005/8/layout/radial4"/>
    <dgm:cxn modelId="{855279C0-3B29-EB45-BC97-D0077CABBAD1}" srcId="{9BE64B52-3500-8946-B0C6-82B2CDFA902B}" destId="{A117EBA6-745B-F34D-8513-0AEDD248C009}" srcOrd="1" destOrd="0" parTransId="{AF2B4040-7402-7544-994F-5211F2F3E667}" sibTransId="{CD3BED24-9782-4A44-96BC-006AC49326A6}"/>
    <dgm:cxn modelId="{3E4D1AC3-B0D3-DF47-A144-0B3F43BA8C19}" type="presOf" srcId="{9BE64B52-3500-8946-B0C6-82B2CDFA902B}" destId="{B8E2BC8B-8BDF-9C42-B8D7-B4587CC90018}" srcOrd="0" destOrd="0" presId="urn:microsoft.com/office/officeart/2005/8/layout/radial4"/>
    <dgm:cxn modelId="{A4F585D6-D125-F746-AAA8-A449598A80C7}" type="presOf" srcId="{3515355D-8390-2D4E-B78A-04A6A175829D}" destId="{ABF2A09F-73A2-8842-B2B0-B461563BE115}" srcOrd="0" destOrd="0" presId="urn:microsoft.com/office/officeart/2005/8/layout/radial4"/>
    <dgm:cxn modelId="{8ADE73DE-513D-824C-B3E7-6C210BE8A7C2}" type="presParOf" srcId="{3947DA24-2054-B046-BECB-475F46A45694}" destId="{B8E2BC8B-8BDF-9C42-B8D7-B4587CC90018}" srcOrd="0" destOrd="0" presId="urn:microsoft.com/office/officeart/2005/8/layout/radial4"/>
    <dgm:cxn modelId="{C42212F7-7EFB-AE44-846C-5EECEF35046E}" type="presParOf" srcId="{3947DA24-2054-B046-BECB-475F46A45694}" destId="{ABF2A09F-73A2-8842-B2B0-B461563BE115}" srcOrd="1" destOrd="0" presId="urn:microsoft.com/office/officeart/2005/8/layout/radial4"/>
    <dgm:cxn modelId="{70214545-1631-DB47-9A40-51F356B1FBC8}" type="presParOf" srcId="{3947DA24-2054-B046-BECB-475F46A45694}" destId="{D822D16A-43A2-C848-A162-6B3B9617F435}" srcOrd="2" destOrd="0" presId="urn:microsoft.com/office/officeart/2005/8/layout/radial4"/>
    <dgm:cxn modelId="{C1BDE6A5-B7DC-5141-ABE2-407E67B6D74E}" type="presParOf" srcId="{3947DA24-2054-B046-BECB-475F46A45694}" destId="{08F01B70-53C7-8B49-BE4F-B8526654AA34}" srcOrd="3" destOrd="0" presId="urn:microsoft.com/office/officeart/2005/8/layout/radial4"/>
    <dgm:cxn modelId="{B6487FF9-7D74-4D4A-827B-E2775B3D058C}" type="presParOf" srcId="{3947DA24-2054-B046-BECB-475F46A45694}" destId="{A6F1985D-17B3-C145-BB15-A4B7BD8BB0B9}" srcOrd="4" destOrd="0" presId="urn:microsoft.com/office/officeart/2005/8/layout/radial4"/>
    <dgm:cxn modelId="{0342071B-A652-9E44-A619-5651E6F42EBC}" type="presParOf" srcId="{3947DA24-2054-B046-BECB-475F46A45694}" destId="{E8F79B49-2ED8-AF40-B749-384F8887D77E}" srcOrd="5" destOrd="0" presId="urn:microsoft.com/office/officeart/2005/8/layout/radial4"/>
    <dgm:cxn modelId="{27DB32D6-A0C4-FA4A-A690-DECC336FB3AB}" type="presParOf" srcId="{3947DA24-2054-B046-BECB-475F46A45694}" destId="{30C01C7B-B4BB-C94D-ACF8-2C07A6CA3223}" srcOrd="6"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E2BC8B-8BDF-9C42-B8D7-B4587CC90018}">
      <dsp:nvSpPr>
        <dsp:cNvPr id="0" name=""/>
        <dsp:cNvSpPr/>
      </dsp:nvSpPr>
      <dsp:spPr>
        <a:xfrm>
          <a:off x="1586498" y="1484574"/>
          <a:ext cx="1479186" cy="1245158"/>
        </a:xfrm>
        <a:prstGeom prst="ellipse">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ESG-Relevant, Institutionally Aligned, Technology-Enabled Research Objective </a:t>
          </a:r>
        </a:p>
      </dsp:txBody>
      <dsp:txXfrm>
        <a:off x="1803120" y="1666923"/>
        <a:ext cx="1045942" cy="880460"/>
      </dsp:txXfrm>
    </dsp:sp>
    <dsp:sp modelId="{ABF2A09F-73A2-8842-B2B0-B461563BE115}">
      <dsp:nvSpPr>
        <dsp:cNvPr id="0" name=""/>
        <dsp:cNvSpPr/>
      </dsp:nvSpPr>
      <dsp:spPr>
        <a:xfrm rot="12900000">
          <a:off x="907983" y="1247447"/>
          <a:ext cx="887448" cy="354870"/>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822D16A-43A2-C848-A162-6B3B9617F435}">
      <dsp:nvSpPr>
        <dsp:cNvPr id="0" name=""/>
        <dsp:cNvSpPr/>
      </dsp:nvSpPr>
      <dsp:spPr>
        <a:xfrm>
          <a:off x="396779" y="697213"/>
          <a:ext cx="1182901" cy="946320"/>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ESG MANAGEMENT</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ESG Regulation &amp; Standards</a:t>
          </a:r>
        </a:p>
      </dsp:txBody>
      <dsp:txXfrm>
        <a:off x="424496" y="724930"/>
        <a:ext cx="1127467" cy="890886"/>
      </dsp:txXfrm>
    </dsp:sp>
    <dsp:sp modelId="{08F01B70-53C7-8B49-BE4F-B8526654AA34}">
      <dsp:nvSpPr>
        <dsp:cNvPr id="0" name=""/>
        <dsp:cNvSpPr/>
      </dsp:nvSpPr>
      <dsp:spPr>
        <a:xfrm rot="16200000">
          <a:off x="1848560" y="774022"/>
          <a:ext cx="955061" cy="354870"/>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F1985D-17B3-C145-BB15-A4B7BD8BB0B9}">
      <dsp:nvSpPr>
        <dsp:cNvPr id="0" name=""/>
        <dsp:cNvSpPr/>
      </dsp:nvSpPr>
      <dsp:spPr>
        <a:xfrm>
          <a:off x="1734641" y="766"/>
          <a:ext cx="1182901" cy="946320"/>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INSTITUTIONAL SETTING</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National Context &amp; Policy Capacity</a:t>
          </a:r>
        </a:p>
      </dsp:txBody>
      <dsp:txXfrm>
        <a:off x="1762358" y="28483"/>
        <a:ext cx="1127467" cy="890886"/>
      </dsp:txXfrm>
    </dsp:sp>
    <dsp:sp modelId="{E8F79B49-2ED8-AF40-B749-384F8887D77E}">
      <dsp:nvSpPr>
        <dsp:cNvPr id="0" name=""/>
        <dsp:cNvSpPr/>
      </dsp:nvSpPr>
      <dsp:spPr>
        <a:xfrm rot="19500000">
          <a:off x="2856751" y="1247447"/>
          <a:ext cx="887448" cy="354870"/>
        </a:xfrm>
        <a:prstGeom prst="lef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C01C7B-B4BB-C94D-ACF8-2C07A6CA3223}">
      <dsp:nvSpPr>
        <dsp:cNvPr id="0" name=""/>
        <dsp:cNvSpPr/>
      </dsp:nvSpPr>
      <dsp:spPr>
        <a:xfrm>
          <a:off x="3094900" y="697213"/>
          <a:ext cx="1138104" cy="946320"/>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TECHNOLOGICAL APPROACHES</a:t>
          </a:r>
        </a:p>
        <a:p>
          <a:pPr marL="0" lvl="0" indent="0" algn="ctr" defTabSz="355600">
            <a:lnSpc>
              <a:spcPct val="90000"/>
            </a:lnSpc>
            <a:spcBef>
              <a:spcPct val="0"/>
            </a:spcBef>
            <a:spcAft>
              <a:spcPct val="35000"/>
            </a:spcAft>
            <a:buNone/>
          </a:pPr>
          <a:r>
            <a:rPr lang="en-GB" sz="800" kern="1200">
              <a:latin typeface="Times New Roman" panose="02020603050405020304" pitchFamily="18" charset="0"/>
              <a:cs typeface="Times New Roman" panose="02020603050405020304" pitchFamily="18" charset="0"/>
            </a:rPr>
            <a:t>AI-Driven Data Analytics  </a:t>
          </a:r>
        </a:p>
      </dsp:txBody>
      <dsp:txXfrm>
        <a:off x="3122617" y="724930"/>
        <a:ext cx="1082670" cy="89088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35C2B-BD29-AB4F-A933-CE6040DE2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12</Pages>
  <Words>4998</Words>
  <Characters>28495</Characters>
  <Application>Microsoft Office Word</Application>
  <DocSecurity>0</DocSecurity>
  <Lines>237</Lines>
  <Paragraphs>66</Paragraphs>
  <ScaleCrop>false</ScaleCrop>
  <Company/>
  <LinksUpToDate>false</LinksUpToDate>
  <CharactersWithSpaces>33427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Ngoc Quynh Tran (2433797)</dc:creator>
  <cp:keywords/>
  <dc:description/>
  <cp:lastModifiedBy>Nguyen Ngoc Quynh Tran (2433797)</cp:lastModifiedBy>
  <cp:revision>3</cp:revision>
  <dcterms:created xsi:type="dcterms:W3CDTF">2025-12-09T12:59:00Z</dcterms:created>
  <dcterms:modified xsi:type="dcterms:W3CDTF">2025-12-18T02:00:00Z</dcterms:modified>
</cp:coreProperties>
</file>