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2"/>
          <w:szCs w:val="32"/>
        </w:rPr>
      </w:pPr>
      <w:r w:rsidDel="00000000" w:rsidR="00000000" w:rsidRPr="00000000">
        <w:rPr>
          <w:b w:val="1"/>
          <w:bCs w:val="1"/>
          <w:sz w:val="32"/>
          <w:szCs w:val="32"/>
        </w:rPr>
        <w:drawing>
          <wp:inline distB="114300" distT="114300" distL="114300" distR="114300">
            <wp:extent cx="4154902" cy="1456194"/>
            <wp:effectExtent b="0" l="0" r="0" t="0"/>
            <wp:docPr id="18" name="image7.png"/>
            <a:graphic>
              <a:graphicData uri="http://schemas.openxmlformats.org/drawingml/2006/picture">
                <pic:pic>
                  <pic:nvPicPr>
                    <pic:cNvPr id="0" name="image7.png"/>
                    <pic:cNvPicPr preferRelativeResize="0"/>
                  </pic:nvPicPr>
                  <pic:blipFill>
                    <a:blip r:embed="rId6"/>
                    <a:srcRect b="0" l="0" r="0" t="0"/>
                    <a:stretch>
                      <a:fillRect/>
                    </a:stretch>
                  </pic:blipFill>
                  <pic:spPr>
                    <a:xfrm>
                      <a:off x="0" y="0"/>
                      <a:ext cx="4154902" cy="145619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sz w:val="32"/>
          <w:szCs w:val="32"/>
        </w:rPr>
      </w:pPr>
      <w:r w:rsidDel="00000000" w:rsidR="00000000" w:rsidRPr="00000000">
        <w:rPr>
          <w:rtl w:val="0"/>
        </w:rPr>
      </w:r>
    </w:p>
    <w:p w:rsidR="00000000" w:rsidDel="00000000" w:rsidP="00000000" w:rsidRDefault="00000000" w:rsidRPr="00000000" w14:paraId="00000003">
      <w:pPr>
        <w:spacing w:after="0" w:before="0" w:lineRule="auto"/>
        <w:jc w:val="center"/>
        <w:rPr>
          <w:b w:val="1"/>
          <w:bCs w:val="1"/>
          <w:sz w:val="28"/>
          <w:szCs w:val="28"/>
        </w:rPr>
      </w:pPr>
      <w:r w:rsidDel="00000000" w:rsidR="00000000" w:rsidRPr="00000000">
        <w:rPr>
          <w:b w:val="1"/>
          <w:bCs w:val="1"/>
          <w:sz w:val="28"/>
          <w:szCs w:val="28"/>
          <w:rtl w:val="0"/>
        </w:rPr>
        <w:t xml:space="preserve">Student Name: Ayush Alpeshbhai Navdiya </w:t>
      </w:r>
    </w:p>
    <w:p w:rsidR="00000000" w:rsidDel="00000000" w:rsidP="00000000" w:rsidRDefault="00000000" w:rsidRPr="00000000" w14:paraId="00000004">
      <w:pPr>
        <w:spacing w:after="0" w:before="0" w:lineRule="auto"/>
        <w:jc w:val="center"/>
        <w:rPr>
          <w:b w:val="1"/>
          <w:bCs w:val="1"/>
          <w:sz w:val="28"/>
          <w:szCs w:val="28"/>
        </w:rPr>
      </w:pPr>
      <w:r w:rsidDel="00000000" w:rsidR="00000000" w:rsidRPr="00000000">
        <w:rPr>
          <w:b w:val="1"/>
          <w:bCs w:val="1"/>
          <w:sz w:val="28"/>
          <w:szCs w:val="28"/>
          <w:rtl w:val="0"/>
        </w:rPr>
        <w:t xml:space="preserve">Student ID: 2530961</w:t>
      </w:r>
    </w:p>
    <w:p w:rsidR="00000000" w:rsidDel="00000000" w:rsidP="00000000" w:rsidRDefault="00000000" w:rsidRPr="00000000" w14:paraId="00000005">
      <w:pPr>
        <w:spacing w:after="0" w:before="0" w:lineRule="auto"/>
        <w:jc w:val="center"/>
        <w:rPr>
          <w:b w:val="1"/>
          <w:bCs w:val="1"/>
          <w:sz w:val="28"/>
          <w:szCs w:val="28"/>
        </w:rPr>
      </w:pPr>
      <w:r w:rsidDel="00000000" w:rsidR="00000000" w:rsidRPr="00000000">
        <w:rPr>
          <w:b w:val="1"/>
          <w:bCs w:val="1"/>
          <w:sz w:val="28"/>
          <w:szCs w:val="28"/>
          <w:rtl w:val="0"/>
        </w:rPr>
        <w:t xml:space="preserve">Module Name: Financial Management</w:t>
      </w:r>
    </w:p>
    <w:p w:rsidR="00000000" w:rsidDel="00000000" w:rsidP="00000000" w:rsidRDefault="00000000" w:rsidRPr="00000000" w14:paraId="00000006">
      <w:pPr>
        <w:spacing w:after="0" w:before="0" w:lineRule="auto"/>
        <w:jc w:val="center"/>
        <w:rPr>
          <w:b w:val="1"/>
          <w:bCs w:val="1"/>
          <w:sz w:val="28"/>
          <w:szCs w:val="28"/>
        </w:rPr>
      </w:pPr>
      <w:r w:rsidDel="00000000" w:rsidR="00000000" w:rsidRPr="00000000">
        <w:rPr>
          <w:b w:val="1"/>
          <w:bCs w:val="1"/>
          <w:sz w:val="28"/>
          <w:szCs w:val="28"/>
          <w:rtl w:val="0"/>
        </w:rPr>
        <w:t xml:space="preserve">Module Code: LCMB7002</w:t>
      </w:r>
    </w:p>
    <w:p w:rsidR="00000000" w:rsidDel="00000000" w:rsidP="00000000" w:rsidRDefault="00000000" w:rsidRPr="00000000" w14:paraId="00000007">
      <w:pPr>
        <w:spacing w:after="0" w:before="0" w:lineRule="auto"/>
        <w:jc w:val="center"/>
        <w:rPr>
          <w:b w:val="1"/>
          <w:bCs w:val="1"/>
          <w:sz w:val="28"/>
          <w:szCs w:val="28"/>
        </w:rPr>
      </w:pPr>
      <w:r w:rsidDel="00000000" w:rsidR="00000000" w:rsidRPr="00000000">
        <w:rPr>
          <w:b w:val="1"/>
          <w:bCs w:val="1"/>
          <w:sz w:val="28"/>
          <w:szCs w:val="28"/>
          <w:rtl w:val="0"/>
        </w:rPr>
        <w:t xml:space="preserve">Lecturer’s Name: Shengfeng Mei &amp; Patrick Yeboah</w:t>
      </w:r>
    </w:p>
    <w:p w:rsidR="00000000" w:rsidDel="00000000" w:rsidP="00000000" w:rsidRDefault="00000000" w:rsidRPr="00000000" w14:paraId="00000008">
      <w:pPr>
        <w:spacing w:after="0" w:before="0" w:lineRule="auto"/>
        <w:jc w:val="center"/>
        <w:rPr>
          <w:b w:val="1"/>
          <w:bCs w:val="1"/>
          <w:sz w:val="28"/>
          <w:szCs w:val="28"/>
        </w:rPr>
      </w:pPr>
      <w:r w:rsidDel="00000000" w:rsidR="00000000" w:rsidRPr="00000000">
        <w:rPr>
          <w:b w:val="1"/>
          <w:bCs w:val="1"/>
          <w:sz w:val="28"/>
          <w:szCs w:val="28"/>
          <w:rtl w:val="0"/>
        </w:rPr>
        <w:t xml:space="preserve">Work Count: 5000</w:t>
      </w:r>
    </w:p>
    <w:p w:rsidR="00000000" w:rsidDel="00000000" w:rsidP="00000000" w:rsidRDefault="00000000" w:rsidRPr="00000000" w14:paraId="00000009">
      <w:pPr>
        <w:spacing w:after="0" w:before="0" w:lineRule="auto"/>
        <w:jc w:val="center"/>
        <w:rPr>
          <w:b w:val="1"/>
          <w:bCs w:val="1"/>
          <w:sz w:val="28"/>
          <w:szCs w:val="28"/>
        </w:rPr>
      </w:pPr>
      <w:r w:rsidDel="00000000" w:rsidR="00000000" w:rsidRPr="00000000">
        <w:rPr>
          <w:b w:val="1"/>
          <w:bCs w:val="1"/>
          <w:sz w:val="28"/>
          <w:szCs w:val="28"/>
          <w:rtl w:val="0"/>
        </w:rPr>
        <w:t xml:space="preserve">Title : Financial performance and management - Case study of BYD</w:t>
      </w:r>
    </w:p>
    <w:p w:rsidR="00000000" w:rsidDel="00000000" w:rsidP="00000000" w:rsidRDefault="00000000" w:rsidRPr="00000000" w14:paraId="0000000A">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0B">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0C">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0D">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0E">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0F">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10">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11">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12">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13">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14">
      <w:pPr>
        <w:spacing w:after="0" w:before="0" w:lineRule="auto"/>
        <w:jc w:val="center"/>
        <w:rPr>
          <w:b w:val="1"/>
          <w:bCs w:val="1"/>
          <w:sz w:val="28"/>
          <w:szCs w:val="28"/>
        </w:rPr>
      </w:pPr>
      <w:r w:rsidDel="00000000" w:rsidR="00000000" w:rsidRPr="00000000">
        <w:rPr>
          <w:rtl w:val="0"/>
        </w:rPr>
      </w:r>
    </w:p>
    <w:p w:rsidR="00000000" w:rsidDel="00000000" w:rsidP="00000000" w:rsidRDefault="00000000" w:rsidRPr="00000000" w14:paraId="00000015">
      <w:pPr>
        <w:jc w:val="center"/>
        <w:rPr>
          <w:b w:val="1"/>
          <w:bCs w:val="1"/>
          <w:sz w:val="28"/>
          <w:szCs w:val="28"/>
        </w:rPr>
      </w:pPr>
      <w:r w:rsidDel="00000000" w:rsidR="00000000" w:rsidRPr="00000000">
        <w:rPr>
          <w:b w:val="1"/>
          <w:bCs w:val="1"/>
          <w:sz w:val="28"/>
          <w:szCs w:val="28"/>
          <w:rtl w:val="0"/>
        </w:rPr>
        <w:t xml:space="preserve">Executive Summary</w:t>
      </w:r>
    </w:p>
    <w:p w:rsidR="00000000" w:rsidDel="00000000" w:rsidP="00000000" w:rsidRDefault="00000000" w:rsidRPr="00000000" w14:paraId="00000016">
      <w:pPr>
        <w:rPr/>
      </w:pPr>
      <w:r w:rsidDel="00000000" w:rsidR="00000000" w:rsidRPr="00000000">
        <w:rPr>
          <w:rtl w:val="0"/>
        </w:rPr>
        <w:t xml:space="preserve">This report assesses the financial performance and strategic positioning of BYD Company Limited from 2021 to 2025. The discussion shows high revenue growth and international expansion, which was enhanced by advances in operational effectiveness. Nonetheless, liquidity limitation and increasing leverage are the major financial issues. An extensive investment appraisal of the three projects indicates that project C has the best returns and payback period, whereas projects B and C are best in capital rationing. Overall, the report recommends improving liquidity management, controlling costs, and adopting balanced financing strategies to support sustainable growth.</w:t>
      </w:r>
      <w:r w:rsidDel="00000000" w:rsidR="00000000" w:rsidRPr="00000000">
        <w:br w:type="page"/>
      </w: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bookmarkStart w:colFirst="0" w:colLast="0" w:name="_vj8pu1t274h6" w:id="0"/>
      <w:bookmarkEnd w:id="0"/>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1231328366"/>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kfccszcbx9q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6g7jju0s8p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Financial Health Check</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ox25bw2hjo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Overview of Financial Performance (5 years)</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muwdvkae45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Ratio Analysis</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abt43hlvuya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Key trends, strengths, and threats</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fdcec40kc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Overall Evaluation</w:t>
              <w:tab/>
              <w:t xml:space="preserve">10</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enqmn4hbtz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Working Capital Management</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lbzquqd93c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Cash Conversion Cycle</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8jk2wl10tl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Analysis of Working Capital</w:t>
              <w:tab/>
              <w:t xml:space="preserve">12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ixun0l0ki1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Improvement Strategies</w:t>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kzrq6udau8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Comparison of Financing Options</w:t>
              <w:tab/>
              <w:t xml:space="preserve">13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szparlv4wf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Financial Restructuring Plan</w:t>
              <w:tab/>
              <w:t xml:space="preserve">14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61wsmf8i2zh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Capital Structure and Shareholder Value Analysis</w:t>
              <w:tab/>
              <w:t xml:space="preserve">14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88ocq6mi8i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Identification of Financial Issues</w:t>
              <w:tab/>
              <w:t xml:space="preserve">15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gk7uu4p4ut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Proposed Restructuring Strategies</w:t>
              <w:tab/>
              <w:t xml:space="preserve">16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sbixygw0mk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Impact Evaluation</w:t>
              <w:tab/>
              <w:t xml:space="preserve">17</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u9u8et7jh1x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Global &amp; Ethical Considerations</w:t>
              <w:tab/>
              <w:t xml:space="preserve">18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kj6vtll82p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Investment Appraisal</w:t>
              <w:tab/>
              <w:t xml:space="preserve">19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dp8b3iw481c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 to Investment Decision</w:t>
              <w:tab/>
              <w:t xml:space="preserve">19</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wa9g622882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Project Evaluation</w:t>
              <w:tab/>
              <w:t xml:space="preserve">20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8zhfega1aa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Comparison of Projects</w:t>
              <w:tab/>
              <w:t xml:space="preserve">22</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nkjvxwjuq9l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Project Selection</w:t>
              <w:tab/>
              <w:t xml:space="preserve">23</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sv4hg7h44i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Capital Rationing Decision</w:t>
              <w:tab/>
              <w:t xml:space="preserve">24</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iqmef3hm18v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24</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11sti3mkelw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25</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ft8xffbekhd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w:t>
              <w:tab/>
              <w:t xml:space="preserve">28</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jiolyy5q6j7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Financial Dashboard</w:t>
              <w:tab/>
              <w:t xml:space="preserve">28</w:t>
            </w:r>
          </w:hyperlink>
          <w:r w:rsidDel="00000000" w:rsidR="00000000" w:rsidRPr="00000000">
            <w:rPr>
              <w:rtl w:val="0"/>
            </w:rPr>
          </w:r>
        </w:p>
        <w:p w:rsidR="00000000" w:rsidDel="00000000" w:rsidP="00000000" w:rsidRDefault="00000000" w:rsidRPr="00000000" w14:paraId="0000003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4">
      <w:pP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pPr>
      <w:bookmarkStart w:colFirst="0" w:colLast="0" w:name="_kfccszcbx9q3" w:id="1"/>
      <w:bookmarkEnd w:id="1"/>
      <w:r w:rsidDel="00000000" w:rsidR="00000000" w:rsidRPr="00000000">
        <w:rPr>
          <w:rtl w:val="0"/>
        </w:rPr>
        <w:t xml:space="preserve">Introduction</w:t>
      </w:r>
    </w:p>
    <w:p w:rsidR="00000000" w:rsidDel="00000000" w:rsidP="00000000" w:rsidRDefault="00000000" w:rsidRPr="00000000" w14:paraId="00000036">
      <w:pPr>
        <w:rPr/>
      </w:pPr>
      <w:r w:rsidDel="00000000" w:rsidR="00000000" w:rsidRPr="00000000">
        <w:rPr>
          <w:rtl w:val="0"/>
        </w:rPr>
        <w:t xml:space="preserve">BYD Company Limited is a multinational company involved in the production of new energy vehicles (NEVs), batteries, and clean energy. The company has diversified itself in many industries, which comprise automotive manufacturing, electronics, energy storage and photovoltaics, with current technological innovation and international expansion. The purpose of this report is to analyse the financial performance of BYD in the five-year time frame during the period 2021-2025. It evaluates the company's financial position and liquidity, and its strategic development, and provides advice on investment decisions and financial restructuring to contribute to sustainable growth and competitiveness in the long run.</w:t>
      </w:r>
    </w:p>
    <w:p w:rsidR="00000000" w:rsidDel="00000000" w:rsidP="00000000" w:rsidRDefault="00000000" w:rsidRPr="00000000" w14:paraId="00000037">
      <w:pPr>
        <w:pStyle w:val="Heading1"/>
        <w:rPr/>
      </w:pPr>
      <w:bookmarkStart w:colFirst="0" w:colLast="0" w:name="_86g7jju0s8p8" w:id="2"/>
      <w:bookmarkEnd w:id="2"/>
      <w:r w:rsidDel="00000000" w:rsidR="00000000" w:rsidRPr="00000000">
        <w:rPr>
          <w:rtl w:val="0"/>
        </w:rPr>
        <w:t xml:space="preserve">Financial Health Check</w:t>
      </w:r>
    </w:p>
    <w:p w:rsidR="00000000" w:rsidDel="00000000" w:rsidP="00000000" w:rsidRDefault="00000000" w:rsidRPr="00000000" w14:paraId="00000038">
      <w:pPr>
        <w:pStyle w:val="Heading2"/>
        <w:rPr/>
      </w:pPr>
      <w:bookmarkStart w:colFirst="0" w:colLast="0" w:name="_qox25bw2hjow" w:id="3"/>
      <w:bookmarkEnd w:id="3"/>
      <w:r w:rsidDel="00000000" w:rsidR="00000000" w:rsidRPr="00000000">
        <w:rPr>
          <w:rtl w:val="0"/>
        </w:rPr>
        <w:t xml:space="preserve">Overview of Financial Performance (5 years)</w:t>
      </w:r>
    </w:p>
    <w:tbl>
      <w:tblPr>
        <w:tblStyle w:val="Table1"/>
        <w:tblW w:w="9360.0" w:type="dxa"/>
        <w:jc w:val="left"/>
        <w:tblInd w:w="-1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9">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drawing>
                <wp:inline distB="114300" distT="114300" distL="114300" distR="114300">
                  <wp:extent cx="5810250" cy="3098800"/>
                  <wp:effectExtent b="0" l="0" r="0" t="0"/>
                  <wp:docPr id="1" name="image12.png"/>
                  <a:graphic>
                    <a:graphicData uri="http://schemas.openxmlformats.org/drawingml/2006/picture">
                      <pic:pic>
                        <pic:nvPicPr>
                          <pic:cNvPr id="0" name="image12.png"/>
                          <pic:cNvPicPr preferRelativeResize="0"/>
                        </pic:nvPicPr>
                        <pic:blipFill>
                          <a:blip r:embed="rId7"/>
                          <a:srcRect b="0" l="0" r="0" t="0"/>
                          <a:stretch>
                            <a:fillRect/>
                          </a:stretch>
                        </pic:blipFill>
                        <pic:spPr>
                          <a:xfrm>
                            <a:off x="0" y="0"/>
                            <a:ext cx="5810250" cy="30988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drawing>
                <wp:inline distB="114300" distT="114300" distL="114300" distR="114300">
                  <wp:extent cx="5810250" cy="3098800"/>
                  <wp:effectExtent b="0" l="0" r="0" t="0"/>
                  <wp:docPr id="3" name="image14.png"/>
                  <a:graphic>
                    <a:graphicData uri="http://schemas.openxmlformats.org/drawingml/2006/picture">
                      <pic:pic>
                        <pic:nvPicPr>
                          <pic:cNvPr id="0" name="image14.png"/>
                          <pic:cNvPicPr preferRelativeResize="0"/>
                        </pic:nvPicPr>
                        <pic:blipFill>
                          <a:blip r:embed="rId8"/>
                          <a:srcRect b="0" l="0" r="0" t="0"/>
                          <a:stretch>
                            <a:fillRect/>
                          </a:stretch>
                        </pic:blipFill>
                        <pic:spPr>
                          <a:xfrm>
                            <a:off x="0" y="0"/>
                            <a:ext cx="5810250" cy="309880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drawing>
                <wp:inline distB="114300" distT="114300" distL="114300" distR="114300">
                  <wp:extent cx="5810250" cy="1143000"/>
                  <wp:effectExtent b="0" l="0" r="0" t="0"/>
                  <wp:docPr id="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810250" cy="1143000"/>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03C">
      <w:pPr>
        <w:jc w:val="center"/>
        <w:rPr>
          <w:b w:val="1"/>
          <w:bCs w:val="1"/>
        </w:rPr>
      </w:pPr>
      <w:r w:rsidDel="00000000" w:rsidR="00000000" w:rsidRPr="00000000">
        <w:rPr>
          <w:b w:val="1"/>
          <w:bCs w:val="1"/>
          <w:rtl w:val="0"/>
        </w:rPr>
        <w:t xml:space="preserve">Figure 1: Financial statements</w:t>
      </w:r>
    </w:p>
    <w:p w:rsidR="00000000" w:rsidDel="00000000" w:rsidP="00000000" w:rsidRDefault="00000000" w:rsidRPr="00000000" w14:paraId="0000003D">
      <w:pPr>
        <w:rPr/>
      </w:pPr>
      <w:r w:rsidDel="00000000" w:rsidR="00000000" w:rsidRPr="00000000">
        <w:rPr>
          <w:rtl w:val="0"/>
        </w:rPr>
        <w:t xml:space="preserve">It has been demonstrated that BYD was very financially receptive in the period of five years, between 2021 and 2025. The operating revenue increased immensely by RMB 216.1 billion in 2021 to RMB 803.9 billion in 2025 as an indication of a higher growth rate and addition to the need to own an electric car. The other aspect that improved was the gross profit, which rose from RMB 28.1 billion to RMB 142.7 billion; this implies that even with an increase in costs, production efficiency has also been boosted. The after-tax net profit paid to shareholders in the form of dividends rose to RMB 326.2 billion by 2025, compared to the 2021 level at RMB 30.5 billion, reflecting variations during the period. Aggressive investment and an increase in capacity increased the total assets by 295.8 billion to reflect the amount at RMB 883.8 billion. However, the increase in liabilities and operating costs is an indication of escalating financial strain. Altogether, BYD demonstrates high revenue and market growth, but has to control the cost and financial risks.</w:t>
      </w:r>
    </w:p>
    <w:p w:rsidR="00000000" w:rsidDel="00000000" w:rsidP="00000000" w:rsidRDefault="00000000" w:rsidRPr="00000000" w14:paraId="0000003E">
      <w:pPr>
        <w:pStyle w:val="Heading2"/>
        <w:rPr/>
      </w:pPr>
      <w:bookmarkStart w:colFirst="0" w:colLast="0" w:name="_7muwdvkae45v" w:id="4"/>
      <w:bookmarkEnd w:id="4"/>
      <w:r w:rsidDel="00000000" w:rsidR="00000000" w:rsidRPr="00000000">
        <w:rPr>
          <w:rtl w:val="0"/>
        </w:rPr>
        <w:t xml:space="preserve">Ratio Analysis</w:t>
      </w:r>
    </w:p>
    <w:p w:rsidR="00000000" w:rsidDel="00000000" w:rsidP="00000000" w:rsidRDefault="00000000" w:rsidRPr="00000000" w14:paraId="0000003F">
      <w:pPr>
        <w:jc w:val="center"/>
        <w:rPr/>
      </w:pPr>
      <w:r w:rsidDel="00000000" w:rsidR="00000000" w:rsidRPr="00000000">
        <w:rPr/>
        <w:drawing>
          <wp:inline distB="114300" distT="114300" distL="114300" distR="114300">
            <wp:extent cx="5943600" cy="2514600"/>
            <wp:effectExtent b="12700" l="12700" r="12700" t="12700"/>
            <wp:docPr id="5"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5943600" cy="25146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0">
      <w:pPr>
        <w:jc w:val="center"/>
        <w:rPr>
          <w:b w:val="1"/>
          <w:bCs w:val="1"/>
        </w:rPr>
      </w:pPr>
      <w:r w:rsidDel="00000000" w:rsidR="00000000" w:rsidRPr="00000000">
        <w:rPr>
          <w:b w:val="1"/>
          <w:bCs w:val="1"/>
          <w:rtl w:val="0"/>
        </w:rPr>
        <w:t xml:space="preserve">Figure 2: BYD Profitability and Liquidity Ratios (2021–2025)</w:t>
      </w:r>
    </w:p>
    <w:p w:rsidR="00000000" w:rsidDel="00000000" w:rsidP="00000000" w:rsidRDefault="00000000" w:rsidRPr="00000000" w14:paraId="00000041">
      <w:pPr>
        <w:rPr/>
      </w:pPr>
      <w:r w:rsidDel="00000000" w:rsidR="00000000" w:rsidRPr="00000000">
        <w:rPr>
          <w:rtl w:val="0"/>
        </w:rPr>
        <w:t xml:space="preserve">The figure indicates that profitability is expected to increase between the years 2021 and 2023, with gross profit margin increasing to 20.21% before slightly going down to 17.74% in 2025. The net profit margin has an upward trend. However, the liquidity is also not high, and the current ratio is forever below 1, and as per the calculation in 2025, it will be 0.79. It proves that in spite of the increased profitability, BYD still faces short-term liquidity constraints and strains in its cash flow.</w:t>
      </w:r>
    </w:p>
    <w:p w:rsidR="00000000" w:rsidDel="00000000" w:rsidP="00000000" w:rsidRDefault="00000000" w:rsidRPr="00000000" w14:paraId="00000042">
      <w:pPr>
        <w:jc w:val="center"/>
        <w:rPr/>
      </w:pPr>
      <w:r w:rsidDel="00000000" w:rsidR="00000000" w:rsidRPr="00000000">
        <w:rPr/>
        <w:drawing>
          <wp:inline distB="114300" distT="114300" distL="114300" distR="114300">
            <wp:extent cx="5943600" cy="3111500"/>
            <wp:effectExtent b="12700" l="12700" r="12700" t="12700"/>
            <wp:docPr id="4" name="image16.png"/>
            <a:graphic>
              <a:graphicData uri="http://schemas.openxmlformats.org/drawingml/2006/picture">
                <pic:pic>
                  <pic:nvPicPr>
                    <pic:cNvPr id="0" name="image16.png"/>
                    <pic:cNvPicPr preferRelativeResize="0"/>
                  </pic:nvPicPr>
                  <pic:blipFill>
                    <a:blip r:embed="rId11"/>
                    <a:srcRect b="0" l="0" r="0" t="0"/>
                    <a:stretch>
                      <a:fillRect/>
                    </a:stretch>
                  </pic:blipFill>
                  <pic:spPr>
                    <a:xfrm>
                      <a:off x="0" y="0"/>
                      <a:ext cx="5943600" cy="31115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3">
      <w:pPr>
        <w:jc w:val="center"/>
        <w:rPr>
          <w:b w:val="1"/>
          <w:bCs w:val="1"/>
        </w:rPr>
      </w:pPr>
      <w:r w:rsidDel="00000000" w:rsidR="00000000" w:rsidRPr="00000000">
        <w:rPr>
          <w:b w:val="1"/>
          <w:bCs w:val="1"/>
          <w:rtl w:val="0"/>
        </w:rPr>
        <w:t xml:space="preserve">Figure 3: BYD Efficiency, Gearing, Investment, and Cash Flow Ratios (2021–2025)</w:t>
      </w:r>
    </w:p>
    <w:p w:rsidR="00000000" w:rsidDel="00000000" w:rsidP="00000000" w:rsidRDefault="00000000" w:rsidRPr="00000000" w14:paraId="00000044">
      <w:pPr>
        <w:rPr/>
      </w:pPr>
      <w:r w:rsidDel="00000000" w:rsidR="00000000" w:rsidRPr="00000000">
        <w:rPr>
          <w:rtl w:val="0"/>
        </w:rPr>
        <w:t xml:space="preserve">The figure reflects greater operational efficiency with the receivable days dropping to 16.8 days compared to 61.2 days; it indicates that the company is paying the dues more quickly. Nevertheless, there was an increase in leverage, where the debt-to-equity ratio was at its peak of 3.52, followed by a decline. The interest coverage is also sufficient, which denotes that debt servicing is feasible (Huang and Zhang, 2025). The cash flow performance had been poor, and operating cash flow ratios had declined, with the free cash flow turning negative in 2025, showing that the financial pressure had been growing despite the improvements in operational efficiency.</w:t>
      </w:r>
    </w:p>
    <w:p w:rsidR="00000000" w:rsidDel="00000000" w:rsidP="00000000" w:rsidRDefault="00000000" w:rsidRPr="00000000" w14:paraId="00000045">
      <w:pPr>
        <w:jc w:val="center"/>
        <w:rPr/>
      </w:pPr>
      <w:r w:rsidDel="00000000" w:rsidR="00000000" w:rsidRPr="00000000">
        <w:rPr/>
        <w:drawing>
          <wp:inline distB="114300" distT="114300" distL="114300" distR="114300">
            <wp:extent cx="5943600" cy="3327400"/>
            <wp:effectExtent b="12700" l="12700" r="12700" t="12700"/>
            <wp:docPr id="7" name="image18.png"/>
            <a:graphic>
              <a:graphicData uri="http://schemas.openxmlformats.org/drawingml/2006/picture">
                <pic:pic>
                  <pic:nvPicPr>
                    <pic:cNvPr id="0" name="image18.png"/>
                    <pic:cNvPicPr preferRelativeResize="0"/>
                  </pic:nvPicPr>
                  <pic:blipFill>
                    <a:blip r:embed="rId12"/>
                    <a:srcRect b="0" l="0" r="0" t="0"/>
                    <a:stretch>
                      <a:fillRect/>
                    </a:stretch>
                  </pic:blipFill>
                  <pic:spPr>
                    <a:xfrm>
                      <a:off x="0" y="0"/>
                      <a:ext cx="5943600" cy="33274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6">
      <w:pPr>
        <w:jc w:val="center"/>
        <w:rPr>
          <w:b w:val="1"/>
          <w:bCs w:val="1"/>
        </w:rPr>
      </w:pPr>
      <w:r w:rsidDel="00000000" w:rsidR="00000000" w:rsidRPr="00000000">
        <w:rPr>
          <w:b w:val="1"/>
          <w:bCs w:val="1"/>
          <w:rtl w:val="0"/>
        </w:rPr>
        <w:t xml:space="preserve">Figure 4: Revenue vs Net Profit Growth (2021–2025)</w:t>
      </w:r>
    </w:p>
    <w:p w:rsidR="00000000" w:rsidDel="00000000" w:rsidP="00000000" w:rsidRDefault="00000000" w:rsidRPr="00000000" w14:paraId="00000047">
      <w:pPr>
        <w:rPr/>
      </w:pPr>
      <w:r w:rsidDel="00000000" w:rsidR="00000000" w:rsidRPr="00000000">
        <w:rPr>
          <w:rtl w:val="0"/>
        </w:rPr>
        <w:t xml:space="preserve">This figure represents a vehement upward movement in the revenue of BYD, and that revenue is going to significantly rise by about RMB 216 billion in 2021 to about RMB 804 billion in 2025, considering the fact that the market has experienced rapid growth and is currently experiencing greater demand for electric cars. The net profit is also showing an overall inclination in that it increased to more than RMB 326 billion, though with variations here and there, overall it has shown an upward trend with some variations in the middle. This indicates that although BYD is registering positively on sales growth, profitability is not rising accordingly by a similar steady fashion, hence adding overheads, pricing strain and competition that is negatively reflecting upon overall margins.</w:t>
      </w:r>
    </w:p>
    <w:p w:rsidR="00000000" w:rsidDel="00000000" w:rsidP="00000000" w:rsidRDefault="00000000" w:rsidRPr="00000000" w14:paraId="00000048">
      <w:pPr>
        <w:jc w:val="center"/>
        <w:rPr/>
      </w:pPr>
      <w:r w:rsidDel="00000000" w:rsidR="00000000" w:rsidRPr="00000000">
        <w:rPr/>
        <w:drawing>
          <wp:inline distB="114300" distT="114300" distL="114300" distR="114300">
            <wp:extent cx="5943600" cy="3797300"/>
            <wp:effectExtent b="12700" l="12700" r="12700" t="12700"/>
            <wp:docPr id="6" name="image15.png"/>
            <a:graphic>
              <a:graphicData uri="http://schemas.openxmlformats.org/drawingml/2006/picture">
                <pic:pic>
                  <pic:nvPicPr>
                    <pic:cNvPr id="0" name="image15.png"/>
                    <pic:cNvPicPr preferRelativeResize="0"/>
                  </pic:nvPicPr>
                  <pic:blipFill>
                    <a:blip r:embed="rId13"/>
                    <a:srcRect b="0" l="0" r="0" t="0"/>
                    <a:stretch>
                      <a:fillRect/>
                    </a:stretch>
                  </pic:blipFill>
                  <pic:spPr>
                    <a:xfrm>
                      <a:off x="0" y="0"/>
                      <a:ext cx="5943600" cy="37973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9">
      <w:pPr>
        <w:jc w:val="center"/>
        <w:rPr>
          <w:b w:val="1"/>
          <w:bCs w:val="1"/>
        </w:rPr>
      </w:pPr>
      <w:r w:rsidDel="00000000" w:rsidR="00000000" w:rsidRPr="00000000">
        <w:rPr>
          <w:b w:val="1"/>
          <w:bCs w:val="1"/>
          <w:rtl w:val="0"/>
        </w:rPr>
        <w:t xml:space="preserve">Figure 5: Profit Margin Trends (2021–2025)</w:t>
      </w:r>
    </w:p>
    <w:p w:rsidR="00000000" w:rsidDel="00000000" w:rsidP="00000000" w:rsidRDefault="00000000" w:rsidRPr="00000000" w14:paraId="0000004A">
      <w:pPr>
        <w:rPr/>
      </w:pPr>
      <w:r w:rsidDel="00000000" w:rsidR="00000000" w:rsidRPr="00000000">
        <w:rPr>
          <w:rtl w:val="0"/>
        </w:rPr>
        <w:t xml:space="preserve">According to the chart, the profitability of BYD grew significantly in 2021-2023, and the gross profit margin grew to over 20%, which suggests better control over costs and operating efficiency. However, since 2023, all the margins, operating and net profit margin, have begun to fall at slightly varying rates and in 2025, the gross margin goes down to around 17.7%. This downward trend suggests the increasing pressure of expenses, the increase in the cost of production and the competition in the EV market. Although the revenues increased fast, there is also the problem of maintaining profitability later in the years since BYD faces issues of high growth with its strong growth.</w:t>
      </w:r>
    </w:p>
    <w:p w:rsidR="00000000" w:rsidDel="00000000" w:rsidP="00000000" w:rsidRDefault="00000000" w:rsidRPr="00000000" w14:paraId="0000004B">
      <w:pPr>
        <w:pStyle w:val="Heading2"/>
        <w:rPr/>
      </w:pPr>
      <w:bookmarkStart w:colFirst="0" w:colLast="0" w:name="_abt43hlvuyae" w:id="5"/>
      <w:bookmarkEnd w:id="5"/>
      <w:r w:rsidDel="00000000" w:rsidR="00000000" w:rsidRPr="00000000">
        <w:rPr>
          <w:rtl w:val="0"/>
        </w:rPr>
        <w:t xml:space="preserve">Key trends, strengths, and threats </w:t>
      </w:r>
    </w:p>
    <w:p w:rsidR="00000000" w:rsidDel="00000000" w:rsidP="00000000" w:rsidRDefault="00000000" w:rsidRPr="00000000" w14:paraId="0000004C">
      <w:pPr>
        <w:rPr/>
      </w:pPr>
      <w:r w:rsidDel="00000000" w:rsidR="00000000" w:rsidRPr="00000000">
        <w:rPr>
          <w:rtl w:val="0"/>
        </w:rPr>
        <w:t xml:space="preserve">This report on the financial performance of BYD in 2021 through 2025 illustrates a few significant trends. The most remarkable one is the considerable revenue growth that started at around RMB 216 billion in 2021 and exceeded RMB 800 billion in 2025. This indicates a high sale of electric cars and effective internationalisation. The profitability ratios, gross, operating, and net profit margin, have grown steadily during the time frame between 2021 and 2023, which suggests the improvement of cost control and the maximization of the operations (Ding, 2025). However, since 2023, the margins have begun to decline even by a small percentage; thus, the cost of production and the competition have increased. The efficiency was also increased as it was reflected in the reduction in the number of days (more than 60 days) during which the receivables collection was less than 20 days, which indicated efficiency in cash handling. Despite such gains, the liquidity ratios would remain at or below 1, indicating that the company faces a temporary financial constraint.</w:t>
      </w:r>
    </w:p>
    <w:p w:rsidR="00000000" w:rsidDel="00000000" w:rsidP="00000000" w:rsidRDefault="00000000" w:rsidRPr="00000000" w14:paraId="0000004D">
      <w:pPr>
        <w:rPr/>
      </w:pPr>
      <w:r w:rsidDel="00000000" w:rsidR="00000000" w:rsidRPr="00000000">
        <w:rPr>
          <w:rtl w:val="0"/>
        </w:rPr>
        <w:t xml:space="preserve">Good market share in the fast-moving electric vehicle market is one of the reasons why BYD has emerged as a formidable competitor. The firm has been able to capitalise on innovation and technological strengths to spur growth and go international. The increase in revenues and overall assets implies that it is capable of growing decently. Additionally, its profitability may also have been growing recently, which could mean that BYD can afford to take advantage of economies of scale and efficiency in its operations. Good interest coverage ratios also indicate that the company can easily settle its debt liabilities, hence financial stability, regardless of greater borrowing. In addition, it has an improved efficiency ratio, which shows that the firm makes good use of working capital and is more efficient in its use, indicated by the drop in the days it takes to collect receivables.</w:t>
      </w:r>
    </w:p>
    <w:p w:rsidR="00000000" w:rsidDel="00000000" w:rsidP="00000000" w:rsidRDefault="00000000" w:rsidRPr="00000000" w14:paraId="0000004E">
      <w:pPr>
        <w:rPr/>
      </w:pPr>
      <w:r w:rsidDel="00000000" w:rsidR="00000000" w:rsidRPr="00000000">
        <w:rPr>
          <w:rtl w:val="0"/>
        </w:rPr>
        <w:t xml:space="preserve">However, BYD is also facing several significant threats. The liquidity risk is among the primary problems as all the current and quick ratios have been in the tendency of remaining below reasonable amounts during the period, suggesting that they will have difficulties in meeting the current liabilities. The other problem is the growing leverage, whereby the debt-equity ratio has gone beyond 3 in some years, and this means that it has relied on more external financing. This may expose the company to increased financial risks, especially when economic slacks encounter (Zhao </w:t>
      </w:r>
      <w:r w:rsidDel="00000000" w:rsidR="00000000" w:rsidRPr="00000000">
        <w:rPr>
          <w:i w:val="1"/>
          <w:iCs w:val="1"/>
          <w:rtl w:val="0"/>
        </w:rPr>
        <w:t xml:space="preserve">et al.</w:t>
      </w:r>
      <w:r w:rsidDel="00000000" w:rsidR="00000000" w:rsidRPr="00000000">
        <w:rPr>
          <w:rtl w:val="0"/>
        </w:rPr>
        <w:t xml:space="preserve"> 2025). Also, the fall in the profit margins beyond 2023 underscores increasing cost pressures and heightened competition in the EV market. The additional effects of profitability can also be caused by other external factors such as inflation, the currency and also uncertainties in the world economy. Thus, as BYD shows high growth and a competitive niche, it is necessary to approach financial management meticulously to retain the performance in the long-term.</w:t>
      </w:r>
    </w:p>
    <w:p w:rsidR="00000000" w:rsidDel="00000000" w:rsidP="00000000" w:rsidRDefault="00000000" w:rsidRPr="00000000" w14:paraId="0000004F">
      <w:pPr>
        <w:pStyle w:val="Heading2"/>
        <w:rPr/>
      </w:pPr>
      <w:bookmarkStart w:colFirst="0" w:colLast="0" w:name="_dfdcec40kcy" w:id="6"/>
      <w:bookmarkEnd w:id="6"/>
      <w:r w:rsidDel="00000000" w:rsidR="00000000" w:rsidRPr="00000000">
        <w:rPr>
          <w:rtl w:val="0"/>
        </w:rPr>
        <w:t xml:space="preserve">Overall Evaluation</w:t>
      </w:r>
    </w:p>
    <w:p w:rsidR="00000000" w:rsidDel="00000000" w:rsidP="00000000" w:rsidRDefault="00000000" w:rsidRPr="00000000" w14:paraId="00000050">
      <w:pPr>
        <w:rPr/>
      </w:pPr>
      <w:r w:rsidDel="00000000" w:rsidR="00000000" w:rsidRPr="00000000">
        <w:rPr>
          <w:rtl w:val="0"/>
        </w:rPr>
        <w:t xml:space="preserve">In general, BYD shows excellent financial performance and a promising foothold in the electric vehicle industry across the globe within the 2021-2025 period. The company has experienced a tremendous growth in terms of revenue and assets, which is done with the help of the rising demand and the penetration of the global market. The initial years showed an increase in profitability, which suggests that operations are efficient, but the recent downward margin changes show growing cost pressures and competition.</w:t>
      </w:r>
    </w:p>
    <w:p w:rsidR="00000000" w:rsidDel="00000000" w:rsidP="00000000" w:rsidRDefault="00000000" w:rsidRPr="00000000" w14:paraId="00000051">
      <w:pPr>
        <w:rPr/>
      </w:pPr>
      <w:r w:rsidDel="00000000" w:rsidR="00000000" w:rsidRPr="00000000">
        <w:rPr>
          <w:rtl w:val="0"/>
        </w:rPr>
        <w:t xml:space="preserve">In spite of the robust growth, liquidity is also a matter, with current ratios continuing to be below 1, indicating the possibility of short-term difficulties in cash flow. Also, expanding the use of debt financing increases the issue of financial risk in the long run (Ding </w:t>
      </w:r>
      <w:r w:rsidDel="00000000" w:rsidR="00000000" w:rsidRPr="00000000">
        <w:rPr>
          <w:i w:val="1"/>
          <w:iCs w:val="1"/>
          <w:rtl w:val="0"/>
        </w:rPr>
        <w:t xml:space="preserve">et al.</w:t>
      </w:r>
      <w:r w:rsidDel="00000000" w:rsidR="00000000" w:rsidRPr="00000000">
        <w:rPr>
          <w:rtl w:val="0"/>
        </w:rPr>
        <w:t xml:space="preserve"> 2025). Nevertheless, BYD has good operational efficiency and is able to service its debt. Finally, BYD is financially sound and growth-oriented, but to maintain sustainable performance and adequate financial stability, improvements in liquidity management and cost control should be provided.</w:t>
      </w:r>
    </w:p>
    <w:p w:rsidR="00000000" w:rsidDel="00000000" w:rsidP="00000000" w:rsidRDefault="00000000" w:rsidRPr="00000000" w14:paraId="00000052">
      <w:pPr>
        <w:pStyle w:val="Heading1"/>
        <w:rPr/>
      </w:pPr>
      <w:bookmarkStart w:colFirst="0" w:colLast="0" w:name="_lenqmn4hbtz1" w:id="7"/>
      <w:bookmarkEnd w:id="7"/>
      <w:r w:rsidDel="00000000" w:rsidR="00000000" w:rsidRPr="00000000">
        <w:rPr>
          <w:rtl w:val="0"/>
        </w:rPr>
        <w:t xml:space="preserve">Working Capital Management</w:t>
      </w:r>
    </w:p>
    <w:p w:rsidR="00000000" w:rsidDel="00000000" w:rsidP="00000000" w:rsidRDefault="00000000" w:rsidRPr="00000000" w14:paraId="00000053">
      <w:pPr>
        <w:pStyle w:val="Heading2"/>
        <w:rPr/>
      </w:pPr>
      <w:bookmarkStart w:colFirst="0" w:colLast="0" w:name="_3lbzquqd93cb" w:id="8"/>
      <w:bookmarkEnd w:id="8"/>
      <w:r w:rsidDel="00000000" w:rsidR="00000000" w:rsidRPr="00000000">
        <w:rPr>
          <w:rtl w:val="0"/>
        </w:rPr>
        <w:t xml:space="preserve">Cash Conversion Cycle</w:t>
      </w:r>
    </w:p>
    <w:p w:rsidR="00000000" w:rsidDel="00000000" w:rsidP="00000000" w:rsidRDefault="00000000" w:rsidRPr="00000000" w14:paraId="00000054">
      <w:pPr>
        <w:jc w:val="center"/>
        <w:rPr/>
      </w:pPr>
      <w:r w:rsidDel="00000000" w:rsidR="00000000" w:rsidRPr="00000000">
        <w:rPr/>
        <w:drawing>
          <wp:inline distB="114300" distT="114300" distL="114300" distR="114300">
            <wp:extent cx="5943600" cy="1816100"/>
            <wp:effectExtent b="12700" l="12700" r="12700" t="12700"/>
            <wp:docPr id="9" name="image13.png"/>
            <a:graphic>
              <a:graphicData uri="http://schemas.openxmlformats.org/drawingml/2006/picture">
                <pic:pic>
                  <pic:nvPicPr>
                    <pic:cNvPr id="0" name="image13.png"/>
                    <pic:cNvPicPr preferRelativeResize="0"/>
                  </pic:nvPicPr>
                  <pic:blipFill>
                    <a:blip r:embed="rId14"/>
                    <a:srcRect b="0" l="0" r="0" t="0"/>
                    <a:stretch>
                      <a:fillRect/>
                    </a:stretch>
                  </pic:blipFill>
                  <pic:spPr>
                    <a:xfrm>
                      <a:off x="0" y="0"/>
                      <a:ext cx="5943600" cy="18161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5">
      <w:pPr>
        <w:jc w:val="center"/>
        <w:rPr>
          <w:b w:val="1"/>
          <w:bCs w:val="1"/>
        </w:rPr>
      </w:pPr>
      <w:r w:rsidDel="00000000" w:rsidR="00000000" w:rsidRPr="00000000">
        <w:rPr>
          <w:b w:val="1"/>
          <w:bCs w:val="1"/>
          <w:rtl w:val="0"/>
        </w:rPr>
        <w:t xml:space="preserve">Figure 6: BYD Cash Operating Cycle Components (2021–2025)</w:t>
      </w:r>
    </w:p>
    <w:p w:rsidR="00000000" w:rsidDel="00000000" w:rsidP="00000000" w:rsidRDefault="00000000" w:rsidRPr="00000000" w14:paraId="00000056">
      <w:pPr>
        <w:rPr/>
      </w:pPr>
      <w:r w:rsidDel="00000000" w:rsidR="00000000" w:rsidRPr="00000000">
        <w:rPr>
          <w:rtl w:val="0"/>
        </w:rPr>
        <w:t xml:space="preserve">The table reveals that the inventory days of BYD decreased in 2021 (84.2) and 2023 (66.6) but increased to 76.4 in 2025, which is moderate inventory management efficiency. The number of receivables days also improved as it went down to 16.8 days, indicating quicker cash collection. Payables days reduced to 103.1 in 2025 as compared to 147.7 in 2023 indicating faster payment to suppliers. Generally, the cash conversion cycle was negative beyond 2021, meaning that BYD collects cash receivables before its suppliers, boding better liquidity use.</w:t>
      </w:r>
    </w:p>
    <w:p w:rsidR="00000000" w:rsidDel="00000000" w:rsidP="00000000" w:rsidRDefault="00000000" w:rsidRPr="00000000" w14:paraId="00000057">
      <w:pPr>
        <w:jc w:val="center"/>
        <w:rPr/>
      </w:pPr>
      <w:r w:rsidDel="00000000" w:rsidR="00000000" w:rsidRPr="00000000">
        <w:rPr/>
        <w:drawing>
          <wp:inline distB="114300" distT="114300" distL="114300" distR="114300">
            <wp:extent cx="5376863" cy="3524258"/>
            <wp:effectExtent b="12700" l="12700" r="12700" t="12700"/>
            <wp:docPr id="8" name="image8.png"/>
            <a:graphic>
              <a:graphicData uri="http://schemas.openxmlformats.org/drawingml/2006/picture">
                <pic:pic>
                  <pic:nvPicPr>
                    <pic:cNvPr id="0" name="image8.png"/>
                    <pic:cNvPicPr preferRelativeResize="0"/>
                  </pic:nvPicPr>
                  <pic:blipFill>
                    <a:blip r:embed="rId15"/>
                    <a:srcRect b="0" l="0" r="0" t="0"/>
                    <a:stretch>
                      <a:fillRect/>
                    </a:stretch>
                  </pic:blipFill>
                  <pic:spPr>
                    <a:xfrm>
                      <a:off x="0" y="0"/>
                      <a:ext cx="5376863" cy="352425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8">
      <w:pPr>
        <w:jc w:val="center"/>
        <w:rPr>
          <w:b w:val="1"/>
          <w:bCs w:val="1"/>
        </w:rPr>
      </w:pPr>
      <w:r w:rsidDel="00000000" w:rsidR="00000000" w:rsidRPr="00000000">
        <w:rPr>
          <w:b w:val="1"/>
          <w:bCs w:val="1"/>
          <w:rtl w:val="0"/>
        </w:rPr>
        <w:t xml:space="preserve">Figure 7: Cash Conversion Cycle Trend (Days) (2021–2025)</w:t>
      </w:r>
    </w:p>
    <w:p w:rsidR="00000000" w:rsidDel="00000000" w:rsidP="00000000" w:rsidRDefault="00000000" w:rsidRPr="00000000" w14:paraId="00000059">
      <w:pPr>
        <w:rPr/>
      </w:pPr>
      <w:r w:rsidDel="00000000" w:rsidR="00000000" w:rsidRPr="00000000">
        <w:rPr>
          <w:rtl w:val="0"/>
        </w:rPr>
        <w:t xml:space="preserve">The chart shows the cash conversion cycle of BYD drastically decreased to -44 days in 2024, after a -9.9 days reduction in 2025, after the previous operation of 3.4 days in 2021. However, a negative cycle points to high working capital efficiency, in which the company receives cash at a higher rate than it gives out to the suppliers. Nevertheless, the downward trend in 2025 to -9.9 days indicates a decrease in efficiency over the past years. This trend indicates that BYD has good liquidity management; however, it also demonstrates that the company needs to maintain effective working capital management.</w:t>
      </w:r>
    </w:p>
    <w:p w:rsidR="00000000" w:rsidDel="00000000" w:rsidP="00000000" w:rsidRDefault="00000000" w:rsidRPr="00000000" w14:paraId="0000005A">
      <w:pPr>
        <w:pStyle w:val="Heading2"/>
        <w:rPr/>
      </w:pPr>
      <w:bookmarkStart w:colFirst="0" w:colLast="0" w:name="_l8jk2wl10tlk" w:id="9"/>
      <w:bookmarkEnd w:id="9"/>
      <w:r w:rsidDel="00000000" w:rsidR="00000000" w:rsidRPr="00000000">
        <w:rPr>
          <w:rtl w:val="0"/>
        </w:rPr>
        <w:t xml:space="preserve">Analysis of Working Capital</w:t>
      </w:r>
    </w:p>
    <w:p w:rsidR="00000000" w:rsidDel="00000000" w:rsidP="00000000" w:rsidRDefault="00000000" w:rsidRPr="00000000" w14:paraId="0000005B">
      <w:pPr>
        <w:rPr/>
      </w:pPr>
      <w:r w:rsidDel="00000000" w:rsidR="00000000" w:rsidRPr="00000000">
        <w:rPr>
          <w:rtl w:val="0"/>
        </w:rPr>
        <w:t xml:space="preserve">The working capital performance of BYD during the five-year period is associated with efficiency as well as liquidity issues. The firm records negative net working capital, whereby the current liabilities are higher than the current assets. Although this is normally an indicator of financial strain, the negative cash conversion cycle (CCC) by BYD is an indicator of an effective operating model (Chen, 2025). The CCC decreased to 3.4 days in 2021, reaching -44 days in 2024, meaning that the company receives cash taken by customers at a significantly quicker rate as compared to the rate at which it makes payments to its suppliers. This is also evidenced in the great decrease in days of receivables from 61.2 to 16.8 days, showcasing excellent credit control and efficiency in picking up cash.</w:t>
      </w:r>
    </w:p>
    <w:p w:rsidR="00000000" w:rsidDel="00000000" w:rsidP="00000000" w:rsidRDefault="00000000" w:rsidRPr="00000000" w14:paraId="0000005C">
      <w:pPr>
        <w:rPr/>
      </w:pPr>
      <w:r w:rsidDel="00000000" w:rsidR="00000000" w:rsidRPr="00000000">
        <w:rPr>
          <w:rtl w:val="0"/>
        </w:rPr>
        <w:t xml:space="preserve">However, some warning signs are evident. The inventory days slightly went up in the later years because inventory days became 76.4 in the year 2025 which is the cash held in inventory. Concurrently, payables days decreased to 147.7 in 2023 and to 103.1 in 2025, indicating that BYD is paying suppliers faster, which is beneficial due to its negative CCC. Moreover, the current ratio is lower than 1 at all times over the period, implying a possible liquidity strain in the short-term. In general, although the company has a high level of efficiency in its operations, to sustain liquidity, BYD has to manage inventory, payables, and cash assets closely.</w:t>
      </w:r>
    </w:p>
    <w:p w:rsidR="00000000" w:rsidDel="00000000" w:rsidP="00000000" w:rsidRDefault="00000000" w:rsidRPr="00000000" w14:paraId="0000005D">
      <w:pPr>
        <w:pStyle w:val="Heading2"/>
        <w:rPr/>
      </w:pPr>
      <w:bookmarkStart w:colFirst="0" w:colLast="0" w:name="_qixun0l0ki1n" w:id="10"/>
      <w:bookmarkEnd w:id="10"/>
      <w:r w:rsidDel="00000000" w:rsidR="00000000" w:rsidRPr="00000000">
        <w:rPr>
          <w:rtl w:val="0"/>
        </w:rPr>
        <w:t xml:space="preserve">Improvement Strategies</w:t>
      </w:r>
    </w:p>
    <w:p w:rsidR="00000000" w:rsidDel="00000000" w:rsidP="00000000" w:rsidRDefault="00000000" w:rsidRPr="00000000" w14:paraId="0000005E">
      <w:pPr>
        <w:rPr/>
      </w:pPr>
      <w:r w:rsidDel="00000000" w:rsidR="00000000" w:rsidRPr="00000000">
        <w:rPr>
          <w:rtl w:val="0"/>
        </w:rPr>
        <w:t xml:space="preserve">BYD ought to adopt specific working capital enhancement measures in order to boost its liquidity. First, the inventory has to be improved through implementing more sophisticated forecasting systems and just-in-time (JIT) systems to decrease inventory levels and release cash. Reduction of days of inventory will enhance cash flow and decrease holding costs. Second, BYD is advised to maintain tight credit policies to ensure that it maintains low days of receivables. Cash can also be hastened by offering early payment discounts or applying electronic payment platforms.</w:t>
      </w:r>
    </w:p>
    <w:p w:rsidR="00000000" w:rsidDel="00000000" w:rsidP="00000000" w:rsidRDefault="00000000" w:rsidRPr="00000000" w14:paraId="0000005F">
      <w:pPr>
        <w:rPr/>
      </w:pPr>
      <w:r w:rsidDel="00000000" w:rsidR="00000000" w:rsidRPr="00000000">
        <w:rPr>
          <w:rtl w:val="0"/>
        </w:rPr>
        <w:t xml:space="preserve">Third, the company ought to renegotiate terms with suppliers to lengthen payables without negatively affecting supplier relationships (Zhang </w:t>
      </w:r>
      <w:r w:rsidDel="00000000" w:rsidR="00000000" w:rsidRPr="00000000">
        <w:rPr>
          <w:i w:val="1"/>
          <w:iCs w:val="1"/>
          <w:rtl w:val="0"/>
        </w:rPr>
        <w:t xml:space="preserve">et al.</w:t>
      </w:r>
      <w:r w:rsidDel="00000000" w:rsidR="00000000" w:rsidRPr="00000000">
        <w:rPr>
          <w:rtl w:val="0"/>
        </w:rPr>
        <w:t xml:space="preserve"> 2023). This is possible via strategic alliances and bulk buying deals. Fourth, digital supply chain technologies can be implemented at BYD, enhancing visibility and coordination and minimizing inefficiencies in operations. Also, it is necessary to have a certain amount of liquidity in order to cope with liquidity shocks. Lastly, BYD ought to constantly check critical working capital ratios and align them with industry standards. These measures will help in improving liquidity, reducing dependency on foreign financing, and promoting sustainable growth. Proper working capital management will also enhance flexibility in finances, as well as ensure the wellness of the financial position of the company overall.</w:t>
      </w:r>
    </w:p>
    <w:p w:rsidR="00000000" w:rsidDel="00000000" w:rsidP="00000000" w:rsidRDefault="00000000" w:rsidRPr="00000000" w14:paraId="00000060">
      <w:pPr>
        <w:pStyle w:val="Heading2"/>
        <w:rPr/>
      </w:pPr>
      <w:bookmarkStart w:colFirst="0" w:colLast="0" w:name="_ekzrq6udau8r" w:id="11"/>
      <w:bookmarkEnd w:id="11"/>
      <w:r w:rsidDel="00000000" w:rsidR="00000000" w:rsidRPr="00000000">
        <w:rPr>
          <w:rtl w:val="0"/>
        </w:rPr>
        <w:t xml:space="preserve">Comparison of Financing Options</w:t>
      </w:r>
    </w:p>
    <w:p w:rsidR="00000000" w:rsidDel="00000000" w:rsidP="00000000" w:rsidRDefault="00000000" w:rsidRPr="00000000" w14:paraId="00000061">
      <w:pPr>
        <w:rPr/>
      </w:pPr>
      <w:r w:rsidDel="00000000" w:rsidR="00000000" w:rsidRPr="00000000">
        <w:rPr>
          <w:rtl w:val="0"/>
        </w:rPr>
        <w:t xml:space="preserve">There are short-term and long-term financing opportunities that BYD can use to finance its operations and development, with their specific benefits and drawbacks. Bank overdrafts, trade credit, and short-term loans are some of the short-term financing options that may be helpful in dealing with day-to-day operations and temporary liquidity needs. These sources are fast with money but tend to be of high-interest rates and with a risk of refinancing. High dependence on short-term capital could enhance financial instability, particularly when cash flow changes. Contrarily, long-term financing, which covers equity financing and long-term debt, is more effective in financing expansions and project-intensive projects. Equity financing enhances liquidity and minimises the financial risk since it will decrease the debt level, but it will dilute the ownership of the current shareholders (Nabieu </w:t>
      </w:r>
      <w:r w:rsidDel="00000000" w:rsidR="00000000" w:rsidRPr="00000000">
        <w:rPr>
          <w:i w:val="1"/>
          <w:iCs w:val="1"/>
          <w:rtl w:val="0"/>
        </w:rPr>
        <w:t xml:space="preserve">et al.</w:t>
      </w:r>
      <w:r w:rsidDel="00000000" w:rsidR="00000000" w:rsidRPr="00000000">
        <w:rPr>
          <w:rtl w:val="0"/>
        </w:rPr>
        <w:t xml:space="preserve"> 2025). Long-term debt comes with tax benefits such as deductions on interest, and it does not dilute ownership, but raises fixed obligations and long-term risk. In the case of BYD, balancing financing is the most appropriate. Working capital needs should be financed through short-term sources, whereas strategic investments and expansion should be supported by long-term sources of financing. This mix guarantees financial stability, increases flexibility and decreases total financial risk and sustains the growth of the business.</w:t>
      </w:r>
    </w:p>
    <w:p w:rsidR="00000000" w:rsidDel="00000000" w:rsidP="00000000" w:rsidRDefault="00000000" w:rsidRPr="00000000" w14:paraId="00000062">
      <w:pPr>
        <w:pStyle w:val="Heading1"/>
        <w:rPr/>
      </w:pPr>
      <w:bookmarkStart w:colFirst="0" w:colLast="0" w:name="_3szparlv4wfw" w:id="12"/>
      <w:bookmarkEnd w:id="12"/>
      <w:r w:rsidDel="00000000" w:rsidR="00000000" w:rsidRPr="00000000">
        <w:rPr>
          <w:rtl w:val="0"/>
        </w:rPr>
        <w:t xml:space="preserve">Financial Restructuring Plan </w:t>
      </w:r>
    </w:p>
    <w:p w:rsidR="00000000" w:rsidDel="00000000" w:rsidP="00000000" w:rsidRDefault="00000000" w:rsidRPr="00000000" w14:paraId="00000063">
      <w:pPr>
        <w:pStyle w:val="Heading2"/>
        <w:rPr/>
      </w:pPr>
      <w:bookmarkStart w:colFirst="0" w:colLast="0" w:name="_61wsmf8i2zht" w:id="13"/>
      <w:bookmarkEnd w:id="13"/>
      <w:r w:rsidDel="00000000" w:rsidR="00000000" w:rsidRPr="00000000">
        <w:rPr>
          <w:rtl w:val="0"/>
        </w:rPr>
        <w:t xml:space="preserve">Capital Structure and Shareholder Value Analysis</w:t>
      </w:r>
    </w:p>
    <w:p w:rsidR="00000000" w:rsidDel="00000000" w:rsidP="00000000" w:rsidRDefault="00000000" w:rsidRPr="00000000" w14:paraId="00000064">
      <w:pPr>
        <w:jc w:val="center"/>
        <w:rPr/>
      </w:pPr>
      <w:r w:rsidDel="00000000" w:rsidR="00000000" w:rsidRPr="00000000">
        <w:rPr/>
        <w:drawing>
          <wp:inline distB="114300" distT="114300" distL="114300" distR="114300">
            <wp:extent cx="5943600" cy="2387600"/>
            <wp:effectExtent b="12700" l="12700" r="12700" t="12700"/>
            <wp:docPr id="12" name="image3.png"/>
            <a:graphic>
              <a:graphicData uri="http://schemas.openxmlformats.org/drawingml/2006/picture">
                <pic:pic>
                  <pic:nvPicPr>
                    <pic:cNvPr id="0" name="image3.png"/>
                    <pic:cNvPicPr preferRelativeResize="0"/>
                  </pic:nvPicPr>
                  <pic:blipFill>
                    <a:blip r:embed="rId16"/>
                    <a:srcRect b="0" l="0" r="0" t="0"/>
                    <a:stretch>
                      <a:fillRect/>
                    </a:stretch>
                  </pic:blipFill>
                  <pic:spPr>
                    <a:xfrm>
                      <a:off x="0" y="0"/>
                      <a:ext cx="5943600" cy="23876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5">
      <w:pPr>
        <w:jc w:val="center"/>
        <w:rPr>
          <w:b w:val="1"/>
          <w:bCs w:val="1"/>
        </w:rPr>
      </w:pPr>
      <w:r w:rsidDel="00000000" w:rsidR="00000000" w:rsidRPr="00000000">
        <w:rPr>
          <w:b w:val="1"/>
          <w:bCs w:val="1"/>
          <w:rtl w:val="0"/>
        </w:rPr>
        <w:t xml:space="preserve">Figure 8: BYD Capital Structure and Shareholder Value Indicators (2021–2025)</w:t>
      </w:r>
    </w:p>
    <w:p w:rsidR="00000000" w:rsidDel="00000000" w:rsidP="00000000" w:rsidRDefault="00000000" w:rsidRPr="00000000" w14:paraId="00000066">
      <w:pPr>
        <w:rPr/>
      </w:pPr>
      <w:r w:rsidDel="00000000" w:rsidR="00000000" w:rsidRPr="00000000">
        <w:rPr>
          <w:rtl w:val="0"/>
        </w:rPr>
        <w:t xml:space="preserve">The table reports a total increase in liabilities between RMB 1.92 trillion in 2021 and RMB 6.25 trillion in 2025, and the equity between RMB 1.04 trillion in 2021 and RMB 2.59 trillion in 2025, which evidences growth with higher financial obligations.</w:t>
      </w:r>
    </w:p>
    <w:p w:rsidR="00000000" w:rsidDel="00000000" w:rsidP="00000000" w:rsidRDefault="00000000" w:rsidRPr="00000000" w14:paraId="00000067">
      <w:pPr>
        <w:jc w:val="center"/>
        <w:rPr/>
      </w:pPr>
      <w:r w:rsidDel="00000000" w:rsidR="00000000" w:rsidRPr="00000000">
        <w:rPr/>
        <w:drawing>
          <wp:inline distB="114300" distT="114300" distL="114300" distR="114300">
            <wp:extent cx="5205413" cy="3403539"/>
            <wp:effectExtent b="12700" l="12700" r="12700" t="12700"/>
            <wp:docPr id="10" name="image10.png"/>
            <a:graphic>
              <a:graphicData uri="http://schemas.openxmlformats.org/drawingml/2006/picture">
                <pic:pic>
                  <pic:nvPicPr>
                    <pic:cNvPr id="0" name="image10.png"/>
                    <pic:cNvPicPr preferRelativeResize="0"/>
                  </pic:nvPicPr>
                  <pic:blipFill>
                    <a:blip r:embed="rId17"/>
                    <a:srcRect b="0" l="0" r="0" t="0"/>
                    <a:stretch>
                      <a:fillRect/>
                    </a:stretch>
                  </pic:blipFill>
                  <pic:spPr>
                    <a:xfrm>
                      <a:off x="0" y="0"/>
                      <a:ext cx="5205413" cy="3403539"/>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8">
      <w:pPr>
        <w:jc w:val="center"/>
        <w:rPr>
          <w:b w:val="1"/>
          <w:bCs w:val="1"/>
        </w:rPr>
      </w:pPr>
      <w:r w:rsidDel="00000000" w:rsidR="00000000" w:rsidRPr="00000000">
        <w:rPr>
          <w:b w:val="1"/>
          <w:bCs w:val="1"/>
          <w:rtl w:val="0"/>
        </w:rPr>
        <w:t xml:space="preserve">Figure 9: Capital Structure-Equity vs Liabilities (RMB mn) </w:t>
      </w:r>
    </w:p>
    <w:p w:rsidR="00000000" w:rsidDel="00000000" w:rsidP="00000000" w:rsidRDefault="00000000" w:rsidRPr="00000000" w14:paraId="00000069">
      <w:pPr>
        <w:rPr/>
      </w:pPr>
      <w:r w:rsidDel="00000000" w:rsidR="00000000" w:rsidRPr="00000000">
        <w:rPr>
          <w:rtl w:val="0"/>
        </w:rPr>
        <w:t xml:space="preserve">The chart indicates that liabilities increase at a much higher rate compared to equity, and the liabilities tend to be higher and equal to around RMB 8.8 trillion in 2025, as compared to the equity, which stands at RMB 2.6 trillion, meaning it relies more on debt financing.</w:t>
      </w:r>
    </w:p>
    <w:p w:rsidR="00000000" w:rsidDel="00000000" w:rsidP="00000000" w:rsidRDefault="00000000" w:rsidRPr="00000000" w14:paraId="0000006A">
      <w:pPr>
        <w:pStyle w:val="Heading2"/>
        <w:rPr/>
      </w:pPr>
      <w:bookmarkStart w:colFirst="0" w:colLast="0" w:name="_q88ocq6mi8i2" w:id="14"/>
      <w:bookmarkEnd w:id="14"/>
      <w:r w:rsidDel="00000000" w:rsidR="00000000" w:rsidRPr="00000000">
        <w:rPr>
          <w:rtl w:val="0"/>
        </w:rPr>
        <w:t xml:space="preserve">Identification of Financial Issues</w:t>
      </w:r>
    </w:p>
    <w:p w:rsidR="00000000" w:rsidDel="00000000" w:rsidP="00000000" w:rsidRDefault="00000000" w:rsidRPr="00000000" w14:paraId="0000006B">
      <w:pPr>
        <w:rPr>
          <w:b w:val="1"/>
          <w:bCs w:val="1"/>
          <w:i w:val="1"/>
          <w:iCs w:val="1"/>
        </w:rPr>
      </w:pPr>
      <w:r w:rsidDel="00000000" w:rsidR="00000000" w:rsidRPr="00000000">
        <w:rPr>
          <w:b w:val="1"/>
          <w:bCs w:val="1"/>
          <w:i w:val="1"/>
          <w:iCs w:val="1"/>
          <w:rtl w:val="0"/>
        </w:rPr>
        <w:t xml:space="preserve">High Expansion Costs (Global Growth)</w:t>
      </w:r>
    </w:p>
    <w:p w:rsidR="00000000" w:rsidDel="00000000" w:rsidP="00000000" w:rsidRDefault="00000000" w:rsidRPr="00000000" w14:paraId="0000006C">
      <w:pPr>
        <w:rPr/>
      </w:pPr>
      <w:r w:rsidDel="00000000" w:rsidR="00000000" w:rsidRPr="00000000">
        <w:rPr>
          <w:rtl w:val="0"/>
        </w:rPr>
        <w:t xml:space="preserve">The fast pace of international growth has had its cost on BYD in terms of capital expenditure and operational expenses. The company has also made a considerable amount of investments in foreign markets, production, and supply chain facilities in order to support the growing demand in foreign markets. This growth is witnessed through the dramatic rise in total assets, which increased to RMB 295.8 billion in 2021, then to a high of RMB 883.7 billion by 2025 (</w:t>
      </w:r>
      <w:hyperlink r:id="rId18">
        <w:r w:rsidDel="00000000" w:rsidR="00000000" w:rsidRPr="00000000">
          <w:rPr>
            <w:u w:val="single"/>
            <w:rtl w:val="0"/>
          </w:rPr>
          <w:t xml:space="preserve">bydglobal.com</w:t>
        </w:r>
      </w:hyperlink>
      <w:r w:rsidDel="00000000" w:rsidR="00000000" w:rsidRPr="00000000">
        <w:rPr>
          <w:rtl w:val="0"/>
        </w:rPr>
        <w:t xml:space="preserve">, 2026). This enhances the worldwide presence, but it also causes strain on the cash flow and liquidity. </w:t>
      </w:r>
    </w:p>
    <w:p w:rsidR="00000000" w:rsidDel="00000000" w:rsidP="00000000" w:rsidRDefault="00000000" w:rsidRPr="00000000" w14:paraId="0000006D">
      <w:pPr>
        <w:rPr/>
      </w:pPr>
      <w:r w:rsidDel="00000000" w:rsidR="00000000" w:rsidRPr="00000000">
        <w:rPr>
          <w:b w:val="1"/>
          <w:bCs w:val="1"/>
          <w:i w:val="1"/>
          <w:iCs w:val="1"/>
          <w:rtl w:val="0"/>
        </w:rPr>
        <w:t xml:space="preserve">Increasing Operational Scale</w:t>
      </w: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Since BYD is now increasing its production and operation volumes, there is a complexity to the task in managing large-scale operations. The company has high growth because the income of the company has increased to the value of RMB 216.1 billion in the year 2021, and is estimated to increase to RMB 804.0 billion in the year 2025 (</w:t>
      </w:r>
      <w:hyperlink r:id="rId19">
        <w:r w:rsidDel="00000000" w:rsidR="00000000" w:rsidRPr="00000000">
          <w:rPr>
            <w:u w:val="single"/>
            <w:rtl w:val="0"/>
          </w:rPr>
          <w:t xml:space="preserve">bydglobal.com</w:t>
        </w:r>
      </w:hyperlink>
      <w:r w:rsidDel="00000000" w:rsidR="00000000" w:rsidRPr="00000000">
        <w:rPr>
          <w:rtl w:val="0"/>
        </w:rPr>
        <w:t xml:space="preserve">, 2026). As much as this shows high demand, it might lead to inefficiency and cost addition in terms of operations and strain on working capital since scale operations are at this stage. It is an important task to ensure the effective allocation of resources and have cost control. </w:t>
      </w:r>
    </w:p>
    <w:p w:rsidR="00000000" w:rsidDel="00000000" w:rsidP="00000000" w:rsidRDefault="00000000" w:rsidRPr="00000000" w14:paraId="0000006F">
      <w:pPr>
        <w:rPr>
          <w:b w:val="1"/>
          <w:bCs w:val="1"/>
          <w:i w:val="1"/>
          <w:iCs w:val="1"/>
        </w:rPr>
      </w:pPr>
      <w:r w:rsidDel="00000000" w:rsidR="00000000" w:rsidRPr="00000000">
        <w:rPr>
          <w:b w:val="1"/>
          <w:bCs w:val="1"/>
          <w:i w:val="1"/>
          <w:iCs w:val="1"/>
          <w:rtl w:val="0"/>
        </w:rPr>
        <w:t xml:space="preserve">Competitive Pressure in the EV Market</w:t>
      </w:r>
    </w:p>
    <w:p w:rsidR="00000000" w:rsidDel="00000000" w:rsidP="00000000" w:rsidRDefault="00000000" w:rsidRPr="00000000" w14:paraId="00000070">
      <w:pPr>
        <w:rPr/>
      </w:pPr>
      <w:r w:rsidDel="00000000" w:rsidR="00000000" w:rsidRPr="00000000">
        <w:rPr>
          <w:rtl w:val="0"/>
        </w:rPr>
        <w:t xml:space="preserve">The world EV (electric vehicle) market is turning out to be highly competitive with rigorous pressure on cost and innovativeness. Although BYD has remained a profitable company, its net profit margin currently stands at a low level of 4.1% in 2025, which demonstrates that the company has been under pressure in terms of its profit margin despite the high revenues (</w:t>
      </w:r>
      <w:hyperlink r:id="rId20">
        <w:r w:rsidDel="00000000" w:rsidR="00000000" w:rsidRPr="00000000">
          <w:rPr>
            <w:u w:val="single"/>
            <w:rtl w:val="0"/>
          </w:rPr>
          <w:t xml:space="preserve">bydglobal.com</w:t>
        </w:r>
      </w:hyperlink>
      <w:r w:rsidDel="00000000" w:rsidR="00000000" w:rsidRPr="00000000">
        <w:rPr>
          <w:rtl w:val="0"/>
        </w:rPr>
        <w:t xml:space="preserve">, 2026). The rivals are heavily investing in technology and market penetration, and BYD needs to continuously innovate and restrain expenses. This type of intense competition can make the profitability lower and more expensive in terms of research and marketing. </w:t>
      </w:r>
    </w:p>
    <w:p w:rsidR="00000000" w:rsidDel="00000000" w:rsidP="00000000" w:rsidRDefault="00000000" w:rsidRPr="00000000" w14:paraId="00000071">
      <w:pPr>
        <w:pStyle w:val="Heading2"/>
        <w:rPr/>
      </w:pPr>
      <w:bookmarkStart w:colFirst="0" w:colLast="0" w:name="_vgk7uu4p4ut3" w:id="15"/>
      <w:bookmarkEnd w:id="15"/>
      <w:r w:rsidDel="00000000" w:rsidR="00000000" w:rsidRPr="00000000">
        <w:rPr>
          <w:rtl w:val="0"/>
        </w:rPr>
        <w:t xml:space="preserve">Proposed Restructuring Strategies</w:t>
      </w:r>
    </w:p>
    <w:p w:rsidR="00000000" w:rsidDel="00000000" w:rsidP="00000000" w:rsidRDefault="00000000" w:rsidRPr="00000000" w14:paraId="00000072">
      <w:pPr>
        <w:rPr>
          <w:b w:val="1"/>
          <w:bCs w:val="1"/>
          <w:i w:val="1"/>
          <w:iCs w:val="1"/>
        </w:rPr>
      </w:pPr>
      <w:r w:rsidDel="00000000" w:rsidR="00000000" w:rsidRPr="00000000">
        <w:rPr>
          <w:b w:val="1"/>
          <w:bCs w:val="1"/>
          <w:i w:val="1"/>
          <w:iCs w:val="1"/>
          <w:rtl w:val="0"/>
        </w:rPr>
        <w:t xml:space="preserve">Equity Injection to Improve Liquidity</w:t>
      </w:r>
    </w:p>
    <w:p w:rsidR="00000000" w:rsidDel="00000000" w:rsidP="00000000" w:rsidRDefault="00000000" w:rsidRPr="00000000" w14:paraId="00000073">
      <w:pPr>
        <w:rPr/>
      </w:pPr>
      <w:r w:rsidDel="00000000" w:rsidR="00000000" w:rsidRPr="00000000">
        <w:rPr>
          <w:rtl w:val="0"/>
        </w:rPr>
        <w:t xml:space="preserve">One of the prominent financial restructuring strategies of BYD should be equity injection through the new share issue or strategic investor entry. This step will help a great deal in boosting liquidity, especially as the current ratio of the company is less than 1, meaning that it is stretched in terms of cash flow in the short term (Igwe, 2023). A raise in equity would assist BYD in reducing short-term debts and enhancing its balance sheet. The other risk of equity financing is the dilution of the shareholders of the company, but in the long-term expansion, it is more stable. </w:t>
      </w:r>
    </w:p>
    <w:p w:rsidR="00000000" w:rsidDel="00000000" w:rsidP="00000000" w:rsidRDefault="00000000" w:rsidRPr="00000000" w14:paraId="00000074">
      <w:pPr>
        <w:rPr>
          <w:b w:val="1"/>
          <w:bCs w:val="1"/>
          <w:i w:val="1"/>
          <w:iCs w:val="1"/>
        </w:rPr>
      </w:pPr>
      <w:r w:rsidDel="00000000" w:rsidR="00000000" w:rsidRPr="00000000">
        <w:rPr>
          <w:b w:val="1"/>
          <w:bCs w:val="1"/>
          <w:i w:val="1"/>
          <w:iCs w:val="1"/>
          <w:rtl w:val="0"/>
        </w:rPr>
        <w:t xml:space="preserve">Strategic Partnerships for Global Expansion</w:t>
      </w:r>
    </w:p>
    <w:p w:rsidR="00000000" w:rsidDel="00000000" w:rsidP="00000000" w:rsidRDefault="00000000" w:rsidRPr="00000000" w14:paraId="00000075">
      <w:pPr>
        <w:rPr/>
      </w:pPr>
      <w:r w:rsidDel="00000000" w:rsidR="00000000" w:rsidRPr="00000000">
        <w:rPr>
          <w:rtl w:val="0"/>
        </w:rPr>
        <w:t xml:space="preserve">Strategic alliances with foreign companies will boost globalization of BYD and will also lessen the financial load. Strategic alliances with local manufacturers, technology, or distributors allow BYD to decentralize investment, venture into new markets, and leverage local capabilities. This avoids the capital spending in the overseas markets (Pereira, 2025). Partnerships may also be prospective to apply benefits to the innovation and become more competitive in the EV industry. Through risk and resource sharing, BYD is capable of making its name strong globally in a more cost-effective manner. </w:t>
      </w:r>
    </w:p>
    <w:p w:rsidR="00000000" w:rsidDel="00000000" w:rsidP="00000000" w:rsidRDefault="00000000" w:rsidRPr="00000000" w14:paraId="00000076">
      <w:pPr>
        <w:rPr>
          <w:b w:val="1"/>
          <w:bCs w:val="1"/>
          <w:i w:val="1"/>
          <w:iCs w:val="1"/>
        </w:rPr>
      </w:pPr>
      <w:r w:rsidDel="00000000" w:rsidR="00000000" w:rsidRPr="00000000">
        <w:rPr>
          <w:b w:val="1"/>
          <w:bCs w:val="1"/>
          <w:i w:val="1"/>
          <w:iCs w:val="1"/>
          <w:rtl w:val="0"/>
        </w:rPr>
        <w:t xml:space="preserve">Cost Optimisation and Operational Efficiency</w:t>
      </w:r>
    </w:p>
    <w:p w:rsidR="00000000" w:rsidDel="00000000" w:rsidP="00000000" w:rsidRDefault="00000000" w:rsidRPr="00000000" w14:paraId="00000077">
      <w:pPr>
        <w:rPr/>
      </w:pPr>
      <w:r w:rsidDel="00000000" w:rsidR="00000000" w:rsidRPr="00000000">
        <w:rPr>
          <w:rtl w:val="0"/>
        </w:rPr>
        <w:t xml:space="preserve">The costs also should be optimised to boost profitability and remain competitive. BYD can achieve this by becoming more efficient in production, reducing waste, and applying new technologies such as production automation and AI manufacturing. Since the net profit margin is relatively low, one aspect is to control costs that can positively impact the financial performance  (Anchan </w:t>
      </w:r>
      <w:r w:rsidDel="00000000" w:rsidR="00000000" w:rsidRPr="00000000">
        <w:rPr>
          <w:i w:val="1"/>
          <w:iCs w:val="1"/>
          <w:rtl w:val="0"/>
        </w:rPr>
        <w:t xml:space="preserve">et al. </w:t>
      </w:r>
      <w:r w:rsidDel="00000000" w:rsidR="00000000" w:rsidRPr="00000000">
        <w:rPr>
          <w:rtl w:val="0"/>
        </w:rPr>
        <w:t xml:space="preserve">2024). Its operating costs can be reduced tremendously with the appropriate restructuring of its operations and elimination of its inefficiencies. This plan will guarantee the company access to economies of scale as it expands. </w:t>
      </w:r>
    </w:p>
    <w:p w:rsidR="00000000" w:rsidDel="00000000" w:rsidP="00000000" w:rsidRDefault="00000000" w:rsidRPr="00000000" w14:paraId="00000078">
      <w:pPr>
        <w:rPr>
          <w:b w:val="1"/>
          <w:bCs w:val="1"/>
          <w:i w:val="1"/>
          <w:iCs w:val="1"/>
        </w:rPr>
      </w:pPr>
      <w:r w:rsidDel="00000000" w:rsidR="00000000" w:rsidRPr="00000000">
        <w:rPr>
          <w:b w:val="1"/>
          <w:bCs w:val="1"/>
          <w:i w:val="1"/>
          <w:iCs w:val="1"/>
          <w:rtl w:val="0"/>
        </w:rPr>
        <w:t xml:space="preserve">Supply Chain Efficiency and Diversification</w:t>
      </w:r>
    </w:p>
    <w:p w:rsidR="00000000" w:rsidDel="00000000" w:rsidP="00000000" w:rsidRDefault="00000000" w:rsidRPr="00000000" w14:paraId="00000079">
      <w:pPr>
        <w:rPr/>
      </w:pPr>
      <w:r w:rsidDel="00000000" w:rsidR="00000000" w:rsidRPr="00000000">
        <w:rPr>
          <w:rtl w:val="0"/>
        </w:rPr>
        <w:t xml:space="preserve">Enhanced supply chain efficiency is essential in cost management and its operation. The diversification of its supply chain, improvement of its supplier relationships, and investment in digital supply chain systems offer BBD an opportunity to optimize its supply chain. This decreases threats of disruptions, price fluctuations and reliance on particular suppliers. Inventory control can also save on holding costs and improve the cash flow (Yanga </w:t>
      </w:r>
      <w:r w:rsidDel="00000000" w:rsidR="00000000" w:rsidRPr="00000000">
        <w:rPr>
          <w:i w:val="1"/>
          <w:iCs w:val="1"/>
          <w:rtl w:val="0"/>
        </w:rPr>
        <w:t xml:space="preserve">et al. </w:t>
      </w:r>
      <w:r w:rsidDel="00000000" w:rsidR="00000000" w:rsidRPr="00000000">
        <w:rPr>
          <w:rtl w:val="0"/>
        </w:rPr>
        <w:t xml:space="preserve">2025). Since the operations of BYD are global, it requires a strong supply chain to support production and demand. The strategy helps to sustain business and bring about financial sustainability in the long-term.</w:t>
      </w:r>
    </w:p>
    <w:p w:rsidR="00000000" w:rsidDel="00000000" w:rsidP="00000000" w:rsidRDefault="00000000" w:rsidRPr="00000000" w14:paraId="0000007A">
      <w:pPr>
        <w:pStyle w:val="Heading2"/>
        <w:rPr/>
      </w:pPr>
      <w:bookmarkStart w:colFirst="0" w:colLast="0" w:name="_dsbixygw0mkn" w:id="16"/>
      <w:bookmarkEnd w:id="16"/>
      <w:r w:rsidDel="00000000" w:rsidR="00000000" w:rsidRPr="00000000">
        <w:rPr>
          <w:rtl w:val="0"/>
        </w:rPr>
        <w:t xml:space="preserve">Impact Evaluation</w:t>
      </w:r>
    </w:p>
    <w:p w:rsidR="00000000" w:rsidDel="00000000" w:rsidP="00000000" w:rsidRDefault="00000000" w:rsidRPr="00000000" w14:paraId="0000007B">
      <w:pPr>
        <w:rPr>
          <w:b w:val="1"/>
          <w:bCs w:val="1"/>
          <w:i w:val="1"/>
          <w:iCs w:val="1"/>
        </w:rPr>
      </w:pPr>
      <w:r w:rsidDel="00000000" w:rsidR="00000000" w:rsidRPr="00000000">
        <w:rPr>
          <w:b w:val="1"/>
          <w:bCs w:val="1"/>
          <w:i w:val="1"/>
          <w:iCs w:val="1"/>
          <w:rtl w:val="0"/>
        </w:rPr>
        <w:t xml:space="preserve">Impact on Shareholder Value</w:t>
      </w:r>
    </w:p>
    <w:p w:rsidR="00000000" w:rsidDel="00000000" w:rsidP="00000000" w:rsidRDefault="00000000" w:rsidRPr="00000000" w14:paraId="0000007C">
      <w:pPr>
        <w:rPr/>
      </w:pPr>
      <w:r w:rsidDel="00000000" w:rsidR="00000000" w:rsidRPr="00000000">
        <w:rPr>
          <w:rtl w:val="0"/>
        </w:rPr>
        <w:t xml:space="preserve">These financial restructuring measures on shareholder value are bound to impact both positively and negatively. Equity injection can also eliminate concentration of ownership and earnings per share; the financial position of the company will be strengthened, as well as long-term growth. Profitability can be increased with the help of cost optimisation and strategic alliances, which will bring higher returns to shareholders in future (Apriansyah </w:t>
      </w:r>
      <w:r w:rsidDel="00000000" w:rsidR="00000000" w:rsidRPr="00000000">
        <w:rPr>
          <w:i w:val="1"/>
          <w:iCs w:val="1"/>
          <w:rtl w:val="0"/>
        </w:rPr>
        <w:t xml:space="preserve">et al. </w:t>
      </w:r>
      <w:r w:rsidDel="00000000" w:rsidR="00000000" w:rsidRPr="00000000">
        <w:rPr>
          <w:rtl w:val="0"/>
        </w:rPr>
        <w:t xml:space="preserve">2025). Financial performance will be enhanced since BYD will not only carry on with its internationalisation, but also simplify the company in order to increase its market value and the credibility of the investors. On the whole, short-term dilution is possible, although the long-term effect on the shareholder value will be positive.</w:t>
      </w:r>
    </w:p>
    <w:p w:rsidR="00000000" w:rsidDel="00000000" w:rsidP="00000000" w:rsidRDefault="00000000" w:rsidRPr="00000000" w14:paraId="0000007D">
      <w:pPr>
        <w:rPr>
          <w:b w:val="1"/>
          <w:bCs w:val="1"/>
          <w:i w:val="1"/>
          <w:iCs w:val="1"/>
        </w:rPr>
      </w:pPr>
      <w:r w:rsidDel="00000000" w:rsidR="00000000" w:rsidRPr="00000000">
        <w:rPr>
          <w:b w:val="1"/>
          <w:bCs w:val="1"/>
          <w:i w:val="1"/>
          <w:iCs w:val="1"/>
          <w:rtl w:val="0"/>
        </w:rPr>
        <w:t xml:space="preserve">Impact on Debt Structure</w:t>
      </w:r>
    </w:p>
    <w:p w:rsidR="00000000" w:rsidDel="00000000" w:rsidP="00000000" w:rsidRDefault="00000000" w:rsidRPr="00000000" w14:paraId="0000007E">
      <w:pPr>
        <w:rPr/>
      </w:pPr>
      <w:r w:rsidDel="00000000" w:rsidR="00000000" w:rsidRPr="00000000">
        <w:rPr>
          <w:rtl w:val="0"/>
        </w:rPr>
        <w:t xml:space="preserve">The restructuring initiatives will help improve a better-balanced and sustainable debt structure of BYD. This will assist the firm in attracting less short-term debt, reducing the financial risk and interest expense due to increased equity financing. This increases the solvency of the company and its ability to deal with the financial uncertainties in the future. Furthermore, enhanced cost management and enhanced operations cash flow can serve to service the debt. Stable debt will increase the solvency and credibility. Hence, since in the future funding will be possible at a better rate, BYD will have the benefit of accessing funds in the future.</w:t>
      </w:r>
    </w:p>
    <w:p w:rsidR="00000000" w:rsidDel="00000000" w:rsidP="00000000" w:rsidRDefault="00000000" w:rsidRPr="00000000" w14:paraId="0000007F">
      <w:pPr>
        <w:rPr>
          <w:b w:val="1"/>
          <w:bCs w:val="1"/>
          <w:i w:val="1"/>
          <w:iCs w:val="1"/>
        </w:rPr>
      </w:pPr>
      <w:r w:rsidDel="00000000" w:rsidR="00000000" w:rsidRPr="00000000">
        <w:rPr>
          <w:b w:val="1"/>
          <w:bCs w:val="1"/>
          <w:i w:val="1"/>
          <w:iCs w:val="1"/>
          <w:rtl w:val="0"/>
        </w:rPr>
        <w:t xml:space="preserve">Impact on Operational Flexibility</w:t>
      </w:r>
    </w:p>
    <w:p w:rsidR="00000000" w:rsidDel="00000000" w:rsidP="00000000" w:rsidRDefault="00000000" w:rsidRPr="00000000" w14:paraId="00000080">
      <w:pPr>
        <w:rPr/>
      </w:pPr>
      <w:r w:rsidDel="00000000" w:rsidR="00000000" w:rsidRPr="00000000">
        <w:rPr>
          <w:rtl w:val="0"/>
        </w:rPr>
        <w:t xml:space="preserve">The proposed plans make the operations of BYD more flexible with their emancipation from the more capital-intensive mode and access to funds. The increase in liquidity with the help of the equity injection will allow the company to respond to the changes in the market more quickly and will allow it to invest in new opportunities. Their new technology and markets can be accessed with no big capital expenditure, and this makes them more flexible as they can be accessed through strategic partnerships (Ghadge, 2024). Additionally, they will be able to streamline their costs and improve the supply chains in order to prioritise more efficient work and rapid decision-making. </w:t>
      </w:r>
    </w:p>
    <w:p w:rsidR="00000000" w:rsidDel="00000000" w:rsidP="00000000" w:rsidRDefault="00000000" w:rsidRPr="00000000" w14:paraId="00000081">
      <w:pPr>
        <w:pStyle w:val="Heading2"/>
        <w:rPr/>
      </w:pPr>
      <w:bookmarkStart w:colFirst="0" w:colLast="0" w:name="_u9u8et7jh1x9" w:id="17"/>
      <w:bookmarkEnd w:id="17"/>
      <w:r w:rsidDel="00000000" w:rsidR="00000000" w:rsidRPr="00000000">
        <w:rPr>
          <w:rtl w:val="0"/>
        </w:rPr>
        <w:t xml:space="preserve">Global &amp; Ethical Considerations</w:t>
      </w:r>
    </w:p>
    <w:p w:rsidR="00000000" w:rsidDel="00000000" w:rsidP="00000000" w:rsidRDefault="00000000" w:rsidRPr="00000000" w14:paraId="00000082">
      <w:pPr>
        <w:rPr>
          <w:b w:val="1"/>
          <w:bCs w:val="1"/>
          <w:i w:val="1"/>
          <w:iCs w:val="1"/>
        </w:rPr>
      </w:pPr>
      <w:r w:rsidDel="00000000" w:rsidR="00000000" w:rsidRPr="00000000">
        <w:rPr>
          <w:b w:val="1"/>
          <w:bCs w:val="1"/>
          <w:i w:val="1"/>
          <w:iCs w:val="1"/>
          <w:rtl w:val="0"/>
        </w:rPr>
        <w:t xml:space="preserve">International Financial Considerations (Taxation, Currency Risk, Inflation)</w:t>
      </w:r>
    </w:p>
    <w:p w:rsidR="00000000" w:rsidDel="00000000" w:rsidP="00000000" w:rsidRDefault="00000000" w:rsidRPr="00000000" w14:paraId="00000083">
      <w:pPr>
        <w:rPr/>
      </w:pPr>
      <w:r w:rsidDel="00000000" w:rsidR="00000000" w:rsidRPr="00000000">
        <w:rPr>
          <w:rtl w:val="0"/>
        </w:rPr>
        <w:t xml:space="preserve">Along with BYD expanding internationally, it is increasingly becoming vulnerable to global financial risks. The revenue and costs can be affected due to fluctuations in currency, particularly when there are operations in a variety of markets with different exchange rates. The prices of production and operation could increase due to inflation in leading markets, which will reduce the returns. Additionally, the variations in the taxation policies of countries can be influential in the overall profitability and investments. Good financial planning, hedging strategy and tax optimisation are some of the measures to manage these risks.</w:t>
      </w:r>
    </w:p>
    <w:p w:rsidR="00000000" w:rsidDel="00000000" w:rsidP="00000000" w:rsidRDefault="00000000" w:rsidRPr="00000000" w14:paraId="00000084">
      <w:pPr>
        <w:rPr>
          <w:b w:val="1"/>
          <w:bCs w:val="1"/>
          <w:i w:val="1"/>
          <w:iCs w:val="1"/>
        </w:rPr>
      </w:pPr>
      <w:r w:rsidDel="00000000" w:rsidR="00000000" w:rsidRPr="00000000">
        <w:rPr>
          <w:b w:val="1"/>
          <w:bCs w:val="1"/>
          <w:i w:val="1"/>
          <w:iCs w:val="1"/>
          <w:rtl w:val="0"/>
        </w:rPr>
        <w:t xml:space="preserve">Ethical and CSR Considerations</w:t>
      </w:r>
    </w:p>
    <w:p w:rsidR="00000000" w:rsidDel="00000000" w:rsidP="00000000" w:rsidRDefault="00000000" w:rsidRPr="00000000" w14:paraId="00000085">
      <w:pPr>
        <w:rPr/>
      </w:pPr>
      <w:r w:rsidDel="00000000" w:rsidR="00000000" w:rsidRPr="00000000">
        <w:rPr>
          <w:rtl w:val="0"/>
        </w:rPr>
        <w:t xml:space="preserve">Under its business strategy, BYD has been on a massive scale, concentrated on the idea of corporate social responsibility (CSR) and sustainability. Being a pioneer of clean energy and electric vehicles, the company can help to decrease the level of carbon emissions and achieve further improvement of environmental sustainability (Haque </w:t>
      </w:r>
      <w:r w:rsidDel="00000000" w:rsidR="00000000" w:rsidRPr="00000000">
        <w:rPr>
          <w:i w:val="1"/>
          <w:iCs w:val="1"/>
          <w:rtl w:val="0"/>
        </w:rPr>
        <w:t xml:space="preserve">et al. </w:t>
      </w:r>
      <w:r w:rsidDel="00000000" w:rsidR="00000000" w:rsidRPr="00000000">
        <w:rPr>
          <w:rtl w:val="0"/>
        </w:rPr>
        <w:t xml:space="preserve">2022). The ethical considerations also entail responsible origin of material, fair labour practices and transparency in international business. Adherence to the environmental rules and codes of ethics will enhance the corporate image and confidence among the stakeholders. </w:t>
      </w:r>
    </w:p>
    <w:p w:rsidR="00000000" w:rsidDel="00000000" w:rsidP="00000000" w:rsidRDefault="00000000" w:rsidRPr="00000000" w14:paraId="00000086">
      <w:pPr>
        <w:pStyle w:val="Heading1"/>
        <w:rPr/>
      </w:pPr>
      <w:bookmarkStart w:colFirst="0" w:colLast="0" w:name="_qkj6vtll82pe" w:id="18"/>
      <w:bookmarkEnd w:id="18"/>
      <w:r w:rsidDel="00000000" w:rsidR="00000000" w:rsidRPr="00000000">
        <w:rPr>
          <w:rtl w:val="0"/>
        </w:rPr>
        <w:t xml:space="preserve">Investment Appraisal</w:t>
      </w:r>
    </w:p>
    <w:p w:rsidR="00000000" w:rsidDel="00000000" w:rsidP="00000000" w:rsidRDefault="00000000" w:rsidRPr="00000000" w14:paraId="00000087">
      <w:pPr>
        <w:pStyle w:val="Heading2"/>
        <w:rPr/>
      </w:pPr>
      <w:bookmarkStart w:colFirst="0" w:colLast="0" w:name="_dp8b3iw481c3" w:id="19"/>
      <w:bookmarkEnd w:id="19"/>
      <w:r w:rsidDel="00000000" w:rsidR="00000000" w:rsidRPr="00000000">
        <w:rPr>
          <w:rtl w:val="0"/>
        </w:rPr>
        <w:t xml:space="preserve">Introduction to Investment Decision</w:t>
      </w:r>
    </w:p>
    <w:p w:rsidR="00000000" w:rsidDel="00000000" w:rsidP="00000000" w:rsidRDefault="00000000" w:rsidRPr="00000000" w14:paraId="00000088">
      <w:pPr>
        <w:jc w:val="center"/>
        <w:rPr/>
      </w:pPr>
      <w:r w:rsidDel="00000000" w:rsidR="00000000" w:rsidRPr="00000000">
        <w:rPr/>
        <w:drawing>
          <wp:inline distB="114300" distT="114300" distL="114300" distR="114300">
            <wp:extent cx="5943600" cy="1905000"/>
            <wp:effectExtent b="12700" l="12700" r="12700" t="12700"/>
            <wp:docPr id="11" name="image2.png"/>
            <a:graphic>
              <a:graphicData uri="http://schemas.openxmlformats.org/drawingml/2006/picture">
                <pic:pic>
                  <pic:nvPicPr>
                    <pic:cNvPr id="0" name="image2.png"/>
                    <pic:cNvPicPr preferRelativeResize="0"/>
                  </pic:nvPicPr>
                  <pic:blipFill>
                    <a:blip r:embed="rId21"/>
                    <a:srcRect b="0" l="0" r="0" t="0"/>
                    <a:stretch>
                      <a:fillRect/>
                    </a:stretch>
                  </pic:blipFill>
                  <pic:spPr>
                    <a:xfrm>
                      <a:off x="0" y="0"/>
                      <a:ext cx="5943600" cy="19050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9">
      <w:pPr>
        <w:jc w:val="center"/>
        <w:rPr>
          <w:b w:val="1"/>
          <w:bCs w:val="1"/>
        </w:rPr>
      </w:pPr>
      <w:r w:rsidDel="00000000" w:rsidR="00000000" w:rsidRPr="00000000">
        <w:rPr>
          <w:b w:val="1"/>
          <w:bCs w:val="1"/>
          <w:rtl w:val="0"/>
        </w:rPr>
        <w:t xml:space="preserve">Figure 10: BYD Investment Appraisal and Capital Budgeting Overview (Projects A, B, and C)</w:t>
      </w:r>
    </w:p>
    <w:p w:rsidR="00000000" w:rsidDel="00000000" w:rsidP="00000000" w:rsidRDefault="00000000" w:rsidRPr="00000000" w14:paraId="0000008A">
      <w:pPr>
        <w:rPr/>
      </w:pPr>
      <w:r w:rsidDel="00000000" w:rsidR="00000000" w:rsidRPr="00000000">
        <w:rPr>
          <w:rtl w:val="0"/>
        </w:rPr>
        <w:t xml:space="preserve">Decisions about investments are crucial to organisations because they dictate long-term growth, profitability and financial sustenance. In the case of BYD Company Limited, capital budgeting is crucial in the efficient allocation of resources, considering that the company has experienced rapid growth and has growing financial demands. The section compares three hypothetical investment projects (A, B and C) based on the major appraisal techniques, which include Payback Period (PBP), Accounting rate of Return (ARR), Net Present Value (NPV), Profitability Index (PI) and an Internal rate of Return (IRR).</w:t>
      </w:r>
    </w:p>
    <w:p w:rsidR="00000000" w:rsidDel="00000000" w:rsidP="00000000" w:rsidRDefault="00000000" w:rsidRPr="00000000" w14:paraId="0000008B">
      <w:pPr>
        <w:rPr/>
      </w:pPr>
      <w:r w:rsidDel="00000000" w:rsidR="00000000" w:rsidRPr="00000000">
        <w:rPr>
          <w:rtl w:val="0"/>
        </w:rPr>
        <w:t xml:space="preserve">These techniques assist in determining the profitability, risk and liquidity implications of every project at a discount rate of 10% per project. Since BYD has a moderate liquidity position and increasing leverage, it is necessary to choose the project that is the most economically viable to be able to optimally use capital. Furthermore, the investment choices should touch on the financial outcome and non-financial risks that include market uncertainties and competition, among others, which would ensure compliance with the long-term strategic goals of BYD.</w:t>
      </w:r>
    </w:p>
    <w:p w:rsidR="00000000" w:rsidDel="00000000" w:rsidP="00000000" w:rsidRDefault="00000000" w:rsidRPr="00000000" w14:paraId="0000008C">
      <w:pPr>
        <w:pStyle w:val="Heading2"/>
        <w:rPr/>
      </w:pPr>
      <w:bookmarkStart w:colFirst="0" w:colLast="0" w:name="_3wa9g622882a" w:id="20"/>
      <w:bookmarkEnd w:id="20"/>
      <w:r w:rsidDel="00000000" w:rsidR="00000000" w:rsidRPr="00000000">
        <w:rPr>
          <w:rtl w:val="0"/>
        </w:rPr>
        <w:t xml:space="preserve">Project Evaluation</w:t>
      </w:r>
    </w:p>
    <w:tbl>
      <w:tblPr>
        <w:tblStyle w:val="Table2"/>
        <w:tblW w:w="9360.0" w:type="dxa"/>
        <w:jc w:val="left"/>
        <w:tblInd w:w="-1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8D">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drawing>
                <wp:inline distB="114300" distT="114300" distL="114300" distR="114300">
                  <wp:extent cx="4572000" cy="3143250"/>
                  <wp:effectExtent b="0" l="0" r="0" t="0"/>
                  <wp:docPr id="13" name="image9.png"/>
                  <a:graphic>
                    <a:graphicData uri="http://schemas.openxmlformats.org/drawingml/2006/picture">
                      <pic:pic>
                        <pic:nvPicPr>
                          <pic:cNvPr id="0" name="image9.png"/>
                          <pic:cNvPicPr preferRelativeResize="0"/>
                        </pic:nvPicPr>
                        <pic:blipFill>
                          <a:blip r:embed="rId22"/>
                          <a:srcRect b="0" l="0" r="0" t="0"/>
                          <a:stretch>
                            <a:fillRect/>
                          </a:stretch>
                        </pic:blipFill>
                        <pic:spPr>
                          <a:xfrm>
                            <a:off x="0" y="0"/>
                            <a:ext cx="4572000" cy="3143250"/>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drawing>
                <wp:inline distB="114300" distT="114300" distL="114300" distR="114300">
                  <wp:extent cx="4476750" cy="3162300"/>
                  <wp:effectExtent b="0" l="0" r="0" t="0"/>
                  <wp:docPr id="14" name="image11.png"/>
                  <a:graphic>
                    <a:graphicData uri="http://schemas.openxmlformats.org/drawingml/2006/picture">
                      <pic:pic>
                        <pic:nvPicPr>
                          <pic:cNvPr id="0" name="image11.png"/>
                          <pic:cNvPicPr preferRelativeResize="0"/>
                        </pic:nvPicPr>
                        <pic:blipFill>
                          <a:blip r:embed="rId23"/>
                          <a:srcRect b="0" l="0" r="0" t="0"/>
                          <a:stretch>
                            <a:fillRect/>
                          </a:stretch>
                        </pic:blipFill>
                        <pic:spPr>
                          <a:xfrm>
                            <a:off x="0" y="0"/>
                            <a:ext cx="4476750" cy="3162300"/>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widowControl w:val="0"/>
              <w:pBdr>
                <w:top w:space="0" w:sz="0" w:val="nil"/>
                <w:left w:space="0" w:sz="0" w:val="nil"/>
                <w:bottom w:space="0" w:sz="0" w:val="nil"/>
                <w:right w:space="0" w:sz="0" w:val="nil"/>
                <w:between w:space="0" w:sz="0" w:val="nil"/>
              </w:pBdr>
              <w:spacing w:after="0" w:before="0" w:line="240" w:lineRule="auto"/>
              <w:jc w:val="left"/>
              <w:rPr/>
            </w:pPr>
            <w:r w:rsidDel="00000000" w:rsidR="00000000" w:rsidRPr="00000000">
              <w:rPr/>
              <w:drawing>
                <wp:inline distB="114300" distT="114300" distL="114300" distR="114300">
                  <wp:extent cx="4533900" cy="2981325"/>
                  <wp:effectExtent b="0" l="0" r="0" t="0"/>
                  <wp:docPr id="15" name="image17.png"/>
                  <a:graphic>
                    <a:graphicData uri="http://schemas.openxmlformats.org/drawingml/2006/picture">
                      <pic:pic>
                        <pic:nvPicPr>
                          <pic:cNvPr id="0" name="image17.png"/>
                          <pic:cNvPicPr preferRelativeResize="0"/>
                        </pic:nvPicPr>
                        <pic:blipFill>
                          <a:blip r:embed="rId24"/>
                          <a:srcRect b="0" l="0" r="0" t="0"/>
                          <a:stretch>
                            <a:fillRect/>
                          </a:stretch>
                        </pic:blipFill>
                        <pic:spPr>
                          <a:xfrm>
                            <a:off x="0" y="0"/>
                            <a:ext cx="4533900" cy="2981325"/>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090">
      <w:pPr>
        <w:jc w:val="center"/>
        <w:rPr>
          <w:b w:val="1"/>
          <w:bCs w:val="1"/>
        </w:rPr>
      </w:pPr>
      <w:r w:rsidDel="00000000" w:rsidR="00000000" w:rsidRPr="00000000">
        <w:rPr>
          <w:b w:val="1"/>
          <w:bCs w:val="1"/>
          <w:rtl w:val="0"/>
        </w:rPr>
        <w:t xml:space="preserve">Figure 11: Investment Appraisal Results and Project Ranking (PBP, ARR, NPV, PI, IRR)</w:t>
      </w:r>
    </w:p>
    <w:p w:rsidR="00000000" w:rsidDel="00000000" w:rsidP="00000000" w:rsidRDefault="00000000" w:rsidRPr="00000000" w14:paraId="00000091">
      <w:pPr>
        <w:rPr/>
      </w:pPr>
      <w:r w:rsidDel="00000000" w:rsidR="00000000" w:rsidRPr="00000000">
        <w:rPr>
          <w:rtl w:val="0"/>
        </w:rPr>
        <w:t xml:space="preserve">The comparison of Projects A, B, and C, as requested by the application of the various techniques of capital budgeting, will provide the overall picture of the financial feasibility of the projects. Payback Period (PBP) shows that Project C takes the shortest time to cover its initial investment, which is 3.60 years, then Project A with its initial investment at 4.00 years and Project B with its initial investment at 4.55 years. This indicates that Project C is more likely to provide optimal short-term liquidity returns, a factor that is significant considering that BYD is relatively weak in terms of liquidity.</w:t>
      </w:r>
    </w:p>
    <w:p w:rsidR="00000000" w:rsidDel="00000000" w:rsidP="00000000" w:rsidRDefault="00000000" w:rsidRPr="00000000" w14:paraId="00000092">
      <w:pPr>
        <w:rPr/>
      </w:pPr>
      <w:r w:rsidDel="00000000" w:rsidR="00000000" w:rsidRPr="00000000">
        <w:rPr>
          <w:rtl w:val="0"/>
        </w:rPr>
        <w:t xml:space="preserve">Regarding profitability, the Accounting Rate of Return (ARR) indicates that Project C is the most profitable with 6.00%, followed by Project B (2.00%) and Project A (1.60%). This points to better accounting returns of Project C. Nonetheless, given the time value of money, Net Present Value (NPV) calculations reveal that all the projects have negative NPV values at a discount of 10%, with Project C having the least negative NPV of (19.83m), then Project B (83.01m) and Project A (86.75m). This result is also supported by the Profitability Index (PI), where Project C had the highest ratio (0.96), though this is less than 1, suggesting that no project makes any value at the given discount rate (Wang </w:t>
      </w:r>
      <w:r w:rsidDel="00000000" w:rsidR="00000000" w:rsidRPr="00000000">
        <w:rPr>
          <w:i w:val="1"/>
          <w:iCs w:val="1"/>
          <w:rtl w:val="0"/>
        </w:rPr>
        <w:t xml:space="preserve">et al.</w:t>
      </w:r>
      <w:r w:rsidDel="00000000" w:rsidR="00000000" w:rsidRPr="00000000">
        <w:rPr>
          <w:rtl w:val="0"/>
        </w:rPr>
        <w:t xml:space="preserve"> 2024). Equally, the internal rate of return (IRR) findings indicate that Project C has the best performance of 8.59, which is still less than the required 10% hurdling rate. In general, Project C will be superior in most of the criteria, especially in liquidity and relative returns.</w:t>
      </w:r>
    </w:p>
    <w:p w:rsidR="00000000" w:rsidDel="00000000" w:rsidP="00000000" w:rsidRDefault="00000000" w:rsidRPr="00000000" w14:paraId="00000093">
      <w:pPr>
        <w:pStyle w:val="Heading2"/>
        <w:rPr/>
      </w:pPr>
      <w:bookmarkStart w:colFirst="0" w:colLast="0" w:name="_38zhfega1aad" w:id="21"/>
      <w:bookmarkEnd w:id="21"/>
      <w:r w:rsidDel="00000000" w:rsidR="00000000" w:rsidRPr="00000000">
        <w:rPr>
          <w:rtl w:val="0"/>
        </w:rPr>
        <w:t xml:space="preserve">Comparison of Projects</w:t>
      </w:r>
    </w:p>
    <w:p w:rsidR="00000000" w:rsidDel="00000000" w:rsidP="00000000" w:rsidRDefault="00000000" w:rsidRPr="00000000" w14:paraId="00000094">
      <w:pPr>
        <w:jc w:val="center"/>
        <w:rPr/>
      </w:pPr>
      <w:r w:rsidDel="00000000" w:rsidR="00000000" w:rsidRPr="00000000">
        <w:rPr/>
        <w:drawing>
          <wp:inline distB="114300" distT="114300" distL="114300" distR="114300">
            <wp:extent cx="4303408" cy="2917214"/>
            <wp:effectExtent b="12700" l="12700" r="12700" t="12700"/>
            <wp:docPr id="16" name="image5.png"/>
            <a:graphic>
              <a:graphicData uri="http://schemas.openxmlformats.org/drawingml/2006/picture">
                <pic:pic>
                  <pic:nvPicPr>
                    <pic:cNvPr id="0" name="image5.png"/>
                    <pic:cNvPicPr preferRelativeResize="0"/>
                  </pic:nvPicPr>
                  <pic:blipFill>
                    <a:blip r:embed="rId25"/>
                    <a:srcRect b="0" l="0" r="0" t="0"/>
                    <a:stretch>
                      <a:fillRect/>
                    </a:stretch>
                  </pic:blipFill>
                  <pic:spPr>
                    <a:xfrm>
                      <a:off x="0" y="0"/>
                      <a:ext cx="4303408" cy="2917214"/>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95">
      <w:pPr>
        <w:jc w:val="center"/>
        <w:rPr>
          <w:b w:val="1"/>
          <w:bCs w:val="1"/>
        </w:rPr>
      </w:pPr>
      <w:r w:rsidDel="00000000" w:rsidR="00000000" w:rsidRPr="00000000">
        <w:rPr>
          <w:b w:val="1"/>
          <w:bCs w:val="1"/>
          <w:rtl w:val="0"/>
        </w:rPr>
        <w:t xml:space="preserve">Figure 12: NPV Comparison of Projects A, B, and C (£ millions)</w:t>
      </w:r>
    </w:p>
    <w:p w:rsidR="00000000" w:rsidDel="00000000" w:rsidP="00000000" w:rsidRDefault="00000000" w:rsidRPr="00000000" w14:paraId="00000096">
      <w:pPr>
        <w:rPr/>
      </w:pPr>
      <w:r w:rsidDel="00000000" w:rsidR="00000000" w:rsidRPr="00000000">
        <w:rPr>
          <w:rtl w:val="0"/>
        </w:rPr>
        <w:t xml:space="preserve">The differences in the financial performance and the attractiveness of the investment are evident in the comparison of Projects A, B, and C. All three projects show negative values at the 10% discount rate or Net Present Value (NPV) criterion and as such, none of the three projects attained the required success level of returns. Nevertheless, Project C is rather better, as it has the lowest negative NPV (about £19.83 million) compared to Project B (£83.01 million) and Project A (£86.75 million). It implies that of all the options Project C is the one that finds itself nearest to economic viability.</w:t>
      </w:r>
    </w:p>
    <w:p w:rsidR="00000000" w:rsidDel="00000000" w:rsidP="00000000" w:rsidRDefault="00000000" w:rsidRPr="00000000" w14:paraId="00000097">
      <w:pPr>
        <w:rPr/>
      </w:pPr>
      <w:r w:rsidDel="00000000" w:rsidR="00000000" w:rsidRPr="00000000">
        <w:rPr>
          <w:rtl w:val="0"/>
        </w:rPr>
        <w:t xml:space="preserve">Liquidity wise, Project C also has the shortest payback period of 3.60 years and so it is more enticing to recover the money faster. Project C also has the best Accounting Rate of Return (ARR) and Internal rate of return (IRR) which make the superior performance even more advantageous. Although Project B has stable and consistent cash inflows, it is placed second in the uncertainty of the overall performance, with Project A scoring lowest in most of the evaluation criteria. Generally, all the projects do not meet the necessary rate of return wholly but Project C stands out as the best using the relatively higher returns it produces and shorter turnaround time.</w:t>
      </w:r>
    </w:p>
    <w:p w:rsidR="00000000" w:rsidDel="00000000" w:rsidP="00000000" w:rsidRDefault="00000000" w:rsidRPr="00000000" w14:paraId="00000098">
      <w:pPr>
        <w:pStyle w:val="Heading2"/>
        <w:rPr/>
      </w:pPr>
      <w:bookmarkStart w:colFirst="0" w:colLast="0" w:name="_nkjvxwjuq9lt" w:id="22"/>
      <w:bookmarkEnd w:id="22"/>
      <w:r w:rsidDel="00000000" w:rsidR="00000000" w:rsidRPr="00000000">
        <w:rPr>
          <w:rtl w:val="0"/>
        </w:rPr>
        <w:t xml:space="preserve">Project Selection</w:t>
      </w:r>
    </w:p>
    <w:p w:rsidR="00000000" w:rsidDel="00000000" w:rsidP="00000000" w:rsidRDefault="00000000" w:rsidRPr="00000000" w14:paraId="00000099">
      <w:pPr>
        <w:rPr/>
      </w:pPr>
      <w:r w:rsidDel="00000000" w:rsidR="00000000" w:rsidRPr="00000000">
        <w:rPr>
          <w:rFonts w:ascii="Gungsuh" w:cs="Gungsuh" w:eastAsia="Gungsuh" w:hAnsi="Gungsuh"/>
          <w:rtl w:val="0"/>
        </w:rPr>
        <w:t xml:space="preserve">Project C is the best alternative among the three, given the results of the investment appraisal. Despite experiencing a negative Net Present Value (NPV) at a 10 per cent discount rate in all projects, Project C has the lowest negative Net Present Value (NPV) (−£19.83 million), hence it is the nearest in value creation. Moreover, Project C has the lowest payback period of 3.60 years, which will be very advantageous to BYD considering it is relatively weak liquidity-wise in terms of liquidity and requires a quicker cash payback period. In addition, Project C has the largest Accounting Rate of Return (ARR) of 6 per cent and the largest Internal Rate of Return (IRR) of 8.59, and beats Projects A and B on most performance metrics.</w:t>
      </w: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Financially, decreasing liquidity ratios and rising leverage of BYD indicate that projects that have fast returns and have high profitability are more suitable. Project C fits well in this requirement, given its ability to generate higher returns in the medium-term. Project B has steady and predictable cash flows, although its returns are lower, which makes it less appealing, whereas Project A is the worst of all (Wanjari, 2024). Non-financially, project C can consist of an increased risk because of unbalanced cash flows; however, it could have a higher growth in the long term, which the expansion strategy of BYD focuses on in the competitive EV market. Project C will be the best investment option in view of financial performance and strategic goals.</w:t>
      </w:r>
    </w:p>
    <w:p w:rsidR="00000000" w:rsidDel="00000000" w:rsidP="00000000" w:rsidRDefault="00000000" w:rsidRPr="00000000" w14:paraId="0000009B">
      <w:pPr>
        <w:pStyle w:val="Heading2"/>
        <w:rPr/>
      </w:pPr>
      <w:bookmarkStart w:colFirst="0" w:colLast="0" w:name="_bsv4hg7h44i2" w:id="23"/>
      <w:bookmarkEnd w:id="23"/>
      <w:r w:rsidDel="00000000" w:rsidR="00000000" w:rsidRPr="00000000">
        <w:rPr>
          <w:rtl w:val="0"/>
        </w:rPr>
        <w:t xml:space="preserve">Capital Rationing Decision</w:t>
      </w:r>
    </w:p>
    <w:p w:rsidR="00000000" w:rsidDel="00000000" w:rsidP="00000000" w:rsidRDefault="00000000" w:rsidRPr="00000000" w14:paraId="0000009C">
      <w:pPr>
        <w:rPr/>
      </w:pPr>
      <w:r w:rsidDel="00000000" w:rsidR="00000000" w:rsidRPr="00000000">
        <w:rPr>
          <w:rtl w:val="0"/>
        </w:rPr>
        <w:t xml:space="preserve">Assuming a top investment budget of £100 million, there are three projects (A, B and C) that BYD can pick two projects from and that would cost the company 50 million each. The maximisation of the overall returns and the financial position and exposure to risk of the firm should be used to make the decision.</w:t>
      </w:r>
    </w:p>
    <w:p w:rsidR="00000000" w:rsidDel="00000000" w:rsidP="00000000" w:rsidRDefault="00000000" w:rsidRPr="00000000" w14:paraId="0000009D">
      <w:pPr>
        <w:rPr/>
      </w:pPr>
      <w:r w:rsidDel="00000000" w:rsidR="00000000" w:rsidRPr="00000000">
        <w:rPr>
          <w:rtl w:val="0"/>
        </w:rPr>
        <w:t xml:space="preserve">According to the Net Present Value (NPV) aggregates, Projects B and C give the best combined NPV (lowest negative) and therefore are the most financially preferable projects when there is capital rationing. All projects have negative NPVs on their own, but when B and C are used, the overall project shows a better result than in A + B or A + C, since B has steadier and consistent annual cash flows, which minimises the risk and enable the management of liquidity (Celestin and Sujatha, 2024). Project C, on the contrary, is more profitable with a shorter payback period and increases the level of capital recovery.</w:t>
      </w:r>
    </w:p>
    <w:p w:rsidR="00000000" w:rsidDel="00000000" w:rsidP="00000000" w:rsidRDefault="00000000" w:rsidRPr="00000000" w14:paraId="0000009E">
      <w:pPr>
        <w:rPr/>
      </w:pPr>
      <w:r w:rsidDel="00000000" w:rsidR="00000000" w:rsidRPr="00000000">
        <w:rPr>
          <w:rtl w:val="0"/>
        </w:rPr>
        <w:t xml:space="preserve">This has been a good strategy in terms of risk and return. Compared to Project B, which provides a stable, predictable cash flow at a time when BYD could use that, Project C adds to greater growth potential. Furthermore, there is a diversification in the projects between the stable and the high-return project, which lessens the total investment risk (Locker and Grosse-Ruyken, 2024). Hence, within the capital limit amounting to £100 million, the best option is to fund Projects B and C because this will give the maximum returns, as well as balance the liquidity, and also be in line with the growth strategy of BYD.</w:t>
      </w:r>
    </w:p>
    <w:p w:rsidR="00000000" w:rsidDel="00000000" w:rsidP="00000000" w:rsidRDefault="00000000" w:rsidRPr="00000000" w14:paraId="0000009F">
      <w:pPr>
        <w:pStyle w:val="Heading1"/>
        <w:rPr/>
      </w:pPr>
      <w:bookmarkStart w:colFirst="0" w:colLast="0" w:name="_iqmef3hm18v5" w:id="24"/>
      <w:bookmarkEnd w:id="24"/>
      <w:r w:rsidDel="00000000" w:rsidR="00000000" w:rsidRPr="00000000">
        <w:rPr>
          <w:rtl w:val="0"/>
        </w:rPr>
        <w:t xml:space="preserve">Conclusion</w:t>
      </w:r>
    </w:p>
    <w:p w:rsidR="00000000" w:rsidDel="00000000" w:rsidP="00000000" w:rsidRDefault="00000000" w:rsidRPr="00000000" w14:paraId="000000A0">
      <w:pPr>
        <w:rPr/>
      </w:pPr>
      <w:r w:rsidDel="00000000" w:rsidR="00000000" w:rsidRPr="00000000">
        <w:rPr>
          <w:rtl w:val="0"/>
        </w:rPr>
        <w:t xml:space="preserve">BYD is a company with effective financial growth and internationalisation, evidenced by the rising income and efficiency of its work. Nonetheless, liquidity restrictions, increases in leverage and a fall in profit margins in recent years are still the challenge. As the investment appraisal shows that the returns are higher and the payback is faster, Project C is the best choice, and the combination of Projects B and C is the best choice in the case of capital rationing. In order to achieve long-term growth, BYD needs to work on enhancing liquidity, cost management, and balanced financing schemes in order to become more financially stable and competitive.</w:t>
      </w:r>
      <w:r w:rsidDel="00000000" w:rsidR="00000000" w:rsidRPr="00000000">
        <w:br w:type="page"/>
      </w:r>
      <w:r w:rsidDel="00000000" w:rsidR="00000000" w:rsidRPr="00000000">
        <w:rPr>
          <w:rtl w:val="0"/>
        </w:rPr>
      </w:r>
    </w:p>
    <w:p w:rsidR="00000000" w:rsidDel="00000000" w:rsidP="00000000" w:rsidRDefault="00000000" w:rsidRPr="00000000" w14:paraId="000000A1">
      <w:pPr>
        <w:pStyle w:val="Heading1"/>
        <w:rPr/>
      </w:pPr>
      <w:bookmarkStart w:colFirst="0" w:colLast="0" w:name="_11sti3mkelww" w:id="25"/>
      <w:bookmarkEnd w:id="25"/>
      <w:r w:rsidDel="00000000" w:rsidR="00000000" w:rsidRPr="00000000">
        <w:rPr>
          <w:rtl w:val="0"/>
        </w:rPr>
        <w:t xml:space="preserve">References </w:t>
      </w:r>
    </w:p>
    <w:p w:rsidR="00000000" w:rsidDel="00000000" w:rsidP="00000000" w:rsidRDefault="00000000" w:rsidRPr="00000000" w14:paraId="000000A2">
      <w:pPr>
        <w:rPr/>
      </w:pPr>
      <w:bookmarkStart w:colFirst="0" w:colLast="0" w:name="_g15ig9n5w20u" w:id="26"/>
      <w:bookmarkEnd w:id="26"/>
      <w:r w:rsidDel="00000000" w:rsidR="00000000" w:rsidRPr="00000000">
        <w:rPr>
          <w:rtl w:val="0"/>
        </w:rPr>
        <w:t xml:space="preserve">Anchan, V., Jhawar, S., Khanted, D., Jani, S. and Vora, V., 2024. Long-Term Impact of Mergers and Acquisitions on Firm Performance: A Panel Data Study. INTERNATIONAL JOURNAL, 12(10), pp.871-885.</w:t>
      </w:r>
    </w:p>
    <w:p w:rsidR="00000000" w:rsidDel="00000000" w:rsidP="00000000" w:rsidRDefault="00000000" w:rsidRPr="00000000" w14:paraId="000000A3">
      <w:pPr>
        <w:rPr/>
      </w:pPr>
      <w:r w:rsidDel="00000000" w:rsidR="00000000" w:rsidRPr="00000000">
        <w:rPr>
          <w:rtl w:val="0"/>
        </w:rPr>
        <w:t xml:space="preserve">Apriansyah, S., Kamaludin, K., Zoraya, I., Putra, M.T. and Afandy, C., 2025. Economic Policy Uncertainty and Firm Value: The Role of Company Debt. APMBA (Asia Pacific Management and Business Application), 13(3), pp.249-272.</w:t>
      </w:r>
    </w:p>
    <w:p w:rsidR="00000000" w:rsidDel="00000000" w:rsidP="00000000" w:rsidRDefault="00000000" w:rsidRPr="00000000" w14:paraId="000000A4">
      <w:pPr>
        <w:rPr/>
      </w:pPr>
      <w:hyperlink r:id="rId26">
        <w:r w:rsidDel="00000000" w:rsidR="00000000" w:rsidRPr="00000000">
          <w:rPr>
            <w:color w:val="1155cc"/>
            <w:u w:val="single"/>
            <w:rtl w:val="0"/>
          </w:rPr>
          <w:t xml:space="preserve">bydglobal.com</w:t>
        </w:r>
      </w:hyperlink>
      <w:r w:rsidDel="00000000" w:rsidR="00000000" w:rsidRPr="00000000">
        <w:rPr>
          <w:rFonts w:ascii="Gungsuh" w:cs="Gungsuh" w:eastAsia="Gungsuh" w:hAnsi="Gungsuh"/>
          <w:rtl w:val="0"/>
        </w:rPr>
        <w:t xml:space="preserve">, 2026. BYD COMPANY LIMITED Annual Report 2025（2026-03-27. Available at: </w:t>
      </w:r>
      <w:hyperlink r:id="rId27">
        <w:r w:rsidDel="00000000" w:rsidR="00000000" w:rsidRPr="00000000">
          <w:rPr>
            <w:color w:val="1155cc"/>
            <w:u w:val="single"/>
            <w:rtl w:val="0"/>
          </w:rPr>
          <w:t xml:space="preserve">https://www.bydglobal.com/cn/en/BYD_ENInvestor/InvestorAnnals_mob.html</w:t>
        </w:r>
      </w:hyperlink>
      <w:r w:rsidDel="00000000" w:rsidR="00000000" w:rsidRPr="00000000">
        <w:rPr>
          <w:rtl w:val="0"/>
        </w:rPr>
        <w:t xml:space="preserve"> [accessed on: 21/4/2026] </w:t>
      </w:r>
    </w:p>
    <w:p w:rsidR="00000000" w:rsidDel="00000000" w:rsidP="00000000" w:rsidRDefault="00000000" w:rsidRPr="00000000" w14:paraId="000000A5">
      <w:pPr>
        <w:rPr/>
      </w:pPr>
      <w:r w:rsidDel="00000000" w:rsidR="00000000" w:rsidRPr="00000000">
        <w:rPr>
          <w:rtl w:val="0"/>
        </w:rPr>
        <w:t xml:space="preserve">Celestin, M. and Sujatha, S., 2024. Exploring leadership styles and innovation: How transformational leadership drives creativity and competitiveness in business. International Journal of Applied and Advanced Scientific Research, 9(2), pp.88-95.</w:t>
      </w:r>
    </w:p>
    <w:p w:rsidR="00000000" w:rsidDel="00000000" w:rsidP="00000000" w:rsidRDefault="00000000" w:rsidRPr="00000000" w14:paraId="000000A6">
      <w:pPr>
        <w:rPr/>
      </w:pPr>
      <w:r w:rsidDel="00000000" w:rsidR="00000000" w:rsidRPr="00000000">
        <w:rPr>
          <w:rtl w:val="0"/>
        </w:rPr>
        <w:t xml:space="preserve">Chen, L., 2025. Analysis of Operating Capacity of SF Holding Co., Ltd. Journal of Frontier in Economic and Management Research, 1(1), pp.131-148.</w:t>
      </w:r>
    </w:p>
    <w:p w:rsidR="00000000" w:rsidDel="00000000" w:rsidP="00000000" w:rsidRDefault="00000000" w:rsidRPr="00000000" w14:paraId="000000A7">
      <w:pPr>
        <w:rPr/>
      </w:pPr>
      <w:r w:rsidDel="00000000" w:rsidR="00000000" w:rsidRPr="00000000">
        <w:rPr>
          <w:rtl w:val="0"/>
        </w:rPr>
        <w:t xml:space="preserve">Ding, R., 2025, July. Value Investing in the EV Industry: A Case Study of Tesla. In 2025 International Conference on Financial Risk and Investment Management (ICFRIM 2025) (pp. 929-937). Atlantis Press.</w:t>
      </w:r>
    </w:p>
    <w:p w:rsidR="00000000" w:rsidDel="00000000" w:rsidP="00000000" w:rsidRDefault="00000000" w:rsidRPr="00000000" w14:paraId="000000A8">
      <w:pPr>
        <w:rPr/>
      </w:pPr>
      <w:r w:rsidDel="00000000" w:rsidR="00000000" w:rsidRPr="00000000">
        <w:rPr>
          <w:rtl w:val="0"/>
        </w:rPr>
        <w:t xml:space="preserve">Ding, X., Swatdikun, T., Chen, X. and Mahadi, N., 2025. Exploring the Role of Corporate Financial Strategy on Sustainability Performance: The Intervention of Corporate Culture of Automobile Companies in Guangxi, China. Sustainability, 17(19), p.8610.</w:t>
      </w:r>
    </w:p>
    <w:p w:rsidR="00000000" w:rsidDel="00000000" w:rsidP="00000000" w:rsidRDefault="00000000" w:rsidRPr="00000000" w14:paraId="000000A9">
      <w:pPr>
        <w:rPr/>
      </w:pPr>
      <w:r w:rsidDel="00000000" w:rsidR="00000000" w:rsidRPr="00000000">
        <w:rPr>
          <w:rtl w:val="0"/>
        </w:rPr>
        <w:t xml:space="preserve">Ghadge, A., 2024. A sustainable supply chain finance ecosystem: A review and conceptual framework. Available at SSRN 5259823.</w:t>
      </w:r>
    </w:p>
    <w:p w:rsidR="00000000" w:rsidDel="00000000" w:rsidP="00000000" w:rsidRDefault="00000000" w:rsidRPr="00000000" w14:paraId="000000AA">
      <w:pPr>
        <w:rPr/>
      </w:pPr>
      <w:r w:rsidDel="00000000" w:rsidR="00000000" w:rsidRPr="00000000">
        <w:rPr>
          <w:rtl w:val="0"/>
        </w:rPr>
        <w:t xml:space="preserve">Haque, S., Jang, Y.S. and Mayer, S., 2022. Private equity and corporate borrowing constraints: Evidence from loan level data. Available at SSRN 4294228.</w:t>
      </w:r>
    </w:p>
    <w:p w:rsidR="00000000" w:rsidDel="00000000" w:rsidP="00000000" w:rsidRDefault="00000000" w:rsidRPr="00000000" w14:paraId="000000AB">
      <w:pPr>
        <w:rPr/>
      </w:pPr>
      <w:r w:rsidDel="00000000" w:rsidR="00000000" w:rsidRPr="00000000">
        <w:rPr>
          <w:rtl w:val="0"/>
        </w:rPr>
        <w:t xml:space="preserve">Huang, X. and Zhang, X., 2025. Analysis of the Operating Capacity of Chinese New Energy Electric Vehicles Industry: Taking NIO as an Example. Journal of Frontier in Economic and Management Research, 1(1), pp.487-511.</w:t>
      </w:r>
    </w:p>
    <w:p w:rsidR="00000000" w:rsidDel="00000000" w:rsidP="00000000" w:rsidRDefault="00000000" w:rsidRPr="00000000" w14:paraId="000000AC">
      <w:pPr>
        <w:rPr/>
      </w:pPr>
      <w:r w:rsidDel="00000000" w:rsidR="00000000" w:rsidRPr="00000000">
        <w:rPr>
          <w:rtl w:val="0"/>
        </w:rPr>
        <w:t xml:space="preserve">Igwe, Q., 2023. Corporate Restructuring: Strategies, Implications, and Case Studies.</w:t>
      </w:r>
    </w:p>
    <w:p w:rsidR="00000000" w:rsidDel="00000000" w:rsidP="00000000" w:rsidRDefault="00000000" w:rsidRPr="00000000" w14:paraId="000000AD">
      <w:pPr>
        <w:rPr/>
      </w:pPr>
      <w:r w:rsidDel="00000000" w:rsidR="00000000" w:rsidRPr="00000000">
        <w:rPr>
          <w:rtl w:val="0"/>
        </w:rPr>
        <w:t xml:space="preserve">Locker, A. and Grosse-Ruyken, P.T., 2024. Finanzen in Einkauf und Supply Chain: Turbo der Wertsteigerung ist Chefsache. In Chefsache Finanzen in Einkauf und Supply Chain: Millionenwerte schaffen mit Digitalisierung, Resilienz und Nachhaltigkeit (pp. 1-37). Wiesbaden: Springer Fachmedien Wiesbaden.</w:t>
      </w:r>
    </w:p>
    <w:p w:rsidR="00000000" w:rsidDel="00000000" w:rsidP="00000000" w:rsidRDefault="00000000" w:rsidRPr="00000000" w14:paraId="000000AE">
      <w:pPr>
        <w:rPr/>
      </w:pPr>
      <w:r w:rsidDel="00000000" w:rsidR="00000000" w:rsidRPr="00000000">
        <w:rPr>
          <w:rtl w:val="0"/>
        </w:rPr>
        <w:t xml:space="preserve">Nabieu, G.A., Amoah, L. and Graham, M., 2025. Capital structure and firm financing decisions. In The Elgar Companion to Financial Economics (pp. 66-91). Edward Elgar Publishing.</w:t>
      </w:r>
    </w:p>
    <w:p w:rsidR="00000000" w:rsidDel="00000000" w:rsidP="00000000" w:rsidRDefault="00000000" w:rsidRPr="00000000" w14:paraId="000000AF">
      <w:pPr>
        <w:rPr/>
      </w:pPr>
      <w:r w:rsidDel="00000000" w:rsidR="00000000" w:rsidRPr="00000000">
        <w:rPr>
          <w:rtl w:val="0"/>
        </w:rPr>
        <w:t xml:space="preserve">Pereira, J.F.M., 2025. Merger &amp; acquisition idea field lab-the acquisition of globalFoundries by advanced micro devices.</w:t>
      </w:r>
    </w:p>
    <w:p w:rsidR="00000000" w:rsidDel="00000000" w:rsidP="00000000" w:rsidRDefault="00000000" w:rsidRPr="00000000" w14:paraId="000000B0">
      <w:pPr>
        <w:rPr/>
      </w:pPr>
      <w:r w:rsidDel="00000000" w:rsidR="00000000" w:rsidRPr="00000000">
        <w:rPr>
          <w:rtl w:val="0"/>
        </w:rPr>
        <w:t xml:space="preserve">Wang, E., Solansky, S.T. and Xie, H., 2024. Do supply chain finance and trade digitization matter in mitigating financial instability in supply chains? An information processing theory view. International Journal of Management Science and Engineering Management, 19(4), pp.378-388.</w:t>
      </w:r>
    </w:p>
    <w:p w:rsidR="00000000" w:rsidDel="00000000" w:rsidP="00000000" w:rsidRDefault="00000000" w:rsidRPr="00000000" w14:paraId="000000B1">
      <w:pPr>
        <w:rPr/>
      </w:pPr>
      <w:r w:rsidDel="00000000" w:rsidR="00000000" w:rsidRPr="00000000">
        <w:rPr>
          <w:rtl w:val="0"/>
        </w:rPr>
        <w:t xml:space="preserve">Wanjari, M.P., 2024. Entrepreneurship Development-Techniques and Tools. Academic Guru Publishing House.</w:t>
      </w:r>
    </w:p>
    <w:p w:rsidR="00000000" w:rsidDel="00000000" w:rsidP="00000000" w:rsidRDefault="00000000" w:rsidRPr="00000000" w14:paraId="000000B2">
      <w:pPr>
        <w:rPr/>
      </w:pPr>
      <w:r w:rsidDel="00000000" w:rsidR="00000000" w:rsidRPr="00000000">
        <w:rPr>
          <w:rtl w:val="0"/>
        </w:rPr>
        <w:t xml:space="preserve">Yanga, Q., Sunb, L., Suº, H. and Chend, X., 2025, August. Strategic Transformation and Financial Resilience: How New Oriental Reinvented Itself After China's Double. In Proceedings of the 2025 5th International Conference on Enterprise Management and Economic Development (ICEMED 2025) (p. 398). Springer Nature.</w:t>
      </w:r>
    </w:p>
    <w:p w:rsidR="00000000" w:rsidDel="00000000" w:rsidP="00000000" w:rsidRDefault="00000000" w:rsidRPr="00000000" w14:paraId="000000B3">
      <w:pPr>
        <w:rPr/>
      </w:pPr>
      <w:r w:rsidDel="00000000" w:rsidR="00000000" w:rsidRPr="00000000">
        <w:rPr>
          <w:rtl w:val="0"/>
        </w:rPr>
        <w:t xml:space="preserve">Zhang, Y., Sadiq, M. and Chien, F., 2023. DOES TECHNOLOGY ADOPTION, KNOWLEDGE AND STRESS MANAGEMENT EFFECTS THE BUSINESS PERFORMANCE IN CHINA: MODERATING ROLE OF ORGANIZATIONAL SUPPORT. Transformations in Business &amp; Economics, 22(3).</w:t>
      </w:r>
    </w:p>
    <w:p w:rsidR="00000000" w:rsidDel="00000000" w:rsidP="00000000" w:rsidRDefault="00000000" w:rsidRPr="00000000" w14:paraId="000000B4">
      <w:pPr>
        <w:rPr/>
      </w:pPr>
      <w:r w:rsidDel="00000000" w:rsidR="00000000" w:rsidRPr="00000000">
        <w:rPr>
          <w:rtl w:val="0"/>
        </w:rPr>
        <w:t xml:space="preserve">Zhao, Y., Meng, Q. and Li, Z., 2025. Performance Enhancement Pathways for Electric Vehicle Manufacturing Companies Driven by Digital Transformation—A Configuration Analysis Based on the TOE Framework. Systems, 13(8), p.680.</w:t>
      </w:r>
    </w:p>
    <w:p w:rsidR="00000000" w:rsidDel="00000000" w:rsidP="00000000" w:rsidRDefault="00000000" w:rsidRPr="00000000" w14:paraId="000000B5">
      <w:pPr>
        <w:rPr/>
      </w:pPr>
      <w:r w:rsidDel="00000000" w:rsidR="00000000" w:rsidRPr="00000000">
        <w:br w:type="page"/>
      </w:r>
      <w:r w:rsidDel="00000000" w:rsidR="00000000" w:rsidRPr="00000000">
        <w:rPr>
          <w:rtl w:val="0"/>
        </w:rPr>
      </w:r>
    </w:p>
    <w:p w:rsidR="00000000" w:rsidDel="00000000" w:rsidP="00000000" w:rsidRDefault="00000000" w:rsidRPr="00000000" w14:paraId="000000B6">
      <w:pPr>
        <w:pStyle w:val="Heading1"/>
        <w:rPr/>
      </w:pPr>
      <w:bookmarkStart w:colFirst="0" w:colLast="0" w:name="_ft8xffbekhdf" w:id="27"/>
      <w:bookmarkEnd w:id="27"/>
      <w:r w:rsidDel="00000000" w:rsidR="00000000" w:rsidRPr="00000000">
        <w:rPr>
          <w:rtl w:val="0"/>
        </w:rPr>
        <w:t xml:space="preserve">Appendix </w:t>
      </w:r>
    </w:p>
    <w:p w:rsidR="00000000" w:rsidDel="00000000" w:rsidP="00000000" w:rsidRDefault="00000000" w:rsidRPr="00000000" w14:paraId="000000B7">
      <w:pPr>
        <w:pStyle w:val="Heading2"/>
        <w:rPr/>
      </w:pPr>
      <w:bookmarkStart w:colFirst="0" w:colLast="0" w:name="_jiolyy5q6j7h" w:id="28"/>
      <w:bookmarkEnd w:id="28"/>
      <w:r w:rsidDel="00000000" w:rsidR="00000000" w:rsidRPr="00000000">
        <w:rPr>
          <w:rtl w:val="0"/>
        </w:rPr>
        <w:t xml:space="preserve">Financial Dashboard</w:t>
      </w:r>
    </w:p>
    <w:p w:rsidR="00000000" w:rsidDel="00000000" w:rsidP="00000000" w:rsidRDefault="00000000" w:rsidRPr="00000000" w14:paraId="000000B8">
      <w:pPr>
        <w:rPr/>
      </w:pPr>
      <w:r w:rsidDel="00000000" w:rsidR="00000000" w:rsidRPr="00000000">
        <w:rPr/>
        <w:drawing>
          <wp:inline distB="0" distT="0" distL="0" distR="0">
            <wp:extent cx="5943600" cy="2051685"/>
            <wp:effectExtent b="0" l="0" r="0" t="0"/>
            <wp:docPr id="17" name="image1.png"/>
            <a:graphic>
              <a:graphicData uri="http://schemas.openxmlformats.org/drawingml/2006/picture">
                <pic:pic>
                  <pic:nvPicPr>
                    <pic:cNvPr id="0" name="image1.png"/>
                    <pic:cNvPicPr preferRelativeResize="0"/>
                  </pic:nvPicPr>
                  <pic:blipFill>
                    <a:blip r:embed="rId28"/>
                    <a:srcRect b="0" l="0" r="0" t="0"/>
                    <a:stretch>
                      <a:fillRect/>
                    </a:stretch>
                  </pic:blipFill>
                  <pic:spPr>
                    <a:xfrm>
                      <a:off x="0" y="0"/>
                      <a:ext cx="5943600" cy="2051685"/>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sectPr>
      <w:footerReference r:id="rId29"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ungsuh"/>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200"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spacing w:after="120" w:before="360" w:lineRule="auto"/>
    </w:pPr>
    <w:rPr>
      <w:b w:val="1"/>
      <w:bCs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bydglobal.com" TargetMode="External"/><Relationship Id="rId22" Type="http://schemas.openxmlformats.org/officeDocument/2006/relationships/image" Target="media/image9.png"/><Relationship Id="rId21" Type="http://schemas.openxmlformats.org/officeDocument/2006/relationships/image" Target="media/image2.png"/><Relationship Id="rId24" Type="http://schemas.openxmlformats.org/officeDocument/2006/relationships/image" Target="media/image17.png"/><Relationship Id="rId23" Type="http://schemas.openxmlformats.org/officeDocument/2006/relationships/image" Target="media/image1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bydglobal.com" TargetMode="External"/><Relationship Id="rId25" Type="http://schemas.openxmlformats.org/officeDocument/2006/relationships/image" Target="media/image5.png"/><Relationship Id="rId28" Type="http://schemas.openxmlformats.org/officeDocument/2006/relationships/image" Target="media/image1.png"/><Relationship Id="rId27" Type="http://schemas.openxmlformats.org/officeDocument/2006/relationships/hyperlink" Target="https://www.bydglobal.com/cn/en/BYD_ENInvestor/InvestorAnnals_mob.html" TargetMode="External"/><Relationship Id="rId5" Type="http://schemas.openxmlformats.org/officeDocument/2006/relationships/styles" Target="styles.xml"/><Relationship Id="rId6" Type="http://schemas.openxmlformats.org/officeDocument/2006/relationships/image" Target="media/image7.png"/><Relationship Id="rId29" Type="http://schemas.openxmlformats.org/officeDocument/2006/relationships/footer" Target="footer1.xml"/><Relationship Id="rId7" Type="http://schemas.openxmlformats.org/officeDocument/2006/relationships/image" Target="media/image12.png"/><Relationship Id="rId8" Type="http://schemas.openxmlformats.org/officeDocument/2006/relationships/image" Target="media/image14.png"/><Relationship Id="rId11" Type="http://schemas.openxmlformats.org/officeDocument/2006/relationships/image" Target="media/image16.png"/><Relationship Id="rId10" Type="http://schemas.openxmlformats.org/officeDocument/2006/relationships/image" Target="media/image6.png"/><Relationship Id="rId13" Type="http://schemas.openxmlformats.org/officeDocument/2006/relationships/image" Target="media/image15.png"/><Relationship Id="rId12" Type="http://schemas.openxmlformats.org/officeDocument/2006/relationships/image" Target="media/image18.png"/><Relationship Id="rId15" Type="http://schemas.openxmlformats.org/officeDocument/2006/relationships/image" Target="media/image8.png"/><Relationship Id="rId14" Type="http://schemas.openxmlformats.org/officeDocument/2006/relationships/image" Target="media/image13.png"/><Relationship Id="rId17" Type="http://schemas.openxmlformats.org/officeDocument/2006/relationships/image" Target="media/image10.png"/><Relationship Id="rId16" Type="http://schemas.openxmlformats.org/officeDocument/2006/relationships/image" Target="media/image3.png"/><Relationship Id="rId19" Type="http://schemas.openxmlformats.org/officeDocument/2006/relationships/hyperlink" Target="http://bydglobal.com" TargetMode="External"/><Relationship Id="rId18" Type="http://schemas.openxmlformats.org/officeDocument/2006/relationships/hyperlink" Target="http://bydgloba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