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11AEE" w14:textId="268BB615" w:rsidR="00105C22" w:rsidRPr="00105C22" w:rsidRDefault="00105C22" w:rsidP="00105C22">
      <w:pPr>
        <w:spacing w:line="360" w:lineRule="auto"/>
        <w:rPr>
          <w:rFonts w:eastAsia="Times New Roman" w:cstheme="minorHAnsi"/>
          <w:kern w:val="0"/>
          <w:sz w:val="22"/>
          <w:szCs w:val="22"/>
          <w:lang w:val="en-US"/>
          <w14:ligatures w14:val="none"/>
        </w:rPr>
      </w:pPr>
      <w:r>
        <w:rPr>
          <w:rFonts w:eastAsia="Times New Roman" w:cstheme="minorHAnsi"/>
          <w:color w:val="000000"/>
          <w:kern w:val="0"/>
          <w:sz w:val="22"/>
          <w:szCs w:val="22"/>
          <w:lang w:val="en-US"/>
          <w14:ligatures w14:val="none"/>
        </w:rPr>
        <w:t xml:space="preserve">Laurie </w:t>
      </w:r>
      <w:proofErr w:type="spellStart"/>
      <w:r>
        <w:rPr>
          <w:rFonts w:eastAsia="Times New Roman" w:cstheme="minorHAnsi"/>
          <w:color w:val="000000"/>
          <w:kern w:val="0"/>
          <w:sz w:val="22"/>
          <w:szCs w:val="22"/>
          <w:lang w:val="en-US"/>
          <w14:ligatures w14:val="none"/>
        </w:rPr>
        <w:t>Chhin</w:t>
      </w:r>
      <w:proofErr w:type="spellEnd"/>
    </w:p>
    <w:p w14:paraId="6E02D853" w14:textId="1FB1F8A0" w:rsidR="00105C22" w:rsidRPr="00105C22" w:rsidRDefault="00105C22" w:rsidP="00105C22">
      <w:pPr>
        <w:spacing w:line="360" w:lineRule="auto"/>
        <w:rPr>
          <w:rFonts w:eastAsia="Times New Roman" w:cstheme="minorHAnsi"/>
          <w:kern w:val="0"/>
          <w:sz w:val="22"/>
          <w:szCs w:val="22"/>
          <w:lang w:val="en-US"/>
          <w14:ligatures w14:val="none"/>
        </w:rPr>
      </w:pPr>
      <w:r>
        <w:rPr>
          <w:rFonts w:eastAsia="Times New Roman" w:cstheme="minorHAnsi"/>
          <w:color w:val="000000"/>
          <w:kern w:val="0"/>
          <w:sz w:val="22"/>
          <w:szCs w:val="22"/>
          <w:lang w:val="en-US"/>
          <w14:ligatures w14:val="none"/>
        </w:rPr>
        <w:t>2304870</w:t>
      </w:r>
    </w:p>
    <w:p w14:paraId="35BE1072" w14:textId="273EEC5D" w:rsidR="00105C22" w:rsidRDefault="00105C22" w:rsidP="00105C22">
      <w:pPr>
        <w:pStyle w:val="Heading1"/>
        <w:shd w:val="clear" w:color="auto" w:fill="FFFFFF"/>
        <w:spacing w:before="0" w:beforeAutospacing="0" w:line="360" w:lineRule="auto"/>
        <w:rPr>
          <w:rFonts w:asciiTheme="minorHAnsi" w:hAnsiTheme="minorHAnsi" w:cstheme="minorHAnsi"/>
          <w:b w:val="0"/>
          <w:bCs w:val="0"/>
          <w:color w:val="1D2125"/>
          <w:sz w:val="22"/>
          <w:szCs w:val="22"/>
        </w:rPr>
      </w:pPr>
      <w:r w:rsidRPr="00105C22">
        <w:rPr>
          <w:rFonts w:asciiTheme="minorHAnsi" w:hAnsiTheme="minorHAnsi" w:cstheme="minorHAnsi"/>
          <w:b w:val="0"/>
          <w:bCs w:val="0"/>
          <w:color w:val="000000"/>
          <w:kern w:val="0"/>
          <w:sz w:val="22"/>
          <w:szCs w:val="22"/>
          <w:lang w:val="en-US"/>
        </w:rPr>
        <w:t xml:space="preserve">Learning in the Digital Era, </w:t>
      </w:r>
      <w:r w:rsidRPr="00105C22">
        <w:rPr>
          <w:rFonts w:asciiTheme="minorHAnsi" w:hAnsiTheme="minorHAnsi" w:cstheme="minorHAnsi"/>
          <w:b w:val="0"/>
          <w:bCs w:val="0"/>
          <w:color w:val="1D2125"/>
          <w:sz w:val="22"/>
          <w:szCs w:val="22"/>
        </w:rPr>
        <w:t>ADPA4001/C</w:t>
      </w:r>
      <w:r>
        <w:rPr>
          <w:rFonts w:asciiTheme="minorHAnsi" w:hAnsiTheme="minorHAnsi" w:cstheme="minorHAnsi"/>
          <w:b w:val="0"/>
          <w:bCs w:val="0"/>
          <w:color w:val="1D2125"/>
          <w:sz w:val="22"/>
          <w:szCs w:val="22"/>
        </w:rPr>
        <w:br/>
      </w:r>
      <w:r w:rsidRPr="00105C22">
        <w:rPr>
          <w:rFonts w:asciiTheme="minorHAnsi" w:hAnsiTheme="minorHAnsi" w:cstheme="minorHAnsi"/>
          <w:b w:val="0"/>
          <w:bCs w:val="0"/>
          <w:color w:val="1D2125"/>
          <w:sz w:val="22"/>
          <w:szCs w:val="22"/>
        </w:rPr>
        <w:t>Turnitin Task One – Similarity Checker - BAMT / BMUS / BACD</w:t>
      </w:r>
    </w:p>
    <w:p w14:paraId="5BE3792A" w14:textId="77777777" w:rsidR="00105C22" w:rsidRDefault="00105C22" w:rsidP="00105C22">
      <w:pPr>
        <w:spacing w:line="360" w:lineRule="auto"/>
        <w:rPr>
          <w:sz w:val="22"/>
          <w:szCs w:val="22"/>
        </w:rPr>
      </w:pPr>
    </w:p>
    <w:p w14:paraId="11770586" w14:textId="34CDF2AC" w:rsidR="00194F8B" w:rsidRPr="00A57A84" w:rsidRDefault="00A57A84" w:rsidP="00105C22">
      <w:pPr>
        <w:spacing w:line="360" w:lineRule="auto"/>
        <w:rPr>
          <w:sz w:val="22"/>
          <w:szCs w:val="22"/>
          <w:lang w:val="en-US"/>
        </w:rPr>
      </w:pPr>
      <w:r w:rsidRPr="00A57A84">
        <w:rPr>
          <w:sz w:val="22"/>
          <w:szCs w:val="22"/>
        </w:rPr>
        <w:t xml:space="preserve">The modern music industry is complicated by the differences involved in each style, with classical singers finding work in more sophisticated and private venues, and contemporary singers reliant on original releases and live, public performances. Singers need key skills to successfully find work. </w:t>
      </w:r>
      <w:r w:rsidRPr="00A57A84">
        <w:rPr>
          <w:sz w:val="22"/>
          <w:szCs w:val="22"/>
        </w:rPr>
        <w:br/>
      </w:r>
      <w:r w:rsidRPr="00A57A84">
        <w:rPr>
          <w:sz w:val="22"/>
          <w:szCs w:val="22"/>
        </w:rPr>
        <w:br/>
        <w:t xml:space="preserve">Singers must be open to feedback and constructive criticism - negative feedback is an opportunity to learn from mistakes. Teachers and coaches are supportive, wanting students to develop themselves; singers must take advice and use it to improve, celebrating their victories. Feedback prepares singers for work in the music industry. </w:t>
      </w:r>
      <w:r w:rsidRPr="00A57A84">
        <w:rPr>
          <w:sz w:val="22"/>
          <w:szCs w:val="22"/>
        </w:rPr>
        <w:br/>
      </w:r>
      <w:r w:rsidRPr="00A57A84">
        <w:rPr>
          <w:sz w:val="22"/>
          <w:szCs w:val="22"/>
        </w:rPr>
        <w:br/>
        <w:t>Audition skills and etiquette are important for classical singers. Singers must choose songs they are confident in performing that are appropriate for audition context, will impress judges, and flaunt their uniqueness, as well as be polite, respectful and open. Practice and research makes conveying emotion easier, and stress management supports singer confidence through being relaxed. Auditions open gateways to successful performance careers.</w:t>
      </w:r>
      <w:r w:rsidRPr="00A57A84">
        <w:rPr>
          <w:sz w:val="22"/>
          <w:szCs w:val="22"/>
        </w:rPr>
        <w:br/>
      </w:r>
      <w:r w:rsidRPr="00A57A84">
        <w:rPr>
          <w:sz w:val="22"/>
          <w:szCs w:val="22"/>
        </w:rPr>
        <w:br/>
        <w:t>Live performances provide contemporary performers chances to showcase their skills and expand their opportunities. They must consider audience interests, relevancy of pieces, and display confidence and emotion for emotion-provoking performances. By connecting with and understanding audiences and considering the context, singers grow as performers and gain traction in the live music industry. Live performances are opportunities to widen audiences when releasing original pieces.</w:t>
      </w:r>
      <w:r w:rsidRPr="00A57A84">
        <w:rPr>
          <w:sz w:val="22"/>
          <w:szCs w:val="22"/>
        </w:rPr>
        <w:br/>
      </w:r>
      <w:r w:rsidRPr="00A57A84">
        <w:rPr>
          <w:sz w:val="22"/>
          <w:szCs w:val="22"/>
        </w:rPr>
        <w:br/>
        <w:t xml:space="preserve">Branding and self-promotion are important when releasing original music. Technologies such as YouTube and Spotify enable singers to connect with larger audiences through accessible online presence. Technology supports singers to produce unique sounds and develop personas that can be showcased in live, video and online performances, making it easier to stand out. Staying consistent and true to a unique brand is key. </w:t>
      </w:r>
      <w:r w:rsidRPr="00A57A84">
        <w:rPr>
          <w:sz w:val="22"/>
          <w:szCs w:val="22"/>
        </w:rPr>
        <w:br/>
      </w:r>
      <w:r w:rsidRPr="00A57A84">
        <w:rPr>
          <w:sz w:val="22"/>
          <w:szCs w:val="22"/>
        </w:rPr>
        <w:lastRenderedPageBreak/>
        <w:br/>
        <w:t>In the music industry, opportunities lead to development and a singer’s growth relies on making the most of each one. Practicing these important skills of developing through feedback, being knowledgeable in setting and context, and being unique and confident, classical and contemporary performers can thrive in the music industry.</w:t>
      </w:r>
    </w:p>
    <w:p w14:paraId="1E1BB16F" w14:textId="77777777" w:rsidR="00194F8B" w:rsidRPr="00A57A84" w:rsidRDefault="00194F8B">
      <w:pPr>
        <w:rPr>
          <w:sz w:val="22"/>
          <w:szCs w:val="22"/>
          <w:lang w:val="en-US"/>
        </w:rPr>
      </w:pPr>
    </w:p>
    <w:p w14:paraId="2772BB4E" w14:textId="77777777" w:rsidR="00194F8B" w:rsidRPr="00A57A84" w:rsidRDefault="00194F8B">
      <w:pPr>
        <w:rPr>
          <w:sz w:val="22"/>
          <w:szCs w:val="22"/>
          <w:lang w:val="en-US"/>
        </w:rPr>
      </w:pPr>
    </w:p>
    <w:p w14:paraId="778859DA" w14:textId="77777777" w:rsidR="00194F8B" w:rsidRPr="00A57A84" w:rsidRDefault="008E6B33">
      <w:pPr>
        <w:rPr>
          <w:rFonts w:ascii="Calibri" w:hAnsi="Calibri" w:cs="Calibri"/>
          <w:b/>
          <w:bCs/>
          <w:color w:val="000000"/>
          <w:sz w:val="22"/>
          <w:szCs w:val="22"/>
          <w:lang w:val="en-US"/>
        </w:rPr>
      </w:pPr>
      <w:r w:rsidRPr="00A57A84">
        <w:rPr>
          <w:rFonts w:ascii="Calibri" w:hAnsi="Calibri" w:cs="Calibri"/>
          <w:b/>
          <w:bCs/>
          <w:color w:val="000000"/>
          <w:sz w:val="22"/>
          <w:szCs w:val="22"/>
          <w:lang w:val="en-US"/>
        </w:rPr>
        <w:t>Citation</w:t>
      </w:r>
      <w:r w:rsidR="00194F8B" w:rsidRPr="00A57A84">
        <w:rPr>
          <w:rFonts w:ascii="Calibri" w:hAnsi="Calibri" w:cs="Calibri"/>
          <w:b/>
          <w:bCs/>
          <w:color w:val="000000"/>
          <w:sz w:val="22"/>
          <w:szCs w:val="22"/>
          <w:lang w:val="en-US"/>
        </w:rPr>
        <w:t>:</w:t>
      </w:r>
    </w:p>
    <w:p w14:paraId="44EBFB14" w14:textId="77777777" w:rsidR="008E6B33" w:rsidRPr="00A57A84" w:rsidRDefault="008E6B33" w:rsidP="008E6B33">
      <w:pPr>
        <w:rPr>
          <w:rFonts w:ascii="Calibri" w:hAnsi="Calibri" w:cs="Calibri"/>
          <w:color w:val="000000"/>
          <w:sz w:val="22"/>
          <w:szCs w:val="22"/>
        </w:rPr>
      </w:pPr>
    </w:p>
    <w:p w14:paraId="2C0C03E9" w14:textId="77777777" w:rsidR="008E6B33" w:rsidRPr="00A57A84" w:rsidRDefault="008E6B33" w:rsidP="008E6B33">
      <w:pPr>
        <w:rPr>
          <w:rFonts w:eastAsia="Times New Roman" w:cstheme="minorHAnsi"/>
          <w:kern w:val="0"/>
          <w:sz w:val="22"/>
          <w:szCs w:val="22"/>
          <w14:ligatures w14:val="none"/>
        </w:rPr>
      </w:pPr>
      <w:r w:rsidRPr="008E6B33">
        <w:rPr>
          <w:rFonts w:eastAsia="Times New Roman" w:cstheme="minorHAnsi"/>
          <w:kern w:val="0"/>
          <w:sz w:val="22"/>
          <w:szCs w:val="22"/>
          <w14:ligatures w14:val="none"/>
        </w:rPr>
        <w:t xml:space="preserve">Bruenger, D. (2016). </w:t>
      </w:r>
      <w:r w:rsidRPr="008E6B33">
        <w:rPr>
          <w:rFonts w:eastAsia="Times New Roman" w:cstheme="minorHAnsi"/>
          <w:i/>
          <w:iCs/>
          <w:kern w:val="0"/>
          <w:sz w:val="22"/>
          <w:szCs w:val="22"/>
          <w14:ligatures w14:val="none"/>
        </w:rPr>
        <w:t>Making Money, Making Music : History and Core Concepts</w:t>
      </w:r>
      <w:r w:rsidRPr="008E6B33">
        <w:rPr>
          <w:rFonts w:eastAsia="Times New Roman" w:cstheme="minorHAnsi"/>
          <w:kern w:val="0"/>
          <w:sz w:val="22"/>
          <w:szCs w:val="22"/>
          <w14:ligatures w14:val="none"/>
        </w:rPr>
        <w:t xml:space="preserve">. University of California Press. </w:t>
      </w:r>
      <w:hyperlink r:id="rId5" w:history="1">
        <w:r w:rsidRPr="008E6B33">
          <w:rPr>
            <w:rStyle w:val="Hyperlink"/>
            <w:rFonts w:eastAsia="Times New Roman" w:cstheme="minorHAnsi"/>
            <w:kern w:val="0"/>
            <w:sz w:val="22"/>
            <w:szCs w:val="22"/>
            <w14:ligatures w14:val="none"/>
          </w:rPr>
          <w:t>https://doi.org/10.1525/9780520966062</w:t>
        </w:r>
      </w:hyperlink>
    </w:p>
    <w:p w14:paraId="63FECCB9" w14:textId="77777777" w:rsidR="008E6B33" w:rsidRPr="00A57A84" w:rsidRDefault="008E6B33" w:rsidP="008E6B33">
      <w:pPr>
        <w:rPr>
          <w:rFonts w:eastAsia="Times New Roman" w:cstheme="minorHAnsi"/>
          <w:kern w:val="0"/>
          <w:sz w:val="22"/>
          <w:szCs w:val="22"/>
          <w14:ligatures w14:val="none"/>
        </w:rPr>
      </w:pPr>
    </w:p>
    <w:p w14:paraId="4100AF32" w14:textId="77777777" w:rsidR="008E6B33" w:rsidRPr="008E6B33" w:rsidRDefault="008E6B33" w:rsidP="008E6B33">
      <w:pPr>
        <w:rPr>
          <w:rFonts w:eastAsia="Times New Roman" w:cstheme="minorHAnsi"/>
          <w:kern w:val="0"/>
          <w:sz w:val="22"/>
          <w:szCs w:val="22"/>
          <w14:ligatures w14:val="none"/>
        </w:rPr>
      </w:pPr>
      <w:r w:rsidRPr="008E6B33">
        <w:rPr>
          <w:rFonts w:eastAsia="Times New Roman" w:cstheme="minorHAnsi"/>
          <w:kern w:val="0"/>
          <w:sz w:val="22"/>
          <w:szCs w:val="22"/>
          <w14:ligatures w14:val="none"/>
        </w:rPr>
        <w:t xml:space="preserve">Kelleher, M. (2011). </w:t>
      </w:r>
      <w:r w:rsidRPr="008E6B33">
        <w:rPr>
          <w:rFonts w:eastAsia="Times New Roman" w:cstheme="minorHAnsi"/>
          <w:i/>
          <w:iCs/>
          <w:kern w:val="0"/>
          <w:sz w:val="22"/>
          <w:szCs w:val="22"/>
          <w14:ligatures w14:val="none"/>
        </w:rPr>
        <w:t>Audition Technique: A Survival Guide (For College Undergraduate Students)</w:t>
      </w:r>
      <w:r w:rsidRPr="008E6B33">
        <w:rPr>
          <w:rFonts w:eastAsia="Times New Roman" w:cstheme="minorHAnsi"/>
          <w:kern w:val="0"/>
          <w:sz w:val="22"/>
          <w:szCs w:val="22"/>
          <w14:ligatures w14:val="none"/>
        </w:rPr>
        <w:t>. VCU Scholars Compass.</w:t>
      </w:r>
    </w:p>
    <w:p w14:paraId="524DF0C6" w14:textId="77777777" w:rsidR="008E6B33" w:rsidRPr="00A57A84" w:rsidRDefault="008E6B33" w:rsidP="008E6B33">
      <w:pPr>
        <w:rPr>
          <w:rFonts w:ascii="Calibri" w:hAnsi="Calibri" w:cs="Calibri"/>
          <w:color w:val="000000"/>
          <w:sz w:val="22"/>
          <w:szCs w:val="22"/>
        </w:rPr>
      </w:pPr>
    </w:p>
    <w:p w14:paraId="131AAD15" w14:textId="77777777" w:rsidR="008E6B33" w:rsidRPr="008E6B33" w:rsidRDefault="008E6B33" w:rsidP="008E6B33">
      <w:pPr>
        <w:rPr>
          <w:rFonts w:eastAsia="Times New Roman" w:cstheme="minorHAnsi"/>
          <w:kern w:val="0"/>
          <w:sz w:val="22"/>
          <w:szCs w:val="22"/>
          <w14:ligatures w14:val="none"/>
        </w:rPr>
      </w:pPr>
      <w:r w:rsidRPr="008E6B33">
        <w:rPr>
          <w:rFonts w:eastAsia="Times New Roman" w:cstheme="minorHAnsi"/>
          <w:kern w:val="0"/>
          <w:sz w:val="22"/>
          <w:szCs w:val="22"/>
          <w14:ligatures w14:val="none"/>
        </w:rPr>
        <w:t xml:space="preserve">Mccoy, S. (2018). Desensitivity Training. </w:t>
      </w:r>
      <w:r w:rsidRPr="008E6B33">
        <w:rPr>
          <w:rFonts w:eastAsia="Times New Roman" w:cstheme="minorHAnsi"/>
          <w:i/>
          <w:iCs/>
          <w:kern w:val="0"/>
          <w:sz w:val="22"/>
          <w:szCs w:val="22"/>
          <w14:ligatures w14:val="none"/>
        </w:rPr>
        <w:t>Journal of Singing</w:t>
      </w:r>
      <w:r w:rsidRPr="008E6B33">
        <w:rPr>
          <w:rFonts w:eastAsia="Times New Roman" w:cstheme="minorHAnsi"/>
          <w:kern w:val="0"/>
          <w:sz w:val="22"/>
          <w:szCs w:val="22"/>
          <w14:ligatures w14:val="none"/>
        </w:rPr>
        <w:t xml:space="preserve">, </w:t>
      </w:r>
      <w:r w:rsidRPr="008E6B33">
        <w:rPr>
          <w:rFonts w:eastAsia="Times New Roman" w:cstheme="minorHAnsi"/>
          <w:i/>
          <w:iCs/>
          <w:kern w:val="0"/>
          <w:sz w:val="22"/>
          <w:szCs w:val="22"/>
          <w14:ligatures w14:val="none"/>
        </w:rPr>
        <w:t>75</w:t>
      </w:r>
      <w:r w:rsidRPr="008E6B33">
        <w:rPr>
          <w:rFonts w:eastAsia="Times New Roman" w:cstheme="minorHAnsi"/>
          <w:kern w:val="0"/>
          <w:sz w:val="22"/>
          <w:szCs w:val="22"/>
          <w14:ligatures w14:val="none"/>
        </w:rPr>
        <w:t>(1), 39–41.</w:t>
      </w:r>
    </w:p>
    <w:p w14:paraId="016EA73F" w14:textId="77777777" w:rsidR="00194F8B" w:rsidRPr="00A57A84" w:rsidRDefault="00194F8B">
      <w:pPr>
        <w:rPr>
          <w:rFonts w:ascii="Calibri" w:hAnsi="Calibri" w:cs="Calibri"/>
          <w:sz w:val="22"/>
          <w:szCs w:val="22"/>
          <w:lang w:val="en-GB"/>
        </w:rPr>
      </w:pPr>
    </w:p>
    <w:p w14:paraId="0D12BA3C" w14:textId="77777777" w:rsidR="008E6B33" w:rsidRPr="008E6B33" w:rsidRDefault="008E6B33" w:rsidP="008E6B33">
      <w:pPr>
        <w:rPr>
          <w:rFonts w:eastAsia="Times New Roman" w:cstheme="minorHAnsi"/>
          <w:kern w:val="0"/>
          <w:sz w:val="22"/>
          <w:szCs w:val="22"/>
          <w14:ligatures w14:val="none"/>
        </w:rPr>
      </w:pPr>
      <w:r w:rsidRPr="008E6B33">
        <w:rPr>
          <w:rFonts w:eastAsia="Times New Roman" w:cstheme="minorHAnsi"/>
          <w:kern w:val="0"/>
          <w:sz w:val="22"/>
          <w:szCs w:val="22"/>
          <w14:ligatures w14:val="none"/>
        </w:rPr>
        <w:t xml:space="preserve">Rogers, H., Freitas, J., &amp; Porfírio, J. F. (2023). </w:t>
      </w:r>
      <w:r w:rsidRPr="008E6B33">
        <w:rPr>
          <w:rFonts w:eastAsia="Times New Roman" w:cstheme="minorHAnsi"/>
          <w:i/>
          <w:iCs/>
          <w:kern w:val="0"/>
          <w:sz w:val="22"/>
          <w:szCs w:val="22"/>
          <w14:ligatures w14:val="none"/>
        </w:rPr>
        <w:t>YouTube and Music: Online Culture and Everyday Life</w:t>
      </w:r>
      <w:r w:rsidRPr="008E6B33">
        <w:rPr>
          <w:rFonts w:eastAsia="Times New Roman" w:cstheme="minorHAnsi"/>
          <w:kern w:val="0"/>
          <w:sz w:val="22"/>
          <w:szCs w:val="22"/>
          <w14:ligatures w14:val="none"/>
        </w:rPr>
        <w:t>. Bloomsbury Academic.</w:t>
      </w:r>
    </w:p>
    <w:p w14:paraId="227F58EE" w14:textId="77777777" w:rsidR="00194F8B" w:rsidRPr="00194F8B" w:rsidRDefault="00194F8B">
      <w:pPr>
        <w:rPr>
          <w:rFonts w:ascii="Calibri" w:hAnsi="Calibri" w:cs="Calibri"/>
          <w:sz w:val="22"/>
          <w:szCs w:val="22"/>
          <w:lang w:val="en-GB"/>
        </w:rPr>
      </w:pPr>
    </w:p>
    <w:sectPr w:rsidR="00194F8B" w:rsidRPr="00194F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487"/>
    <w:rsid w:val="00105C22"/>
    <w:rsid w:val="00194F8B"/>
    <w:rsid w:val="001A5C58"/>
    <w:rsid w:val="007065A2"/>
    <w:rsid w:val="00836AA5"/>
    <w:rsid w:val="008E6B33"/>
    <w:rsid w:val="00A57A84"/>
    <w:rsid w:val="00E70487"/>
  </w:rsids>
  <m:mathPr>
    <m:mathFont m:val="Cambria Math"/>
    <m:brkBin m:val="before"/>
    <m:brkBinSub m:val="--"/>
    <m:smallFrac m:val="0"/>
    <m:dispDef/>
    <m:lMargin m:val="0"/>
    <m:rMargin m:val="0"/>
    <m:defJc m:val="centerGroup"/>
    <m:wrapIndent m:val="1440"/>
    <m:intLim m:val="subSup"/>
    <m:naryLim m:val="undOvr"/>
  </m:mathPr>
  <w:themeFontLang w:val="en-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F8B2A"/>
  <w15:chartTrackingRefBased/>
  <w15:docId w15:val="{3AF2E68A-50AA-4744-B394-679C85530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K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05C22"/>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6B33"/>
    <w:rPr>
      <w:color w:val="0563C1" w:themeColor="hyperlink"/>
      <w:u w:val="single"/>
    </w:rPr>
  </w:style>
  <w:style w:type="character" w:styleId="UnresolvedMention">
    <w:name w:val="Unresolved Mention"/>
    <w:basedOn w:val="DefaultParagraphFont"/>
    <w:uiPriority w:val="99"/>
    <w:semiHidden/>
    <w:unhideWhenUsed/>
    <w:rsid w:val="008E6B33"/>
    <w:rPr>
      <w:color w:val="605E5C"/>
      <w:shd w:val="clear" w:color="auto" w:fill="E1DFDD"/>
    </w:rPr>
  </w:style>
  <w:style w:type="paragraph" w:styleId="NormalWeb">
    <w:name w:val="Normal (Web)"/>
    <w:basedOn w:val="Normal"/>
    <w:uiPriority w:val="99"/>
    <w:semiHidden/>
    <w:unhideWhenUsed/>
    <w:rsid w:val="00105C22"/>
    <w:pPr>
      <w:spacing w:before="100" w:beforeAutospacing="1" w:after="100" w:afterAutospacing="1"/>
    </w:pPr>
    <w:rPr>
      <w:rFonts w:ascii="Times New Roman" w:eastAsia="Times New Roman" w:hAnsi="Times New Roman" w:cs="Times New Roman"/>
      <w:kern w:val="0"/>
      <w14:ligatures w14:val="none"/>
    </w:rPr>
  </w:style>
  <w:style w:type="character" w:customStyle="1" w:styleId="Heading1Char">
    <w:name w:val="Heading 1 Char"/>
    <w:basedOn w:val="DefaultParagraphFont"/>
    <w:link w:val="Heading1"/>
    <w:uiPriority w:val="9"/>
    <w:rsid w:val="00105C22"/>
    <w:rPr>
      <w:rFonts w:ascii="Times New Roman" w:eastAsia="Times New Roman" w:hAnsi="Times New Roman" w:cs="Times New Roman"/>
      <w:b/>
      <w:bCs/>
      <w:kern w:val="36"/>
      <w:sz w:val="48"/>
      <w:szCs w:val="4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31405">
      <w:bodyDiv w:val="1"/>
      <w:marLeft w:val="0"/>
      <w:marRight w:val="0"/>
      <w:marTop w:val="0"/>
      <w:marBottom w:val="0"/>
      <w:divBdr>
        <w:top w:val="none" w:sz="0" w:space="0" w:color="auto"/>
        <w:left w:val="none" w:sz="0" w:space="0" w:color="auto"/>
        <w:bottom w:val="none" w:sz="0" w:space="0" w:color="auto"/>
        <w:right w:val="none" w:sz="0" w:space="0" w:color="auto"/>
      </w:divBdr>
      <w:divsChild>
        <w:div w:id="538981523">
          <w:marLeft w:val="0"/>
          <w:marRight w:val="0"/>
          <w:marTop w:val="0"/>
          <w:marBottom w:val="0"/>
          <w:divBdr>
            <w:top w:val="none" w:sz="0" w:space="0" w:color="auto"/>
            <w:left w:val="none" w:sz="0" w:space="0" w:color="auto"/>
            <w:bottom w:val="none" w:sz="0" w:space="0" w:color="auto"/>
            <w:right w:val="none" w:sz="0" w:space="0" w:color="auto"/>
          </w:divBdr>
          <w:divsChild>
            <w:div w:id="22723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818527">
      <w:bodyDiv w:val="1"/>
      <w:marLeft w:val="0"/>
      <w:marRight w:val="0"/>
      <w:marTop w:val="0"/>
      <w:marBottom w:val="0"/>
      <w:divBdr>
        <w:top w:val="none" w:sz="0" w:space="0" w:color="auto"/>
        <w:left w:val="none" w:sz="0" w:space="0" w:color="auto"/>
        <w:bottom w:val="none" w:sz="0" w:space="0" w:color="auto"/>
        <w:right w:val="none" w:sz="0" w:space="0" w:color="auto"/>
      </w:divBdr>
    </w:div>
    <w:div w:id="523058460">
      <w:bodyDiv w:val="1"/>
      <w:marLeft w:val="0"/>
      <w:marRight w:val="0"/>
      <w:marTop w:val="0"/>
      <w:marBottom w:val="0"/>
      <w:divBdr>
        <w:top w:val="none" w:sz="0" w:space="0" w:color="auto"/>
        <w:left w:val="none" w:sz="0" w:space="0" w:color="auto"/>
        <w:bottom w:val="none" w:sz="0" w:space="0" w:color="auto"/>
        <w:right w:val="none" w:sz="0" w:space="0" w:color="auto"/>
      </w:divBdr>
    </w:div>
    <w:div w:id="722605424">
      <w:bodyDiv w:val="1"/>
      <w:marLeft w:val="0"/>
      <w:marRight w:val="0"/>
      <w:marTop w:val="0"/>
      <w:marBottom w:val="0"/>
      <w:divBdr>
        <w:top w:val="none" w:sz="0" w:space="0" w:color="auto"/>
        <w:left w:val="none" w:sz="0" w:space="0" w:color="auto"/>
        <w:bottom w:val="none" w:sz="0" w:space="0" w:color="auto"/>
        <w:right w:val="none" w:sz="0" w:space="0" w:color="auto"/>
      </w:divBdr>
      <w:divsChild>
        <w:div w:id="437724294">
          <w:marLeft w:val="0"/>
          <w:marRight w:val="0"/>
          <w:marTop w:val="0"/>
          <w:marBottom w:val="0"/>
          <w:divBdr>
            <w:top w:val="none" w:sz="0" w:space="0" w:color="auto"/>
            <w:left w:val="none" w:sz="0" w:space="0" w:color="auto"/>
            <w:bottom w:val="none" w:sz="0" w:space="0" w:color="auto"/>
            <w:right w:val="none" w:sz="0" w:space="0" w:color="auto"/>
          </w:divBdr>
          <w:divsChild>
            <w:div w:id="127652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90326">
      <w:bodyDiv w:val="1"/>
      <w:marLeft w:val="0"/>
      <w:marRight w:val="0"/>
      <w:marTop w:val="0"/>
      <w:marBottom w:val="0"/>
      <w:divBdr>
        <w:top w:val="none" w:sz="0" w:space="0" w:color="auto"/>
        <w:left w:val="none" w:sz="0" w:space="0" w:color="auto"/>
        <w:bottom w:val="none" w:sz="0" w:space="0" w:color="auto"/>
        <w:right w:val="none" w:sz="0" w:space="0" w:color="auto"/>
      </w:divBdr>
      <w:divsChild>
        <w:div w:id="1208375657">
          <w:marLeft w:val="0"/>
          <w:marRight w:val="0"/>
          <w:marTop w:val="0"/>
          <w:marBottom w:val="0"/>
          <w:divBdr>
            <w:top w:val="none" w:sz="0" w:space="0" w:color="auto"/>
            <w:left w:val="none" w:sz="0" w:space="0" w:color="auto"/>
            <w:bottom w:val="none" w:sz="0" w:space="0" w:color="auto"/>
            <w:right w:val="none" w:sz="0" w:space="0" w:color="auto"/>
          </w:divBdr>
          <w:divsChild>
            <w:div w:id="121700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87118">
      <w:bodyDiv w:val="1"/>
      <w:marLeft w:val="0"/>
      <w:marRight w:val="0"/>
      <w:marTop w:val="0"/>
      <w:marBottom w:val="0"/>
      <w:divBdr>
        <w:top w:val="none" w:sz="0" w:space="0" w:color="auto"/>
        <w:left w:val="none" w:sz="0" w:space="0" w:color="auto"/>
        <w:bottom w:val="none" w:sz="0" w:space="0" w:color="auto"/>
        <w:right w:val="none" w:sz="0" w:space="0" w:color="auto"/>
      </w:divBdr>
      <w:divsChild>
        <w:div w:id="1350639593">
          <w:marLeft w:val="0"/>
          <w:marRight w:val="0"/>
          <w:marTop w:val="0"/>
          <w:marBottom w:val="0"/>
          <w:divBdr>
            <w:top w:val="none" w:sz="0" w:space="0" w:color="auto"/>
            <w:left w:val="none" w:sz="0" w:space="0" w:color="auto"/>
            <w:bottom w:val="none" w:sz="0" w:space="0" w:color="auto"/>
            <w:right w:val="none" w:sz="0" w:space="0" w:color="auto"/>
          </w:divBdr>
          <w:divsChild>
            <w:div w:id="150316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63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doi.org/10.1525/978052096606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7D4F2-3125-104F-83A6-6C6B50757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444</Words>
  <Characters>2533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Chhin (2304870)</dc:creator>
  <cp:keywords/>
  <dc:description/>
  <cp:lastModifiedBy>Laurie Chhin (2304870)</cp:lastModifiedBy>
  <cp:revision>2</cp:revision>
  <dcterms:created xsi:type="dcterms:W3CDTF">2023-11-06T14:36:00Z</dcterms:created>
  <dcterms:modified xsi:type="dcterms:W3CDTF">2023-11-06T14:36:00Z</dcterms:modified>
</cp:coreProperties>
</file>