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17BCBD" w14:textId="09C14727" w:rsidR="002D4C89" w:rsidRDefault="002D4C89" w:rsidP="002D4C89">
      <w:pPr>
        <w:jc w:val="center"/>
        <w:rPr>
          <w:rFonts w:ascii="Arial" w:hAnsi="Arial" w:cs="Arial"/>
          <w:sz w:val="96"/>
          <w:szCs w:val="96"/>
        </w:rPr>
      </w:pPr>
      <w:r w:rsidRPr="002D4C89">
        <w:rPr>
          <w:rFonts w:ascii="Arial" w:hAnsi="Arial" w:cs="Arial"/>
          <w:sz w:val="96"/>
          <w:szCs w:val="96"/>
        </w:rPr>
        <w:t>Tort law</w:t>
      </w:r>
    </w:p>
    <w:p w14:paraId="56D35957" w14:textId="77777777" w:rsidR="002D4C89" w:rsidRPr="002D4C89" w:rsidRDefault="002D4C89" w:rsidP="002D4C89">
      <w:pPr>
        <w:jc w:val="center"/>
        <w:rPr>
          <w:rFonts w:ascii="Arial" w:hAnsi="Arial" w:cs="Arial"/>
          <w:sz w:val="96"/>
          <w:szCs w:val="96"/>
        </w:rPr>
      </w:pPr>
    </w:p>
    <w:p w14:paraId="2BB24903" w14:textId="051744F6" w:rsidR="002D4C89" w:rsidRDefault="002D4C89" w:rsidP="002D4C89">
      <w:pPr>
        <w:jc w:val="center"/>
        <w:rPr>
          <w:rFonts w:ascii="Arial" w:hAnsi="Arial" w:cs="Arial"/>
          <w:sz w:val="96"/>
          <w:szCs w:val="96"/>
        </w:rPr>
      </w:pPr>
      <w:r w:rsidRPr="002D4C89">
        <w:rPr>
          <w:rFonts w:ascii="Arial" w:hAnsi="Arial" w:cs="Arial"/>
          <w:sz w:val="96"/>
          <w:szCs w:val="96"/>
        </w:rPr>
        <w:t>Negligence: Causation</w:t>
      </w:r>
    </w:p>
    <w:p w14:paraId="68BD497C" w14:textId="77777777" w:rsidR="002D4C89" w:rsidRPr="002D4C89" w:rsidRDefault="002D4C89" w:rsidP="002D4C89">
      <w:pPr>
        <w:jc w:val="center"/>
        <w:rPr>
          <w:rFonts w:ascii="Arial" w:hAnsi="Arial" w:cs="Arial"/>
          <w:sz w:val="96"/>
          <w:szCs w:val="96"/>
        </w:rPr>
      </w:pPr>
    </w:p>
    <w:p w14:paraId="0D122E78" w14:textId="4DFF1E4D" w:rsidR="002D4C89" w:rsidRPr="002D4C89" w:rsidRDefault="002D4C89" w:rsidP="002D4C89">
      <w:pPr>
        <w:jc w:val="center"/>
        <w:rPr>
          <w:rFonts w:ascii="Arial" w:hAnsi="Arial" w:cs="Arial"/>
          <w:sz w:val="96"/>
          <w:szCs w:val="96"/>
        </w:rPr>
      </w:pPr>
      <w:r w:rsidRPr="002D4C89">
        <w:rPr>
          <w:rFonts w:ascii="Arial" w:hAnsi="Arial" w:cs="Arial"/>
          <w:sz w:val="96"/>
          <w:szCs w:val="96"/>
        </w:rPr>
        <w:t>Chloe Reynolds</w:t>
      </w:r>
    </w:p>
    <w:p w14:paraId="63307409" w14:textId="77777777" w:rsidR="002D4C89" w:rsidRDefault="002D4C89"/>
    <w:p w14:paraId="3E0498A3" w14:textId="77777777" w:rsidR="002D4C89" w:rsidRDefault="002D4C89"/>
    <w:p w14:paraId="7CFFD8E0" w14:textId="77777777" w:rsidR="002D4C89" w:rsidRDefault="002D4C89"/>
    <w:p w14:paraId="1539B583" w14:textId="77777777" w:rsidR="002D4C89" w:rsidRDefault="002D4C89"/>
    <w:p w14:paraId="1672ACC7" w14:textId="77777777" w:rsidR="002D4C89" w:rsidRDefault="002D4C89"/>
    <w:p w14:paraId="65B8FBBD" w14:textId="77777777" w:rsidR="002D4C89" w:rsidRDefault="002D4C89"/>
    <w:p w14:paraId="4B6B00B0" w14:textId="77777777" w:rsidR="002D4C89" w:rsidRDefault="002D4C89"/>
    <w:p w14:paraId="00A41BD0" w14:textId="77777777" w:rsidR="002D4C89" w:rsidRDefault="002D4C89"/>
    <w:p w14:paraId="4CE5F007" w14:textId="77777777" w:rsidR="002D4C89" w:rsidRDefault="002D4C89"/>
    <w:p w14:paraId="31BF127B" w14:textId="77777777" w:rsidR="002D4C89" w:rsidRDefault="002D4C89"/>
    <w:p w14:paraId="25D3C37E" w14:textId="77777777" w:rsidR="002D4C89" w:rsidRDefault="002D4C89"/>
    <w:p w14:paraId="121879BF" w14:textId="77777777" w:rsidR="002D4C89" w:rsidRDefault="002D4C89"/>
    <w:p w14:paraId="3684B28C" w14:textId="77777777" w:rsidR="002D4C89" w:rsidRDefault="002D4C89"/>
    <w:p w14:paraId="794744A9" w14:textId="1AAC137D" w:rsidR="001253CE" w:rsidRDefault="00D91D05">
      <w:pPr>
        <w:rPr>
          <w:rFonts w:ascii="Arial" w:hAnsi="Arial" w:cs="Arial"/>
        </w:rPr>
      </w:pPr>
      <w:r w:rsidRPr="00DE09B2">
        <w:rPr>
          <w:rFonts w:ascii="Arial" w:hAnsi="Arial" w:cs="Arial"/>
        </w:rPr>
        <w:lastRenderedPageBreak/>
        <w:t>In order to establis</w:t>
      </w:r>
      <w:r w:rsidR="00942FBF">
        <w:rPr>
          <w:rFonts w:ascii="Arial" w:hAnsi="Arial" w:cs="Arial"/>
        </w:rPr>
        <w:t>h</w:t>
      </w:r>
      <w:r w:rsidRPr="00DE09B2">
        <w:rPr>
          <w:rFonts w:ascii="Arial" w:hAnsi="Arial" w:cs="Arial"/>
        </w:rPr>
        <w:t xml:space="preserve">, </w:t>
      </w:r>
      <w:r w:rsidR="00B34BEF" w:rsidRPr="00DE09B2">
        <w:rPr>
          <w:rFonts w:ascii="Arial" w:hAnsi="Arial" w:cs="Arial"/>
        </w:rPr>
        <w:t>i</w:t>
      </w:r>
      <w:r w:rsidRPr="00DE09B2">
        <w:rPr>
          <w:rFonts w:ascii="Arial" w:hAnsi="Arial" w:cs="Arial"/>
        </w:rPr>
        <w:t>f there was a</w:t>
      </w:r>
      <w:r w:rsidR="00B34BEF" w:rsidRPr="00DE09B2">
        <w:rPr>
          <w:rFonts w:ascii="Arial" w:hAnsi="Arial" w:cs="Arial"/>
        </w:rPr>
        <w:t>n actual</w:t>
      </w:r>
      <w:r w:rsidRPr="00DE09B2">
        <w:rPr>
          <w:rFonts w:ascii="Arial" w:hAnsi="Arial" w:cs="Arial"/>
        </w:rPr>
        <w:t xml:space="preserve"> break in the chain of causation </w:t>
      </w:r>
      <w:r w:rsidR="00B34BEF" w:rsidRPr="00DE09B2">
        <w:rPr>
          <w:rFonts w:ascii="Arial" w:hAnsi="Arial" w:cs="Arial"/>
        </w:rPr>
        <w:t>between the defendant</w:t>
      </w:r>
      <w:r w:rsidR="00942FBF">
        <w:rPr>
          <w:rFonts w:ascii="Arial" w:hAnsi="Arial" w:cs="Arial"/>
        </w:rPr>
        <w:t>s`</w:t>
      </w:r>
      <w:r w:rsidR="00B34BEF" w:rsidRPr="00DE09B2">
        <w:rPr>
          <w:rFonts w:ascii="Arial" w:hAnsi="Arial" w:cs="Arial"/>
        </w:rPr>
        <w:t xml:space="preserve"> negligence case and the loss</w:t>
      </w:r>
      <w:r w:rsidR="0093718B">
        <w:rPr>
          <w:rFonts w:ascii="Arial" w:hAnsi="Arial" w:cs="Arial"/>
        </w:rPr>
        <w:t xml:space="preserve">/ harm of </w:t>
      </w:r>
      <w:r w:rsidR="00B34BEF" w:rsidRPr="00DE09B2">
        <w:rPr>
          <w:rFonts w:ascii="Arial" w:hAnsi="Arial" w:cs="Arial"/>
        </w:rPr>
        <w:t xml:space="preserve">the claimant. To </w:t>
      </w:r>
      <w:r w:rsidR="001253CE" w:rsidRPr="00DE09B2">
        <w:rPr>
          <w:rFonts w:ascii="Arial" w:hAnsi="Arial" w:cs="Arial"/>
        </w:rPr>
        <w:t>identify this</w:t>
      </w:r>
      <w:r w:rsidR="00B34BEF" w:rsidRPr="00DE09B2">
        <w:rPr>
          <w:rFonts w:ascii="Arial" w:hAnsi="Arial" w:cs="Arial"/>
        </w:rPr>
        <w:t xml:space="preserve"> </w:t>
      </w:r>
      <w:r w:rsidR="001253CE" w:rsidRPr="00DE09B2">
        <w:rPr>
          <w:rFonts w:ascii="Arial" w:hAnsi="Arial" w:cs="Arial"/>
        </w:rPr>
        <w:t xml:space="preserve">the claimant must prove that there was a </w:t>
      </w:r>
      <w:r w:rsidR="00942FBF">
        <w:rPr>
          <w:rFonts w:ascii="Arial" w:hAnsi="Arial" w:cs="Arial"/>
        </w:rPr>
        <w:t xml:space="preserve">breach </w:t>
      </w:r>
      <w:r w:rsidR="001253CE" w:rsidRPr="00DE09B2">
        <w:rPr>
          <w:rFonts w:ascii="Arial" w:hAnsi="Arial" w:cs="Arial"/>
        </w:rPr>
        <w:t xml:space="preserve">in the duty of care that they received. </w:t>
      </w:r>
      <w:r w:rsidR="00EB1324">
        <w:rPr>
          <w:rFonts w:ascii="Arial" w:hAnsi="Arial" w:cs="Arial"/>
        </w:rPr>
        <w:t xml:space="preserve">They must successfully prove that the defendant negligence is the sole cause of their harm or loss. </w:t>
      </w:r>
    </w:p>
    <w:p w14:paraId="2B50F1C1" w14:textId="12EEB627" w:rsidR="0014515B" w:rsidRPr="00296B4B" w:rsidRDefault="0014515B" w:rsidP="0014515B">
      <w:pPr>
        <w:rPr>
          <w:rFonts w:ascii="Arial" w:hAnsi="Arial" w:cs="Arial"/>
        </w:rPr>
      </w:pPr>
      <w:r>
        <w:rPr>
          <w:rFonts w:ascii="Arial" w:hAnsi="Arial" w:cs="Arial"/>
        </w:rPr>
        <w:t xml:space="preserve">There are many factors that must be considered to establish if a defendant </w:t>
      </w:r>
      <w:proofErr w:type="gramStart"/>
      <w:r>
        <w:rPr>
          <w:rFonts w:ascii="Arial" w:hAnsi="Arial" w:cs="Arial"/>
        </w:rPr>
        <w:t>have</w:t>
      </w:r>
      <w:proofErr w:type="gramEnd"/>
      <w:r>
        <w:rPr>
          <w:rFonts w:ascii="Arial" w:hAnsi="Arial" w:cs="Arial"/>
        </w:rPr>
        <w:t xml:space="preserve"> breach there duty of care to the claimant. The first question that must be taken into account is did </w:t>
      </w:r>
      <w:r>
        <w:rPr>
          <w:rFonts w:ascii="Arial" w:hAnsi="Arial" w:cs="Arial"/>
        </w:rPr>
        <w:t xml:space="preserve">the </w:t>
      </w:r>
      <w:r>
        <w:rPr>
          <w:rFonts w:ascii="Arial" w:hAnsi="Arial" w:cs="Arial"/>
        </w:rPr>
        <w:t>defendant owe the claimant a duty of care? If so, it must be established it there has been a breach. The final question that must be considered is did the breach of duty cause the claimant to suffer loss or damage? Once these have been established it</w:t>
      </w:r>
      <w:r w:rsidR="00942FBF">
        <w:rPr>
          <w:rFonts w:ascii="Arial" w:hAnsi="Arial" w:cs="Arial"/>
        </w:rPr>
        <w:t xml:space="preserve"> allows the judges to see if</w:t>
      </w:r>
      <w:r>
        <w:rPr>
          <w:rFonts w:ascii="Arial" w:hAnsi="Arial" w:cs="Arial"/>
        </w:rPr>
        <w:t xml:space="preserve"> causation have occurred and if the claimant has a successful claim. </w:t>
      </w:r>
    </w:p>
    <w:p w14:paraId="1D4E8E2B" w14:textId="2AF9716B" w:rsidR="00EB1324" w:rsidRDefault="00BB795A" w:rsidP="003A732B">
      <w:pPr>
        <w:rPr>
          <w:rFonts w:ascii="Arial" w:hAnsi="Arial" w:cs="Arial"/>
        </w:rPr>
      </w:pPr>
      <w:r w:rsidRPr="00DE09B2">
        <w:rPr>
          <w:rFonts w:ascii="Arial" w:hAnsi="Arial" w:cs="Arial"/>
        </w:rPr>
        <w:t xml:space="preserve">Causation can occur if the claimant can prove that the defendant breached their duty </w:t>
      </w:r>
      <w:r w:rsidR="00775329" w:rsidRPr="00DE09B2">
        <w:rPr>
          <w:rFonts w:ascii="Arial" w:hAnsi="Arial" w:cs="Arial"/>
        </w:rPr>
        <w:t>and because of this breach the claimant suffered a loss or injury. Causation can be split into two</w:t>
      </w:r>
      <w:r w:rsidR="00942FBF">
        <w:rPr>
          <w:rFonts w:ascii="Arial" w:hAnsi="Arial" w:cs="Arial"/>
        </w:rPr>
        <w:t xml:space="preserve"> </w:t>
      </w:r>
      <w:r w:rsidR="00E26645">
        <w:rPr>
          <w:rFonts w:ascii="Arial" w:hAnsi="Arial" w:cs="Arial"/>
        </w:rPr>
        <w:t xml:space="preserve">factors: </w:t>
      </w:r>
      <w:r w:rsidR="00775329" w:rsidRPr="00DE09B2">
        <w:rPr>
          <w:rFonts w:ascii="Arial" w:hAnsi="Arial" w:cs="Arial"/>
        </w:rPr>
        <w:t>factual causation and legal causation</w:t>
      </w:r>
      <w:r w:rsidR="00EB1324">
        <w:rPr>
          <w:rFonts w:ascii="Arial" w:hAnsi="Arial" w:cs="Arial"/>
        </w:rPr>
        <w:t xml:space="preserve"> (</w:t>
      </w:r>
      <w:r w:rsidR="00E26645">
        <w:rPr>
          <w:rFonts w:ascii="Arial" w:hAnsi="Arial" w:cs="Arial"/>
        </w:rPr>
        <w:t>Poortvliet, 2019)</w:t>
      </w:r>
    </w:p>
    <w:p w14:paraId="3E220F17" w14:textId="0AEF6648" w:rsidR="00156F92" w:rsidRDefault="00457892">
      <w:pPr>
        <w:rPr>
          <w:rFonts w:ascii="Arial" w:hAnsi="Arial" w:cs="Arial"/>
        </w:rPr>
      </w:pPr>
      <w:r w:rsidRPr="00DE09B2">
        <w:rPr>
          <w:rFonts w:ascii="Arial" w:hAnsi="Arial" w:cs="Arial"/>
        </w:rPr>
        <w:t xml:space="preserve">Factual causation consists of applying the `but for` test. In cases where there </w:t>
      </w:r>
      <w:proofErr w:type="gramStart"/>
      <w:r w:rsidR="0093718B">
        <w:rPr>
          <w:rFonts w:ascii="Arial" w:hAnsi="Arial" w:cs="Arial"/>
        </w:rPr>
        <w:t>isn’t</w:t>
      </w:r>
      <w:proofErr w:type="gramEnd"/>
      <w:r w:rsidR="0093718B">
        <w:rPr>
          <w:rFonts w:ascii="Arial" w:hAnsi="Arial" w:cs="Arial"/>
        </w:rPr>
        <w:t xml:space="preserve"> any </w:t>
      </w:r>
      <w:r w:rsidRPr="00DE09B2">
        <w:rPr>
          <w:rFonts w:ascii="Arial" w:hAnsi="Arial" w:cs="Arial"/>
        </w:rPr>
        <w:t>complicat</w:t>
      </w:r>
      <w:r w:rsidR="0093718B">
        <w:rPr>
          <w:rFonts w:ascii="Arial" w:hAnsi="Arial" w:cs="Arial"/>
        </w:rPr>
        <w:t xml:space="preserve">ed or contributing </w:t>
      </w:r>
      <w:r w:rsidRPr="00DE09B2">
        <w:rPr>
          <w:rFonts w:ascii="Arial" w:hAnsi="Arial" w:cs="Arial"/>
        </w:rPr>
        <w:t>factors, factual causation suffice</w:t>
      </w:r>
      <w:r w:rsidR="0093718B">
        <w:rPr>
          <w:rFonts w:ascii="Arial" w:hAnsi="Arial" w:cs="Arial"/>
        </w:rPr>
        <w:t>s</w:t>
      </w:r>
      <w:r w:rsidRPr="00DE09B2">
        <w:rPr>
          <w:rFonts w:ascii="Arial" w:hAnsi="Arial" w:cs="Arial"/>
        </w:rPr>
        <w:t xml:space="preserve"> to establish cau</w:t>
      </w:r>
      <w:r w:rsidR="00E26645">
        <w:rPr>
          <w:rFonts w:ascii="Arial" w:hAnsi="Arial" w:cs="Arial"/>
        </w:rPr>
        <w:t>sat</w:t>
      </w:r>
      <w:r w:rsidRPr="00DE09B2">
        <w:rPr>
          <w:rFonts w:ascii="Arial" w:hAnsi="Arial" w:cs="Arial"/>
        </w:rPr>
        <w:t xml:space="preserve">ion. </w:t>
      </w:r>
      <w:r w:rsidR="003A732B">
        <w:rPr>
          <w:rFonts w:ascii="Arial" w:hAnsi="Arial" w:cs="Arial"/>
        </w:rPr>
        <w:t xml:space="preserve">The </w:t>
      </w:r>
      <w:r w:rsidR="008C28CF">
        <w:rPr>
          <w:rFonts w:ascii="Arial" w:hAnsi="Arial" w:cs="Arial"/>
        </w:rPr>
        <w:t>`</w:t>
      </w:r>
      <w:r w:rsidR="003A732B">
        <w:rPr>
          <w:rFonts w:ascii="Arial" w:hAnsi="Arial" w:cs="Arial"/>
        </w:rPr>
        <w:t>but for</w:t>
      </w:r>
      <w:r w:rsidR="008C28CF">
        <w:rPr>
          <w:rFonts w:ascii="Arial" w:hAnsi="Arial" w:cs="Arial"/>
        </w:rPr>
        <w:t>`</w:t>
      </w:r>
      <w:r w:rsidR="003A732B">
        <w:rPr>
          <w:rFonts w:ascii="Arial" w:hAnsi="Arial" w:cs="Arial"/>
        </w:rPr>
        <w:t xml:space="preserve"> test </w:t>
      </w:r>
      <w:r w:rsidR="0093718B">
        <w:rPr>
          <w:rFonts w:ascii="Arial" w:hAnsi="Arial" w:cs="Arial"/>
        </w:rPr>
        <w:t xml:space="preserve">is used to see </w:t>
      </w:r>
      <w:r w:rsidR="003A732B">
        <w:rPr>
          <w:rFonts w:ascii="Arial" w:hAnsi="Arial" w:cs="Arial"/>
        </w:rPr>
        <w:t xml:space="preserve">whether </w:t>
      </w:r>
      <w:r w:rsidR="0093718B">
        <w:rPr>
          <w:rFonts w:ascii="Arial" w:hAnsi="Arial" w:cs="Arial"/>
        </w:rPr>
        <w:t xml:space="preserve">or not </w:t>
      </w:r>
      <w:r w:rsidR="003A732B">
        <w:rPr>
          <w:rFonts w:ascii="Arial" w:hAnsi="Arial" w:cs="Arial"/>
        </w:rPr>
        <w:t xml:space="preserve">the claimants harm would have </w:t>
      </w:r>
      <w:r w:rsidR="0093718B">
        <w:rPr>
          <w:rFonts w:ascii="Arial" w:hAnsi="Arial" w:cs="Arial"/>
        </w:rPr>
        <w:t xml:space="preserve">still </w:t>
      </w:r>
      <w:r w:rsidR="003A732B">
        <w:rPr>
          <w:rFonts w:ascii="Arial" w:hAnsi="Arial" w:cs="Arial"/>
        </w:rPr>
        <w:t>occurred</w:t>
      </w:r>
      <w:r w:rsidR="0093718B">
        <w:rPr>
          <w:rFonts w:ascii="Arial" w:hAnsi="Arial" w:cs="Arial"/>
        </w:rPr>
        <w:t xml:space="preserve"> </w:t>
      </w:r>
      <w:r w:rsidR="003A732B">
        <w:rPr>
          <w:rFonts w:ascii="Arial" w:hAnsi="Arial" w:cs="Arial"/>
        </w:rPr>
        <w:t xml:space="preserve">without the </w:t>
      </w:r>
      <w:r w:rsidR="00146603">
        <w:rPr>
          <w:rFonts w:ascii="Arial" w:hAnsi="Arial" w:cs="Arial"/>
        </w:rPr>
        <w:t>defendant’s</w:t>
      </w:r>
      <w:r w:rsidR="003A732B">
        <w:rPr>
          <w:rFonts w:ascii="Arial" w:hAnsi="Arial" w:cs="Arial"/>
        </w:rPr>
        <w:t xml:space="preserve"> conduct (</w:t>
      </w:r>
      <w:r w:rsidR="00146603">
        <w:rPr>
          <w:rFonts w:ascii="Arial" w:hAnsi="Arial" w:cs="Arial"/>
        </w:rPr>
        <w:t>Dinnie,2020)</w:t>
      </w:r>
      <w:r w:rsidR="003A732B">
        <w:rPr>
          <w:rFonts w:ascii="Arial" w:hAnsi="Arial" w:cs="Arial"/>
        </w:rPr>
        <w:t xml:space="preserve">. </w:t>
      </w:r>
      <w:r w:rsidRPr="00DE09B2">
        <w:rPr>
          <w:rFonts w:ascii="Arial" w:hAnsi="Arial" w:cs="Arial"/>
        </w:rPr>
        <w:t xml:space="preserve">For example, the `but for` test was introduced into the Barnett v Chelsea &amp; Kensington Hospital </w:t>
      </w:r>
      <w:r w:rsidR="00146603">
        <w:rPr>
          <w:rFonts w:ascii="Arial" w:hAnsi="Arial" w:cs="Arial"/>
        </w:rPr>
        <w:t>Management</w:t>
      </w:r>
      <w:r w:rsidR="00E26645">
        <w:rPr>
          <w:rFonts w:ascii="Arial" w:hAnsi="Arial" w:cs="Arial"/>
        </w:rPr>
        <w:t xml:space="preserve"> committee</w:t>
      </w:r>
      <w:r w:rsidR="00146603">
        <w:rPr>
          <w:rFonts w:ascii="Arial" w:hAnsi="Arial" w:cs="Arial"/>
        </w:rPr>
        <w:t xml:space="preserve"> </w:t>
      </w:r>
      <w:r w:rsidRPr="00DE09B2">
        <w:rPr>
          <w:rFonts w:ascii="Arial" w:hAnsi="Arial" w:cs="Arial"/>
        </w:rPr>
        <w:t>(1969) case where Mr Barnett went to hospital with severe stomach pains and vomiting. While there after being seen by a nurse, the on-duty doctor told her to send Mr Barnett home and t</w:t>
      </w:r>
      <w:r w:rsidR="00712695">
        <w:rPr>
          <w:rFonts w:ascii="Arial" w:hAnsi="Arial" w:cs="Arial"/>
        </w:rPr>
        <w:t>hat he had to</w:t>
      </w:r>
      <w:r w:rsidRPr="00DE09B2">
        <w:rPr>
          <w:rFonts w:ascii="Arial" w:hAnsi="Arial" w:cs="Arial"/>
        </w:rPr>
        <w:t xml:space="preserve"> contact his GP. However, five hours later he died from arsenic poisoning. Later the hospital was found not liable </w:t>
      </w:r>
      <w:r w:rsidR="00712695">
        <w:rPr>
          <w:rFonts w:ascii="Arial" w:hAnsi="Arial" w:cs="Arial"/>
        </w:rPr>
        <w:t xml:space="preserve">because the </w:t>
      </w:r>
      <w:r w:rsidRPr="00DE09B2">
        <w:rPr>
          <w:rFonts w:ascii="Arial" w:hAnsi="Arial" w:cs="Arial"/>
        </w:rPr>
        <w:t xml:space="preserve">doctor’s failure to examine the patient </w:t>
      </w:r>
      <w:r w:rsidR="00712695">
        <w:rPr>
          <w:rFonts w:ascii="Arial" w:hAnsi="Arial" w:cs="Arial"/>
        </w:rPr>
        <w:t>did not cause his</w:t>
      </w:r>
      <w:r w:rsidRPr="00DE09B2">
        <w:rPr>
          <w:rFonts w:ascii="Arial" w:hAnsi="Arial" w:cs="Arial"/>
        </w:rPr>
        <w:t xml:space="preserve"> death. This </w:t>
      </w:r>
      <w:r w:rsidR="00EB1324">
        <w:rPr>
          <w:rFonts w:ascii="Arial" w:hAnsi="Arial" w:cs="Arial"/>
        </w:rPr>
        <w:t xml:space="preserve">is </w:t>
      </w:r>
      <w:r w:rsidRPr="00DE09B2">
        <w:rPr>
          <w:rFonts w:ascii="Arial" w:hAnsi="Arial" w:cs="Arial"/>
        </w:rPr>
        <w:t xml:space="preserve">when the </w:t>
      </w:r>
      <w:r w:rsidR="008C28CF">
        <w:rPr>
          <w:rFonts w:ascii="Arial" w:hAnsi="Arial" w:cs="Arial"/>
        </w:rPr>
        <w:t>`</w:t>
      </w:r>
      <w:r w:rsidRPr="00DE09B2">
        <w:rPr>
          <w:rFonts w:ascii="Arial" w:hAnsi="Arial" w:cs="Arial"/>
        </w:rPr>
        <w:t>but for</w:t>
      </w:r>
      <w:r w:rsidR="008C28CF">
        <w:rPr>
          <w:rFonts w:ascii="Arial" w:hAnsi="Arial" w:cs="Arial"/>
        </w:rPr>
        <w:t>`</w:t>
      </w:r>
      <w:r w:rsidRPr="00DE09B2">
        <w:rPr>
          <w:rFonts w:ascii="Arial" w:hAnsi="Arial" w:cs="Arial"/>
        </w:rPr>
        <w:t xml:space="preserve"> test was used and it found that the patient would have died anyway even if the doctor examined him (</w:t>
      </w:r>
      <w:r w:rsidR="009E1FA4">
        <w:rPr>
          <w:rFonts w:ascii="Arial" w:hAnsi="Arial" w:cs="Arial"/>
        </w:rPr>
        <w:t>Egan-Ronayne,2017</w:t>
      </w:r>
      <w:r w:rsidR="0020575A" w:rsidRPr="00DE09B2">
        <w:rPr>
          <w:rFonts w:ascii="Arial" w:hAnsi="Arial" w:cs="Arial"/>
        </w:rPr>
        <w:t>)</w:t>
      </w:r>
      <w:r w:rsidRPr="00DE09B2">
        <w:rPr>
          <w:rFonts w:ascii="Arial" w:hAnsi="Arial" w:cs="Arial"/>
        </w:rPr>
        <w:t xml:space="preserve">. </w:t>
      </w:r>
      <w:r w:rsidR="00EB1324">
        <w:rPr>
          <w:rFonts w:ascii="Arial" w:hAnsi="Arial" w:cs="Arial"/>
        </w:rPr>
        <w:t>The defendant may have neglected to c</w:t>
      </w:r>
      <w:r w:rsidR="004637E4">
        <w:rPr>
          <w:rFonts w:ascii="Arial" w:hAnsi="Arial" w:cs="Arial"/>
        </w:rPr>
        <w:t>a</w:t>
      </w:r>
      <w:r w:rsidR="00EB1324">
        <w:rPr>
          <w:rFonts w:ascii="Arial" w:hAnsi="Arial" w:cs="Arial"/>
        </w:rPr>
        <w:t xml:space="preserve">rry out his duty and he was at fault for this, but his lack of action did not cause the death there for there was no successful claim. </w:t>
      </w:r>
    </w:p>
    <w:p w14:paraId="2C850F49" w14:textId="07D5A780" w:rsidR="00A70D7B" w:rsidRPr="00DE09B2" w:rsidRDefault="00A70D7B">
      <w:pPr>
        <w:rPr>
          <w:rFonts w:ascii="Arial" w:hAnsi="Arial" w:cs="Arial"/>
        </w:rPr>
      </w:pPr>
      <w:r>
        <w:rPr>
          <w:rFonts w:ascii="Arial" w:hAnsi="Arial" w:cs="Arial"/>
        </w:rPr>
        <w:t>Legal causation must show that the defendant’s action is an operative cause of the consequence. The legal causation justifies that imposition of criminal liability by finding that the defendant is c</w:t>
      </w:r>
      <w:r w:rsidR="008C28CF">
        <w:rPr>
          <w:rFonts w:ascii="Arial" w:hAnsi="Arial" w:cs="Arial"/>
        </w:rPr>
        <w:t>a</w:t>
      </w:r>
      <w:r>
        <w:rPr>
          <w:rFonts w:ascii="Arial" w:hAnsi="Arial" w:cs="Arial"/>
        </w:rPr>
        <w:t xml:space="preserve">pable of the consequence </w:t>
      </w:r>
      <w:r w:rsidR="00712695">
        <w:rPr>
          <w:rFonts w:ascii="Arial" w:hAnsi="Arial" w:cs="Arial"/>
        </w:rPr>
        <w:t xml:space="preserve">that happened </w:t>
      </w:r>
      <w:r>
        <w:rPr>
          <w:rFonts w:ascii="Arial" w:hAnsi="Arial" w:cs="Arial"/>
        </w:rPr>
        <w:t xml:space="preserve">as a result of their actions. This involved the chain of event and </w:t>
      </w:r>
      <w:r w:rsidR="00712695">
        <w:rPr>
          <w:rFonts w:ascii="Arial" w:hAnsi="Arial" w:cs="Arial"/>
        </w:rPr>
        <w:t xml:space="preserve">the link </w:t>
      </w:r>
      <w:r>
        <w:rPr>
          <w:rFonts w:ascii="Arial" w:hAnsi="Arial" w:cs="Arial"/>
        </w:rPr>
        <w:t>to the defendant’s negligence and that the consequence</w:t>
      </w:r>
      <w:r w:rsidR="008C28CF">
        <w:rPr>
          <w:rFonts w:ascii="Arial" w:hAnsi="Arial" w:cs="Arial"/>
        </w:rPr>
        <w:t>/action</w:t>
      </w:r>
      <w:r>
        <w:rPr>
          <w:rFonts w:ascii="Arial" w:hAnsi="Arial" w:cs="Arial"/>
        </w:rPr>
        <w:t xml:space="preserve"> will still remain unbroken</w:t>
      </w:r>
      <w:r w:rsidR="008C28CF">
        <w:rPr>
          <w:rFonts w:ascii="Arial" w:hAnsi="Arial" w:cs="Arial"/>
        </w:rPr>
        <w:t xml:space="preserve"> (McMahon and Binchy, 2013)</w:t>
      </w:r>
      <w:r>
        <w:rPr>
          <w:rFonts w:ascii="Arial" w:hAnsi="Arial" w:cs="Arial"/>
        </w:rPr>
        <w:t xml:space="preserve">. </w:t>
      </w:r>
    </w:p>
    <w:p w14:paraId="68E5F31A" w14:textId="31A01AC3" w:rsidR="00F82B20" w:rsidRDefault="00F92C6B">
      <w:pPr>
        <w:rPr>
          <w:rFonts w:ascii="Arial" w:hAnsi="Arial" w:cs="Arial"/>
        </w:rPr>
      </w:pPr>
      <w:r w:rsidRPr="00DE09B2">
        <w:rPr>
          <w:rFonts w:ascii="Arial" w:hAnsi="Arial" w:cs="Arial"/>
        </w:rPr>
        <w:t xml:space="preserve">Remoteness of damage </w:t>
      </w:r>
      <w:r w:rsidR="005F1087" w:rsidRPr="00DE09B2">
        <w:rPr>
          <w:rFonts w:ascii="Arial" w:hAnsi="Arial" w:cs="Arial"/>
        </w:rPr>
        <w:t xml:space="preserve">occurs when the defendant breaches the duty of care </w:t>
      </w:r>
      <w:r w:rsidR="00913E3B" w:rsidRPr="00DE09B2">
        <w:rPr>
          <w:rFonts w:ascii="Arial" w:hAnsi="Arial" w:cs="Arial"/>
        </w:rPr>
        <w:t>and this is what in fact causes the clients damages. However, the damage may have been denie</w:t>
      </w:r>
      <w:r w:rsidR="00972294" w:rsidRPr="00DE09B2">
        <w:rPr>
          <w:rFonts w:ascii="Arial" w:hAnsi="Arial" w:cs="Arial"/>
        </w:rPr>
        <w:t xml:space="preserve">d </w:t>
      </w:r>
      <w:r w:rsidR="00913E3B" w:rsidRPr="00DE09B2">
        <w:rPr>
          <w:rFonts w:ascii="Arial" w:hAnsi="Arial" w:cs="Arial"/>
        </w:rPr>
        <w:t>for most o</w:t>
      </w:r>
      <w:r w:rsidR="00972294" w:rsidRPr="00DE09B2">
        <w:rPr>
          <w:rFonts w:ascii="Arial" w:hAnsi="Arial" w:cs="Arial"/>
        </w:rPr>
        <w:t>f</w:t>
      </w:r>
      <w:r w:rsidR="00913E3B" w:rsidRPr="00DE09B2">
        <w:rPr>
          <w:rFonts w:ascii="Arial" w:hAnsi="Arial" w:cs="Arial"/>
        </w:rPr>
        <w:t xml:space="preserve"> the </w:t>
      </w:r>
      <w:r w:rsidR="008204D5" w:rsidRPr="00DE09B2">
        <w:rPr>
          <w:rFonts w:ascii="Arial" w:hAnsi="Arial" w:cs="Arial"/>
        </w:rPr>
        <w:t>claimants’</w:t>
      </w:r>
      <w:r w:rsidR="00913E3B" w:rsidRPr="00DE09B2">
        <w:rPr>
          <w:rFonts w:ascii="Arial" w:hAnsi="Arial" w:cs="Arial"/>
        </w:rPr>
        <w:t xml:space="preserve"> injuries on the grounds that the breach of duty was not the legal cause of the </w:t>
      </w:r>
      <w:r w:rsidR="00F82B20" w:rsidRPr="00DE09B2">
        <w:rPr>
          <w:rFonts w:ascii="Arial" w:hAnsi="Arial" w:cs="Arial"/>
        </w:rPr>
        <w:t>damage</w:t>
      </w:r>
      <w:r w:rsidR="00BE745E">
        <w:rPr>
          <w:rFonts w:ascii="Arial" w:hAnsi="Arial" w:cs="Arial"/>
        </w:rPr>
        <w:t xml:space="preserve"> (LexusNexis,2020)</w:t>
      </w:r>
      <w:r w:rsidR="00913E3B" w:rsidRPr="00DE09B2">
        <w:rPr>
          <w:rFonts w:ascii="Arial" w:hAnsi="Arial" w:cs="Arial"/>
        </w:rPr>
        <w:t xml:space="preserve">. </w:t>
      </w:r>
      <w:r w:rsidR="00972294" w:rsidRPr="00DE09B2">
        <w:rPr>
          <w:rFonts w:ascii="Arial" w:hAnsi="Arial" w:cs="Arial"/>
        </w:rPr>
        <w:t>Within, these cases it is said that the damages are too remote</w:t>
      </w:r>
      <w:r w:rsidR="00F82B20" w:rsidRPr="00DE09B2">
        <w:rPr>
          <w:rFonts w:ascii="Arial" w:hAnsi="Arial" w:cs="Arial"/>
        </w:rPr>
        <w:t xml:space="preserve"> (</w:t>
      </w:r>
      <w:r w:rsidR="009E1FA4">
        <w:rPr>
          <w:rFonts w:ascii="Arial" w:hAnsi="Arial" w:cs="Arial"/>
        </w:rPr>
        <w:t>Draper,2017</w:t>
      </w:r>
      <w:r w:rsidR="00F82B20" w:rsidRPr="00DE09B2">
        <w:rPr>
          <w:rFonts w:ascii="Arial" w:hAnsi="Arial" w:cs="Arial"/>
        </w:rPr>
        <w:t>) The direct consequence test was rejected in the Wagon Mound</w:t>
      </w:r>
      <w:r w:rsidR="00BE745E">
        <w:rPr>
          <w:rFonts w:ascii="Arial" w:hAnsi="Arial" w:cs="Arial"/>
        </w:rPr>
        <w:t xml:space="preserve"> no 1 [1961]</w:t>
      </w:r>
      <w:r w:rsidR="00DE09B2" w:rsidRPr="00DE09B2">
        <w:rPr>
          <w:rFonts w:ascii="Arial" w:hAnsi="Arial" w:cs="Arial"/>
        </w:rPr>
        <w:t xml:space="preserve"> by the Privy Council. This happened because the defendant negligently discharged fuel oil into Sydney Harbour. The oil later spread to the claimant’s wharf, where welding was occurring. This then ignited and caused considerable fire damage to the wharf. At court however the judge found that it was not foreseeable that the fuel oil on water would catch fire, they later followed that there was a breach in a duty of care</w:t>
      </w:r>
      <w:r w:rsidR="004637E4">
        <w:rPr>
          <w:rFonts w:ascii="Arial" w:hAnsi="Arial" w:cs="Arial"/>
        </w:rPr>
        <w:t xml:space="preserve"> (</w:t>
      </w:r>
      <w:r w:rsidR="007E1BBB">
        <w:rPr>
          <w:rFonts w:ascii="Arial" w:hAnsi="Arial" w:cs="Arial"/>
        </w:rPr>
        <w:t>WebStroke,2017</w:t>
      </w:r>
      <w:r w:rsidR="004637E4">
        <w:rPr>
          <w:rFonts w:ascii="Arial" w:hAnsi="Arial" w:cs="Arial"/>
        </w:rPr>
        <w:t>)</w:t>
      </w:r>
      <w:r w:rsidR="00DE09B2" w:rsidRPr="00DE09B2">
        <w:rPr>
          <w:rFonts w:ascii="Arial" w:hAnsi="Arial" w:cs="Arial"/>
        </w:rPr>
        <w:t>. The remoteness of damage was applied, and it found that the damage was not foreseeable.</w:t>
      </w:r>
      <w:r w:rsidR="004637E4">
        <w:rPr>
          <w:rFonts w:ascii="Arial" w:hAnsi="Arial" w:cs="Arial"/>
        </w:rPr>
        <w:t xml:space="preserve"> Although, it could be argued that by dumping the oil into the harbour that the oil may have caused some complication either to the environment around them or the animals that maybe underneath the water such as fish</w:t>
      </w:r>
      <w:r w:rsidR="007E1BBB">
        <w:rPr>
          <w:rFonts w:ascii="Arial" w:hAnsi="Arial" w:cs="Arial"/>
        </w:rPr>
        <w:t xml:space="preserve"> (</w:t>
      </w:r>
      <w:r w:rsidR="007A6EC2">
        <w:rPr>
          <w:rFonts w:ascii="Arial" w:hAnsi="Arial" w:cs="Arial"/>
        </w:rPr>
        <w:t>Arakeri,2019)</w:t>
      </w:r>
    </w:p>
    <w:p w14:paraId="79834447" w14:textId="555F400F" w:rsidR="0081359E" w:rsidRDefault="00C218E4">
      <w:pPr>
        <w:rPr>
          <w:rFonts w:ascii="Arial" w:hAnsi="Arial" w:cs="Arial"/>
        </w:rPr>
      </w:pPr>
      <w:r>
        <w:rPr>
          <w:rFonts w:ascii="Arial" w:hAnsi="Arial" w:cs="Arial"/>
        </w:rPr>
        <w:t>Multiple</w:t>
      </w:r>
      <w:r w:rsidR="00944DE3">
        <w:rPr>
          <w:rFonts w:ascii="Arial" w:hAnsi="Arial" w:cs="Arial"/>
        </w:rPr>
        <w:t xml:space="preserve"> caus</w:t>
      </w:r>
      <w:r w:rsidR="002651EB">
        <w:rPr>
          <w:rFonts w:ascii="Arial" w:hAnsi="Arial" w:cs="Arial"/>
        </w:rPr>
        <w:t>ation c</w:t>
      </w:r>
      <w:r w:rsidR="00616DCC">
        <w:rPr>
          <w:rFonts w:ascii="Arial" w:hAnsi="Arial" w:cs="Arial"/>
        </w:rPr>
        <w:t xml:space="preserve">an </w:t>
      </w:r>
      <w:r w:rsidR="002651EB">
        <w:rPr>
          <w:rFonts w:ascii="Arial" w:hAnsi="Arial" w:cs="Arial"/>
        </w:rPr>
        <w:t xml:space="preserve">occur in a negligence case, multiple causation occurs when there are two or more distinct sufficient causes of harm towards the claimant. It can also occur if it is </w:t>
      </w:r>
      <w:r w:rsidR="002651EB">
        <w:rPr>
          <w:rFonts w:ascii="Arial" w:hAnsi="Arial" w:cs="Arial"/>
        </w:rPr>
        <w:lastRenderedPageBreak/>
        <w:t xml:space="preserve">impossible to determine each of the defendant’s contribution </w:t>
      </w:r>
      <w:r w:rsidR="00616DCC">
        <w:rPr>
          <w:rFonts w:ascii="Arial" w:hAnsi="Arial" w:cs="Arial"/>
        </w:rPr>
        <w:t>to the injury of the claimant. T</w:t>
      </w:r>
      <w:r w:rsidR="002651EB">
        <w:rPr>
          <w:rFonts w:ascii="Arial" w:hAnsi="Arial" w:cs="Arial"/>
        </w:rPr>
        <w:t>his the means that both defendants are jointly</w:t>
      </w:r>
      <w:r w:rsidR="00616DCC">
        <w:rPr>
          <w:rFonts w:ascii="Arial" w:hAnsi="Arial" w:cs="Arial"/>
        </w:rPr>
        <w:t xml:space="preserve"> </w:t>
      </w:r>
      <w:r w:rsidR="002651EB">
        <w:rPr>
          <w:rFonts w:ascii="Arial" w:hAnsi="Arial" w:cs="Arial"/>
        </w:rPr>
        <w:t>liable</w:t>
      </w:r>
      <w:r w:rsidR="00616DCC">
        <w:rPr>
          <w:rFonts w:ascii="Arial" w:hAnsi="Arial" w:cs="Arial"/>
        </w:rPr>
        <w:t xml:space="preserve"> for their involvement </w:t>
      </w:r>
      <w:r w:rsidR="004637E4">
        <w:rPr>
          <w:rFonts w:ascii="Arial" w:hAnsi="Arial" w:cs="Arial"/>
        </w:rPr>
        <w:t>(</w:t>
      </w:r>
      <w:r w:rsidR="00616DCC">
        <w:rPr>
          <w:rFonts w:ascii="Arial" w:hAnsi="Arial" w:cs="Arial"/>
        </w:rPr>
        <w:t>Pam,2013</w:t>
      </w:r>
      <w:r w:rsidR="004637E4">
        <w:rPr>
          <w:rFonts w:ascii="Arial" w:hAnsi="Arial" w:cs="Arial"/>
        </w:rPr>
        <w:t>)</w:t>
      </w:r>
      <w:r w:rsidR="002651EB">
        <w:rPr>
          <w:rFonts w:ascii="Arial" w:hAnsi="Arial" w:cs="Arial"/>
        </w:rPr>
        <w:t xml:space="preserve">. </w:t>
      </w:r>
      <w:r w:rsidR="00AC36AA">
        <w:rPr>
          <w:rFonts w:ascii="Arial" w:hAnsi="Arial" w:cs="Arial"/>
        </w:rPr>
        <w:t xml:space="preserve">Concurrent causes are also an element of negligence, </w:t>
      </w:r>
      <w:r w:rsidR="00BD2578">
        <w:rPr>
          <w:rFonts w:ascii="Arial" w:hAnsi="Arial" w:cs="Arial"/>
        </w:rPr>
        <w:t xml:space="preserve">concurrent causation is a method used in cases where the losses or damages have occurred from one or more causes as established in the McGhee v National coal board [1973]. </w:t>
      </w:r>
      <w:r w:rsidR="0081359E">
        <w:rPr>
          <w:rFonts w:ascii="Arial" w:hAnsi="Arial" w:cs="Arial"/>
        </w:rPr>
        <w:t xml:space="preserve">In the McGhee v National Coal Board </w:t>
      </w:r>
      <w:r w:rsidR="00BD2578">
        <w:rPr>
          <w:rFonts w:ascii="Arial" w:hAnsi="Arial" w:cs="Arial"/>
        </w:rPr>
        <w:t>[</w:t>
      </w:r>
      <w:r w:rsidR="0081359E">
        <w:rPr>
          <w:rFonts w:ascii="Arial" w:hAnsi="Arial" w:cs="Arial"/>
        </w:rPr>
        <w:t>1973</w:t>
      </w:r>
      <w:r w:rsidR="00BD2578">
        <w:rPr>
          <w:rFonts w:ascii="Arial" w:hAnsi="Arial" w:cs="Arial"/>
        </w:rPr>
        <w:t>]</w:t>
      </w:r>
      <w:r w:rsidR="0081359E">
        <w:rPr>
          <w:rFonts w:ascii="Arial" w:hAnsi="Arial" w:cs="Arial"/>
        </w:rPr>
        <w:t xml:space="preserve"> case where Mr McGhee worked in the brick kiln where the conditions were very hot and dusty. He also cycled home still covered in dust. McGhee then started to suffer from extreme skin condition and was diagnosed with dermatitis. He then tried to claim against his negligence against the employer, National Coal Board. The House of Lords held that the National Coal Board caused the claimant`s dermatitis and therefore they were liable for the damages in the tort of negligence (Lucid Law,2020)</w:t>
      </w:r>
      <w:r w:rsidR="00BD2578">
        <w:rPr>
          <w:rFonts w:ascii="Arial" w:hAnsi="Arial" w:cs="Arial"/>
        </w:rPr>
        <w:t xml:space="preserve">. This shows the concurrent cause as it was not </w:t>
      </w:r>
      <w:proofErr w:type="gramStart"/>
      <w:r w:rsidR="00BD2578">
        <w:rPr>
          <w:rFonts w:ascii="Arial" w:hAnsi="Arial" w:cs="Arial"/>
        </w:rPr>
        <w:t>know</w:t>
      </w:r>
      <w:proofErr w:type="gramEnd"/>
      <w:r w:rsidR="00BD2578">
        <w:rPr>
          <w:rFonts w:ascii="Arial" w:hAnsi="Arial" w:cs="Arial"/>
        </w:rPr>
        <w:t xml:space="preserve"> if it was the hot and dusty conditions that caused the ill or if it was because he was cycling home still covered. </w:t>
      </w:r>
    </w:p>
    <w:p w14:paraId="03D7D106" w14:textId="796CFE3C" w:rsidR="0081359E" w:rsidRDefault="002651EB">
      <w:pPr>
        <w:rPr>
          <w:rFonts w:ascii="Arial" w:hAnsi="Arial" w:cs="Arial"/>
        </w:rPr>
      </w:pPr>
      <w:r>
        <w:rPr>
          <w:rFonts w:ascii="Arial" w:hAnsi="Arial" w:cs="Arial"/>
        </w:rPr>
        <w:t xml:space="preserve">Indeterminate cause occurs where again there is </w:t>
      </w:r>
      <w:r w:rsidR="00712695">
        <w:rPr>
          <w:rFonts w:ascii="Arial" w:hAnsi="Arial" w:cs="Arial"/>
        </w:rPr>
        <w:t>one or more</w:t>
      </w:r>
      <w:r>
        <w:rPr>
          <w:rFonts w:ascii="Arial" w:hAnsi="Arial" w:cs="Arial"/>
        </w:rPr>
        <w:t xml:space="preserve"> defendant but only one operative cause of the claimant’s loss; it must be </w:t>
      </w:r>
      <w:r w:rsidR="00AC36AA">
        <w:rPr>
          <w:rFonts w:ascii="Arial" w:hAnsi="Arial" w:cs="Arial"/>
        </w:rPr>
        <w:t>unclear</w:t>
      </w:r>
      <w:r>
        <w:rPr>
          <w:rFonts w:ascii="Arial" w:hAnsi="Arial" w:cs="Arial"/>
        </w:rPr>
        <w:t xml:space="preserve"> which </w:t>
      </w:r>
      <w:r w:rsidR="00AC36AA">
        <w:rPr>
          <w:rFonts w:ascii="Arial" w:hAnsi="Arial" w:cs="Arial"/>
        </w:rPr>
        <w:t>defendant</w:t>
      </w:r>
      <w:r>
        <w:rPr>
          <w:rFonts w:ascii="Arial" w:hAnsi="Arial" w:cs="Arial"/>
        </w:rPr>
        <w:t xml:space="preserve"> caused the loss</w:t>
      </w:r>
      <w:r w:rsidR="00D83522">
        <w:rPr>
          <w:rFonts w:ascii="Arial" w:hAnsi="Arial" w:cs="Arial"/>
        </w:rPr>
        <w:t xml:space="preserve"> (Weslowski, 2020)</w:t>
      </w:r>
      <w:r>
        <w:rPr>
          <w:rFonts w:ascii="Arial" w:hAnsi="Arial" w:cs="Arial"/>
        </w:rPr>
        <w:t>.</w:t>
      </w:r>
      <w:r w:rsidR="00AC36AA">
        <w:rPr>
          <w:rFonts w:ascii="Arial" w:hAnsi="Arial" w:cs="Arial"/>
        </w:rPr>
        <w:t xml:space="preserve"> </w:t>
      </w:r>
      <w:r w:rsidR="00F50D6B">
        <w:rPr>
          <w:rFonts w:ascii="Arial" w:hAnsi="Arial" w:cs="Arial"/>
        </w:rPr>
        <w:t>Indeterminate cause occurs in the Cook v Lewis</w:t>
      </w:r>
      <w:r w:rsidR="00923871">
        <w:rPr>
          <w:rFonts w:ascii="Arial" w:hAnsi="Arial" w:cs="Arial"/>
        </w:rPr>
        <w:t xml:space="preserve"> </w:t>
      </w:r>
      <w:r w:rsidR="00F50D6B">
        <w:rPr>
          <w:rFonts w:ascii="Arial" w:hAnsi="Arial" w:cs="Arial"/>
        </w:rPr>
        <w:t xml:space="preserve">[1951]; Summers v Tice (1948) where one was a Canadian </w:t>
      </w:r>
      <w:r w:rsidR="00923871">
        <w:rPr>
          <w:rFonts w:ascii="Arial" w:hAnsi="Arial" w:cs="Arial"/>
        </w:rPr>
        <w:t xml:space="preserve">case </w:t>
      </w:r>
      <w:r w:rsidR="00F50D6B">
        <w:rPr>
          <w:rFonts w:ascii="Arial" w:hAnsi="Arial" w:cs="Arial"/>
        </w:rPr>
        <w:t xml:space="preserve">and </w:t>
      </w:r>
      <w:r w:rsidR="00923871">
        <w:rPr>
          <w:rFonts w:ascii="Arial" w:hAnsi="Arial" w:cs="Arial"/>
        </w:rPr>
        <w:t>the second was an American case. These cases are both</w:t>
      </w:r>
      <w:r w:rsidR="00F50D6B">
        <w:rPr>
          <w:rFonts w:ascii="Arial" w:hAnsi="Arial" w:cs="Arial"/>
        </w:rPr>
        <w:t xml:space="preserve"> involved </w:t>
      </w:r>
      <w:r w:rsidR="00923871">
        <w:rPr>
          <w:rFonts w:ascii="Arial" w:hAnsi="Arial" w:cs="Arial"/>
        </w:rPr>
        <w:t xml:space="preserve">in </w:t>
      </w:r>
      <w:r w:rsidR="00F50D6B">
        <w:rPr>
          <w:rFonts w:ascii="Arial" w:hAnsi="Arial" w:cs="Arial"/>
        </w:rPr>
        <w:t xml:space="preserve">a concurrent cause of injury to the </w:t>
      </w:r>
      <w:r w:rsidR="00923871">
        <w:rPr>
          <w:rFonts w:ascii="Arial" w:hAnsi="Arial" w:cs="Arial"/>
        </w:rPr>
        <w:t>claimant,</w:t>
      </w:r>
      <w:r w:rsidR="00F50D6B">
        <w:rPr>
          <w:rFonts w:ascii="Arial" w:hAnsi="Arial" w:cs="Arial"/>
        </w:rPr>
        <w:t xml:space="preserve"> but the cause of the injury was indeterminate. In this case the defendant had to prove that it was not their fault and they did not cause the injury. The defendants were later held to be jointly liable in the absence of evidence </w:t>
      </w:r>
    </w:p>
    <w:p w14:paraId="6A0BA19D" w14:textId="7E8119C4" w:rsidR="0047228E" w:rsidRDefault="00AC36AA">
      <w:pPr>
        <w:rPr>
          <w:rFonts w:ascii="Arial" w:hAnsi="Arial" w:cs="Arial"/>
        </w:rPr>
      </w:pPr>
      <w:r>
        <w:rPr>
          <w:rFonts w:ascii="Arial" w:hAnsi="Arial" w:cs="Arial"/>
        </w:rPr>
        <w:t xml:space="preserve">Cumulative cause is another factor of concurrent cause, this occurs when where is more than one operative cause for the </w:t>
      </w:r>
      <w:r w:rsidR="00D83522">
        <w:rPr>
          <w:rFonts w:ascii="Arial" w:hAnsi="Arial" w:cs="Arial"/>
        </w:rPr>
        <w:t>claimant’s</w:t>
      </w:r>
      <w:r>
        <w:rPr>
          <w:rFonts w:ascii="Arial" w:hAnsi="Arial" w:cs="Arial"/>
        </w:rPr>
        <w:t xml:space="preserve"> loss with each defendant </w:t>
      </w:r>
      <w:r w:rsidR="00EE3A74">
        <w:rPr>
          <w:rFonts w:ascii="Arial" w:hAnsi="Arial" w:cs="Arial"/>
        </w:rPr>
        <w:t>influencing</w:t>
      </w:r>
      <w:r>
        <w:rPr>
          <w:rFonts w:ascii="Arial" w:hAnsi="Arial" w:cs="Arial"/>
        </w:rPr>
        <w:t xml:space="preserve"> the loss</w:t>
      </w:r>
      <w:r w:rsidR="00D83522">
        <w:rPr>
          <w:rFonts w:ascii="Arial" w:hAnsi="Arial" w:cs="Arial"/>
        </w:rPr>
        <w:t xml:space="preserve"> which combined has the same damaging effect</w:t>
      </w:r>
      <w:r w:rsidR="004637E4">
        <w:rPr>
          <w:rFonts w:ascii="Arial" w:hAnsi="Arial" w:cs="Arial"/>
        </w:rPr>
        <w:t xml:space="preserve"> (</w:t>
      </w:r>
      <w:r w:rsidR="00F50D6B">
        <w:rPr>
          <w:rFonts w:ascii="Arial" w:hAnsi="Arial" w:cs="Arial"/>
        </w:rPr>
        <w:t>Champlin,2015</w:t>
      </w:r>
      <w:r w:rsidR="004637E4">
        <w:rPr>
          <w:rFonts w:ascii="Arial" w:hAnsi="Arial" w:cs="Arial"/>
        </w:rPr>
        <w:t>)</w:t>
      </w:r>
      <w:r w:rsidR="00D83522">
        <w:rPr>
          <w:rFonts w:ascii="Arial" w:hAnsi="Arial" w:cs="Arial"/>
        </w:rPr>
        <w:t xml:space="preserve">. </w:t>
      </w:r>
      <w:r w:rsidR="009E3706">
        <w:rPr>
          <w:rFonts w:ascii="Arial" w:hAnsi="Arial" w:cs="Arial"/>
        </w:rPr>
        <w:t>This occurs in the Fitzgerald v Lane [1989]1 AC 328 case where the claimant wa</w:t>
      </w:r>
      <w:r w:rsidR="00524A95">
        <w:rPr>
          <w:rFonts w:ascii="Arial" w:hAnsi="Arial" w:cs="Arial"/>
        </w:rPr>
        <w:t>s</w:t>
      </w:r>
      <w:r w:rsidR="009E3706">
        <w:rPr>
          <w:rFonts w:ascii="Arial" w:hAnsi="Arial" w:cs="Arial"/>
        </w:rPr>
        <w:t xml:space="preserve"> crossing the road and was struck by the one car and then again by another, causing the claimant to suffer a neck injury. It could not be determined which car was responsible because both accidents happen straight after each other. It was later held that that both defendants were jointly liable and they both had to pay damages.</w:t>
      </w:r>
    </w:p>
    <w:p w14:paraId="36258624" w14:textId="3A6F9AA1" w:rsidR="00A70D7B" w:rsidRDefault="00E949D3">
      <w:pPr>
        <w:rPr>
          <w:rFonts w:ascii="Arial" w:hAnsi="Arial" w:cs="Arial"/>
        </w:rPr>
      </w:pPr>
      <w:r>
        <w:rPr>
          <w:rFonts w:ascii="Arial" w:hAnsi="Arial" w:cs="Arial"/>
        </w:rPr>
        <w:t>Novus actus interveniens is</w:t>
      </w:r>
      <w:r w:rsidR="004637E4">
        <w:rPr>
          <w:rFonts w:ascii="Arial" w:hAnsi="Arial" w:cs="Arial"/>
        </w:rPr>
        <w:t xml:space="preserve"> also </w:t>
      </w:r>
      <w:r>
        <w:rPr>
          <w:rFonts w:ascii="Arial" w:hAnsi="Arial" w:cs="Arial"/>
        </w:rPr>
        <w:t xml:space="preserve">a vital part of causation in negligence. </w:t>
      </w:r>
      <w:r w:rsidR="00C122F5">
        <w:rPr>
          <w:rFonts w:ascii="Arial" w:hAnsi="Arial" w:cs="Arial"/>
        </w:rPr>
        <w:t xml:space="preserve">Novus actus interveniens is the act that breaks the </w:t>
      </w:r>
      <w:r w:rsidR="00923871">
        <w:rPr>
          <w:rFonts w:ascii="Arial" w:hAnsi="Arial" w:cs="Arial"/>
        </w:rPr>
        <w:t xml:space="preserve">chai of </w:t>
      </w:r>
      <w:r w:rsidR="00C122F5">
        <w:rPr>
          <w:rFonts w:ascii="Arial" w:hAnsi="Arial" w:cs="Arial"/>
        </w:rPr>
        <w:t>connection between a wrong</w:t>
      </w:r>
      <w:r w:rsidR="00923871">
        <w:rPr>
          <w:rFonts w:ascii="Arial" w:hAnsi="Arial" w:cs="Arial"/>
        </w:rPr>
        <w:t>doing</w:t>
      </w:r>
      <w:r w:rsidR="00C829F9">
        <w:rPr>
          <w:rFonts w:ascii="Arial" w:hAnsi="Arial" w:cs="Arial"/>
        </w:rPr>
        <w:t xml:space="preserve"> and the crime committed by the defendant and the liability that is put upon hi</w:t>
      </w:r>
      <w:r w:rsidR="004716B5">
        <w:rPr>
          <w:rFonts w:ascii="Arial" w:hAnsi="Arial" w:cs="Arial"/>
        </w:rPr>
        <w:t>m</w:t>
      </w:r>
      <w:r w:rsidR="00C829F9">
        <w:rPr>
          <w:rFonts w:ascii="Arial" w:hAnsi="Arial" w:cs="Arial"/>
        </w:rPr>
        <w:t xml:space="preserve"> as a result.</w:t>
      </w:r>
      <w:r w:rsidR="00C1069D">
        <w:rPr>
          <w:rFonts w:ascii="Arial" w:hAnsi="Arial" w:cs="Arial"/>
        </w:rPr>
        <w:t xml:space="preserve"> I</w:t>
      </w:r>
      <w:r w:rsidR="00C829F9">
        <w:rPr>
          <w:rFonts w:ascii="Arial" w:hAnsi="Arial" w:cs="Arial"/>
        </w:rPr>
        <w:t xml:space="preserve">t is required that another act or omission </w:t>
      </w:r>
      <w:r w:rsidR="00C1069D">
        <w:rPr>
          <w:rFonts w:ascii="Arial" w:hAnsi="Arial" w:cs="Arial"/>
        </w:rPr>
        <w:t xml:space="preserve">must be </w:t>
      </w:r>
      <w:r w:rsidR="00C829F9">
        <w:rPr>
          <w:rFonts w:ascii="Arial" w:hAnsi="Arial" w:cs="Arial"/>
        </w:rPr>
        <w:t xml:space="preserve">committed after the </w:t>
      </w:r>
      <w:r w:rsidR="00C1069D">
        <w:rPr>
          <w:rFonts w:ascii="Arial" w:hAnsi="Arial" w:cs="Arial"/>
        </w:rPr>
        <w:t>defendant’s</w:t>
      </w:r>
      <w:r w:rsidR="00C829F9">
        <w:rPr>
          <w:rFonts w:ascii="Arial" w:hAnsi="Arial" w:cs="Arial"/>
        </w:rPr>
        <w:t xml:space="preserve"> initial wrongdoing to constitute a </w:t>
      </w:r>
      <w:r w:rsidR="004716B5">
        <w:rPr>
          <w:rFonts w:ascii="Arial" w:hAnsi="Arial" w:cs="Arial"/>
        </w:rPr>
        <w:t>Novus</w:t>
      </w:r>
      <w:r w:rsidR="00C829F9">
        <w:rPr>
          <w:rFonts w:ascii="Arial" w:hAnsi="Arial" w:cs="Arial"/>
        </w:rPr>
        <w:t xml:space="preserve"> actus intervenient</w:t>
      </w:r>
      <w:r w:rsidR="00C1069D">
        <w:rPr>
          <w:rFonts w:ascii="Arial" w:hAnsi="Arial" w:cs="Arial"/>
        </w:rPr>
        <w:t xml:space="preserve">. The </w:t>
      </w:r>
      <w:r w:rsidR="00C829F9">
        <w:rPr>
          <w:rFonts w:ascii="Arial" w:hAnsi="Arial" w:cs="Arial"/>
        </w:rPr>
        <w:t>secondary act</w:t>
      </w:r>
      <w:r w:rsidR="00C1069D">
        <w:rPr>
          <w:rFonts w:ascii="Arial" w:hAnsi="Arial" w:cs="Arial"/>
        </w:rPr>
        <w:t xml:space="preserve"> must </w:t>
      </w:r>
      <w:r w:rsidR="004716B5">
        <w:rPr>
          <w:rFonts w:ascii="Arial" w:hAnsi="Arial" w:cs="Arial"/>
        </w:rPr>
        <w:t xml:space="preserve">not </w:t>
      </w:r>
      <w:r w:rsidR="00C1069D">
        <w:rPr>
          <w:rFonts w:ascii="Arial" w:hAnsi="Arial" w:cs="Arial"/>
        </w:rPr>
        <w:t xml:space="preserve">be </w:t>
      </w:r>
      <w:r w:rsidR="00C829F9">
        <w:rPr>
          <w:rFonts w:ascii="Arial" w:hAnsi="Arial" w:cs="Arial"/>
        </w:rPr>
        <w:t>reasonably foreseeable</w:t>
      </w:r>
      <w:r w:rsidR="00C1069D">
        <w:rPr>
          <w:rFonts w:ascii="Arial" w:hAnsi="Arial" w:cs="Arial"/>
        </w:rPr>
        <w:t>.</w:t>
      </w:r>
      <w:r w:rsidR="004716B5" w:rsidRPr="004716B5">
        <w:rPr>
          <w:rFonts w:ascii="Arial" w:hAnsi="Arial" w:cs="Arial"/>
        </w:rPr>
        <w:t xml:space="preserve"> </w:t>
      </w:r>
      <w:r w:rsidR="004716B5">
        <w:rPr>
          <w:rFonts w:ascii="Arial" w:hAnsi="Arial" w:cs="Arial"/>
        </w:rPr>
        <w:t xml:space="preserve">The new event that occurs will relieve the defendant of the </w:t>
      </w:r>
      <w:r w:rsidR="00C1069D">
        <w:rPr>
          <w:rFonts w:ascii="Arial" w:hAnsi="Arial" w:cs="Arial"/>
        </w:rPr>
        <w:t>responsibility.</w:t>
      </w:r>
      <w:r w:rsidR="00C829F9">
        <w:rPr>
          <w:rFonts w:ascii="Arial" w:hAnsi="Arial" w:cs="Arial"/>
        </w:rPr>
        <w:t xml:space="preserve"> If the subsequent event was found to be </w:t>
      </w:r>
      <w:r w:rsidR="004716B5">
        <w:rPr>
          <w:rFonts w:ascii="Arial" w:hAnsi="Arial" w:cs="Arial"/>
        </w:rPr>
        <w:t>reasonably</w:t>
      </w:r>
      <w:r w:rsidR="00C829F9">
        <w:rPr>
          <w:rFonts w:ascii="Arial" w:hAnsi="Arial" w:cs="Arial"/>
        </w:rPr>
        <w:t xml:space="preserve"> foreseeable at the time of the </w:t>
      </w:r>
      <w:r w:rsidR="004716B5">
        <w:rPr>
          <w:rFonts w:ascii="Arial" w:hAnsi="Arial" w:cs="Arial"/>
        </w:rPr>
        <w:t>initial</w:t>
      </w:r>
      <w:r w:rsidR="00C829F9">
        <w:rPr>
          <w:rFonts w:ascii="Arial" w:hAnsi="Arial" w:cs="Arial"/>
        </w:rPr>
        <w:t xml:space="preserve"> </w:t>
      </w:r>
      <w:r w:rsidR="004716B5">
        <w:rPr>
          <w:rFonts w:ascii="Arial" w:hAnsi="Arial" w:cs="Arial"/>
        </w:rPr>
        <w:t>wrongdoing,</w:t>
      </w:r>
      <w:r w:rsidR="00C829F9">
        <w:rPr>
          <w:rFonts w:ascii="Arial" w:hAnsi="Arial" w:cs="Arial"/>
        </w:rPr>
        <w:t xml:space="preserve"> then it will not be considered to be a</w:t>
      </w:r>
      <w:r w:rsidR="004716B5">
        <w:rPr>
          <w:rFonts w:ascii="Arial" w:hAnsi="Arial" w:cs="Arial"/>
        </w:rPr>
        <w:t xml:space="preserve"> Novus actus (Lovells,2017)</w:t>
      </w:r>
      <w:r w:rsidR="00C829F9">
        <w:rPr>
          <w:rFonts w:ascii="Arial" w:hAnsi="Arial" w:cs="Arial"/>
        </w:rPr>
        <w:t xml:space="preserve">. </w:t>
      </w:r>
      <w:r w:rsidR="00A70D7B">
        <w:rPr>
          <w:rFonts w:ascii="Arial" w:hAnsi="Arial" w:cs="Arial"/>
        </w:rPr>
        <w:t>In the R V Kennedy</w:t>
      </w:r>
      <w:r w:rsidR="00DB4808">
        <w:rPr>
          <w:rFonts w:ascii="Arial" w:hAnsi="Arial" w:cs="Arial"/>
        </w:rPr>
        <w:t xml:space="preserve"> (2007)</w:t>
      </w:r>
      <w:r w:rsidR="00A70D7B">
        <w:rPr>
          <w:rFonts w:ascii="Arial" w:hAnsi="Arial" w:cs="Arial"/>
        </w:rPr>
        <w:t xml:space="preserve"> case where the </w:t>
      </w:r>
      <w:r w:rsidR="00DB4808">
        <w:rPr>
          <w:rFonts w:ascii="Arial" w:hAnsi="Arial" w:cs="Arial"/>
        </w:rPr>
        <w:t>defendant</w:t>
      </w:r>
      <w:r w:rsidR="00A70D7B">
        <w:rPr>
          <w:rFonts w:ascii="Arial" w:hAnsi="Arial" w:cs="Arial"/>
        </w:rPr>
        <w:t xml:space="preserve"> and victim </w:t>
      </w:r>
      <w:r w:rsidR="00DB4808">
        <w:rPr>
          <w:rFonts w:ascii="Arial" w:hAnsi="Arial" w:cs="Arial"/>
        </w:rPr>
        <w:t>were</w:t>
      </w:r>
      <w:r w:rsidR="00A70D7B">
        <w:rPr>
          <w:rFonts w:ascii="Arial" w:hAnsi="Arial" w:cs="Arial"/>
        </w:rPr>
        <w:t xml:space="preserve"> living together in a hostel</w:t>
      </w:r>
      <w:r w:rsidR="00DB4808">
        <w:rPr>
          <w:rFonts w:ascii="Arial" w:hAnsi="Arial" w:cs="Arial"/>
        </w:rPr>
        <w:t>, the victim wanted to score drugs of the defendant to help him sleep. After the victim injected himself with this drug, he later died of chocking on his own vomit. The House of Lords had to decide on whether the victim`s act in self injecting was an intervening act that would break the chain of caution. It was later decided that the victim was sound of mind and had the free will to inject himself with</w:t>
      </w:r>
      <w:r w:rsidR="00C1069D">
        <w:rPr>
          <w:rFonts w:ascii="Arial" w:hAnsi="Arial" w:cs="Arial"/>
        </w:rPr>
        <w:t xml:space="preserve">out being </w:t>
      </w:r>
      <w:r w:rsidR="00DB4808">
        <w:rPr>
          <w:rFonts w:ascii="Arial" w:hAnsi="Arial" w:cs="Arial"/>
        </w:rPr>
        <w:t>promot</w:t>
      </w:r>
      <w:r w:rsidR="00C1069D">
        <w:rPr>
          <w:rFonts w:ascii="Arial" w:hAnsi="Arial" w:cs="Arial"/>
        </w:rPr>
        <w:t>ed</w:t>
      </w:r>
      <w:r w:rsidR="00DB4808">
        <w:rPr>
          <w:rFonts w:ascii="Arial" w:hAnsi="Arial" w:cs="Arial"/>
        </w:rPr>
        <w:t xml:space="preserve"> </w:t>
      </w:r>
      <w:r w:rsidR="00C1069D">
        <w:rPr>
          <w:rFonts w:ascii="Arial" w:hAnsi="Arial" w:cs="Arial"/>
        </w:rPr>
        <w:t>by</w:t>
      </w:r>
      <w:r w:rsidR="00DB4808">
        <w:rPr>
          <w:rFonts w:ascii="Arial" w:hAnsi="Arial" w:cs="Arial"/>
        </w:rPr>
        <w:t xml:space="preserve"> the defendant (Parliament,2007). Therefore, the chain of causation </w:t>
      </w:r>
      <w:r w:rsidR="0083793A">
        <w:rPr>
          <w:rFonts w:ascii="Arial" w:hAnsi="Arial" w:cs="Arial"/>
        </w:rPr>
        <w:t>in</w:t>
      </w:r>
      <w:r w:rsidR="00DB4808">
        <w:rPr>
          <w:rFonts w:ascii="Arial" w:hAnsi="Arial" w:cs="Arial"/>
        </w:rPr>
        <w:t xml:space="preserve"> the defendant acts of </w:t>
      </w:r>
      <w:r w:rsidR="00923871">
        <w:rPr>
          <w:rFonts w:ascii="Arial" w:hAnsi="Arial" w:cs="Arial"/>
        </w:rPr>
        <w:t xml:space="preserve">giving </w:t>
      </w:r>
      <w:r w:rsidR="00DB4808">
        <w:rPr>
          <w:rFonts w:ascii="Arial" w:hAnsi="Arial" w:cs="Arial"/>
        </w:rPr>
        <w:t>the drug</w:t>
      </w:r>
      <w:r w:rsidR="00923871">
        <w:rPr>
          <w:rFonts w:ascii="Arial" w:hAnsi="Arial" w:cs="Arial"/>
        </w:rPr>
        <w:t>s to the victim</w:t>
      </w:r>
      <w:r w:rsidR="00DB4808">
        <w:rPr>
          <w:rFonts w:ascii="Arial" w:hAnsi="Arial" w:cs="Arial"/>
        </w:rPr>
        <w:t xml:space="preserve"> and the victim death was broken</w:t>
      </w:r>
      <w:r w:rsidR="0083793A">
        <w:rPr>
          <w:rFonts w:ascii="Arial" w:hAnsi="Arial" w:cs="Arial"/>
        </w:rPr>
        <w:t xml:space="preserve">. </w:t>
      </w:r>
    </w:p>
    <w:p w14:paraId="6CBA2A9E" w14:textId="5CE4FEA1" w:rsidR="00B80AB9" w:rsidRDefault="0083793A">
      <w:pPr>
        <w:rPr>
          <w:rFonts w:ascii="Arial" w:hAnsi="Arial" w:cs="Arial"/>
        </w:rPr>
      </w:pPr>
      <w:r>
        <w:rPr>
          <w:rFonts w:ascii="Arial" w:hAnsi="Arial" w:cs="Arial"/>
        </w:rPr>
        <w:t>The chain of caus</w:t>
      </w:r>
      <w:r w:rsidR="003D41A0">
        <w:rPr>
          <w:rFonts w:ascii="Arial" w:hAnsi="Arial" w:cs="Arial"/>
        </w:rPr>
        <w:t xml:space="preserve">ation if not broken creates the criminal liability for the defendant even if the result of the negligence was indirect. To establish a chain of causation the breach in the duty of the defendant must </w:t>
      </w:r>
      <w:r w:rsidR="000C7497">
        <w:rPr>
          <w:rFonts w:ascii="Arial" w:hAnsi="Arial" w:cs="Arial"/>
        </w:rPr>
        <w:t>satisfy</w:t>
      </w:r>
      <w:r w:rsidR="003D41A0">
        <w:rPr>
          <w:rFonts w:ascii="Arial" w:hAnsi="Arial" w:cs="Arial"/>
        </w:rPr>
        <w:t xml:space="preserve"> both factual and legal causation</w:t>
      </w:r>
      <w:r w:rsidR="00923871">
        <w:rPr>
          <w:rFonts w:ascii="Arial" w:hAnsi="Arial" w:cs="Arial"/>
        </w:rPr>
        <w:t xml:space="preserve"> as well as other factors</w:t>
      </w:r>
      <w:r w:rsidR="003D41A0">
        <w:rPr>
          <w:rFonts w:ascii="Arial" w:hAnsi="Arial" w:cs="Arial"/>
        </w:rPr>
        <w:t xml:space="preserve">. The </w:t>
      </w:r>
      <w:r w:rsidR="003D41A0">
        <w:rPr>
          <w:rFonts w:ascii="Arial" w:hAnsi="Arial" w:cs="Arial"/>
        </w:rPr>
        <w:lastRenderedPageBreak/>
        <w:t xml:space="preserve">defendants act must be the operating cause to </w:t>
      </w:r>
      <w:r w:rsidR="00790D0A">
        <w:rPr>
          <w:rFonts w:ascii="Arial" w:hAnsi="Arial" w:cs="Arial"/>
        </w:rPr>
        <w:t xml:space="preserve">initiate </w:t>
      </w:r>
      <w:r w:rsidR="003D41A0">
        <w:rPr>
          <w:rFonts w:ascii="Arial" w:hAnsi="Arial" w:cs="Arial"/>
        </w:rPr>
        <w:t xml:space="preserve">the chain of causation. The chain of causation will only be broken if there is </w:t>
      </w:r>
      <w:r w:rsidR="002A7851">
        <w:rPr>
          <w:rFonts w:ascii="Arial" w:hAnsi="Arial" w:cs="Arial"/>
        </w:rPr>
        <w:t>an</w:t>
      </w:r>
      <w:r w:rsidR="003D41A0">
        <w:rPr>
          <w:rFonts w:ascii="Arial" w:hAnsi="Arial" w:cs="Arial"/>
        </w:rPr>
        <w:t xml:space="preserve"> unforeseeable and overwhelming intervening act, this can be from the victim themselves, a third party or natural events</w:t>
      </w:r>
      <w:r w:rsidR="000C7497">
        <w:rPr>
          <w:rFonts w:ascii="Arial" w:hAnsi="Arial" w:cs="Arial"/>
        </w:rPr>
        <w:t xml:space="preserve"> </w:t>
      </w:r>
      <w:r w:rsidR="00DA0388">
        <w:rPr>
          <w:rFonts w:ascii="Arial" w:hAnsi="Arial" w:cs="Arial"/>
        </w:rPr>
        <w:t>(</w:t>
      </w:r>
      <w:r w:rsidR="00463232">
        <w:rPr>
          <w:rFonts w:ascii="Arial" w:hAnsi="Arial" w:cs="Arial"/>
        </w:rPr>
        <w:t>Merriam- We</w:t>
      </w:r>
      <w:r w:rsidR="008E2BCB">
        <w:rPr>
          <w:rFonts w:ascii="Arial" w:hAnsi="Arial" w:cs="Arial"/>
        </w:rPr>
        <w:t>bster,2020</w:t>
      </w:r>
      <w:r w:rsidR="00DA0388">
        <w:rPr>
          <w:rFonts w:ascii="Arial" w:hAnsi="Arial" w:cs="Arial"/>
        </w:rPr>
        <w:t>)</w:t>
      </w:r>
      <w:r w:rsidR="003D41A0">
        <w:rPr>
          <w:rFonts w:ascii="Arial" w:hAnsi="Arial" w:cs="Arial"/>
        </w:rPr>
        <w:t>. For ex</w:t>
      </w:r>
      <w:r w:rsidR="00DA0388">
        <w:rPr>
          <w:rFonts w:ascii="Arial" w:hAnsi="Arial" w:cs="Arial"/>
        </w:rPr>
        <w:t xml:space="preserve">ample, in the R v Jordan (1956) case </w:t>
      </w:r>
      <w:r w:rsidR="00B80AB9">
        <w:rPr>
          <w:rFonts w:ascii="Arial" w:hAnsi="Arial" w:cs="Arial"/>
        </w:rPr>
        <w:t xml:space="preserve">when the defendant stabbed the victim, the </w:t>
      </w:r>
      <w:r w:rsidR="000C7497">
        <w:rPr>
          <w:rFonts w:ascii="Arial" w:hAnsi="Arial" w:cs="Arial"/>
        </w:rPr>
        <w:t>victim</w:t>
      </w:r>
      <w:r w:rsidR="00B80AB9">
        <w:rPr>
          <w:rFonts w:ascii="Arial" w:hAnsi="Arial" w:cs="Arial"/>
        </w:rPr>
        <w:t xml:space="preserve"> was taken to hospital where he was prescribed anti-biotics after showing an allergic reaction to them. He was also given intravenous liquids and later died of pneumonia 8 days after the stabbing. However, when the victim died the stab wounds were starting to heal, this means that there was a break in the chain because the vic</w:t>
      </w:r>
      <w:r w:rsidR="000C7497">
        <w:rPr>
          <w:rFonts w:ascii="Arial" w:hAnsi="Arial" w:cs="Arial"/>
        </w:rPr>
        <w:t>tim did not die of the stab wound but died because of the medical treatment.</w:t>
      </w:r>
      <w:r w:rsidR="00E65527">
        <w:rPr>
          <w:rFonts w:ascii="Arial" w:hAnsi="Arial" w:cs="Arial"/>
        </w:rPr>
        <w:t xml:space="preserve"> The third-party intervention means that that although the defendant initial act is what led the victim to being in </w:t>
      </w:r>
      <w:r w:rsidR="002A7851">
        <w:rPr>
          <w:rFonts w:ascii="Arial" w:hAnsi="Arial" w:cs="Arial"/>
        </w:rPr>
        <w:t>hospital,</w:t>
      </w:r>
      <w:r w:rsidR="00E65527">
        <w:rPr>
          <w:rFonts w:ascii="Arial" w:hAnsi="Arial" w:cs="Arial"/>
        </w:rPr>
        <w:t xml:space="preserve"> but it was the </w:t>
      </w:r>
      <w:r w:rsidR="002A7851">
        <w:rPr>
          <w:rFonts w:ascii="Arial" w:hAnsi="Arial" w:cs="Arial"/>
        </w:rPr>
        <w:t>third-party</w:t>
      </w:r>
      <w:r w:rsidR="00E65527">
        <w:rPr>
          <w:rFonts w:ascii="Arial" w:hAnsi="Arial" w:cs="Arial"/>
        </w:rPr>
        <w:t xml:space="preserve"> negligence that killed him. (Courtis,</w:t>
      </w:r>
      <w:r w:rsidR="002A7851">
        <w:rPr>
          <w:rFonts w:ascii="Arial" w:hAnsi="Arial" w:cs="Arial"/>
        </w:rPr>
        <w:t>2016)</w:t>
      </w:r>
    </w:p>
    <w:p w14:paraId="538911A9" w14:textId="24A010B4" w:rsidR="00A70D7B" w:rsidRDefault="008D4A8F">
      <w:pPr>
        <w:rPr>
          <w:rFonts w:ascii="Arial" w:hAnsi="Arial" w:cs="Arial"/>
        </w:rPr>
      </w:pPr>
      <w:r>
        <w:rPr>
          <w:rFonts w:ascii="Arial" w:hAnsi="Arial" w:cs="Arial"/>
        </w:rPr>
        <w:t xml:space="preserve">Medical interventions </w:t>
      </w:r>
      <w:r w:rsidR="008F6FF9">
        <w:rPr>
          <w:rFonts w:ascii="Arial" w:hAnsi="Arial" w:cs="Arial"/>
        </w:rPr>
        <w:t>are</w:t>
      </w:r>
      <w:r w:rsidR="00E17FD9">
        <w:rPr>
          <w:rFonts w:ascii="Arial" w:hAnsi="Arial" w:cs="Arial"/>
        </w:rPr>
        <w:t xml:space="preserve"> one </w:t>
      </w:r>
      <w:r w:rsidR="0081359E">
        <w:rPr>
          <w:rFonts w:ascii="Arial" w:hAnsi="Arial" w:cs="Arial"/>
        </w:rPr>
        <w:t xml:space="preserve">of </w:t>
      </w:r>
      <w:r w:rsidR="00E17FD9">
        <w:rPr>
          <w:rFonts w:ascii="Arial" w:hAnsi="Arial" w:cs="Arial"/>
        </w:rPr>
        <w:t>the circumstance</w:t>
      </w:r>
      <w:r w:rsidR="0081359E">
        <w:rPr>
          <w:rFonts w:ascii="Arial" w:hAnsi="Arial" w:cs="Arial"/>
        </w:rPr>
        <w:t>s</w:t>
      </w:r>
      <w:r>
        <w:rPr>
          <w:rFonts w:ascii="Arial" w:hAnsi="Arial" w:cs="Arial"/>
        </w:rPr>
        <w:t xml:space="preserve"> that will break the chain as stated in the R v Jordan (1956)</w:t>
      </w:r>
      <w:r w:rsidR="003E299C">
        <w:rPr>
          <w:rFonts w:ascii="Arial" w:hAnsi="Arial" w:cs="Arial"/>
        </w:rPr>
        <w:t xml:space="preserve">. This means that original wound that was caused by the defendant would be exacerbated by negligent medical treatment of the injury however, for this to occur the medical intervention must be grossly negligent before it can intervene to break the chain of causation from the original act from the defendant. </w:t>
      </w:r>
      <w:r w:rsidR="00C961D8">
        <w:rPr>
          <w:rFonts w:ascii="Arial" w:hAnsi="Arial" w:cs="Arial"/>
        </w:rPr>
        <w:t xml:space="preserve">Although, this is not always the case as in the R v Cheshire case where Cheshire shot the victim in the stomach and thigh resulting in the </w:t>
      </w:r>
      <w:r w:rsidR="00E17FD9">
        <w:rPr>
          <w:rFonts w:ascii="Arial" w:hAnsi="Arial" w:cs="Arial"/>
        </w:rPr>
        <w:t>victim</w:t>
      </w:r>
      <w:r w:rsidR="00C961D8">
        <w:rPr>
          <w:rFonts w:ascii="Arial" w:hAnsi="Arial" w:cs="Arial"/>
        </w:rPr>
        <w:t xml:space="preserve"> being admitted to hospital. Whist suffering from breathing difficulties while at the hospital the medical professions gave the victim a tracheotomy. The victim later died with complication with the tracheotomy; the wounds were healing. Cheshire was convicted of the murder and when he appeal on the Novus actus interveniens, these claims were dismissed and the court deemed Cheshire actions to be responsible for the death as his act put the victim in hospital and the professional were trying to save the man’s life (</w:t>
      </w:r>
      <w:r w:rsidR="009659A7">
        <w:rPr>
          <w:rFonts w:ascii="Arial" w:hAnsi="Arial" w:cs="Arial"/>
        </w:rPr>
        <w:t>Lucid Law,2017)</w:t>
      </w:r>
      <w:r w:rsidR="00C961D8">
        <w:rPr>
          <w:rFonts w:ascii="Arial" w:hAnsi="Arial" w:cs="Arial"/>
        </w:rPr>
        <w:t xml:space="preserve"> </w:t>
      </w:r>
    </w:p>
    <w:p w14:paraId="08BB41B4" w14:textId="3AAE2797" w:rsidR="008D4A8F" w:rsidRDefault="007146D4">
      <w:pPr>
        <w:rPr>
          <w:rFonts w:ascii="Arial" w:hAnsi="Arial" w:cs="Arial"/>
        </w:rPr>
      </w:pPr>
      <w:r>
        <w:rPr>
          <w:rFonts w:ascii="Arial" w:hAnsi="Arial" w:cs="Arial"/>
        </w:rPr>
        <w:t xml:space="preserve">A claimant also has the chance of claiming for a ` loss of chance` which occurs when a </w:t>
      </w:r>
      <w:r w:rsidR="00296B4B">
        <w:rPr>
          <w:rFonts w:ascii="Arial" w:hAnsi="Arial" w:cs="Arial"/>
        </w:rPr>
        <w:t xml:space="preserve">claimants believes that the defendants conduct have lost them the chance of surviving longer or completely avoiding harm or injury instead of the defendant causing the injury. Although the courts and house of lords are quite reluctant to impose this liability because it mainly occurs in medical negligence cases where a failure by the medical staff to diagnose a condition correctly occurs and this have led the claimant to miss vital treatments that could have prolonged their lives. </w:t>
      </w:r>
      <w:r w:rsidR="00D75313">
        <w:rPr>
          <w:rFonts w:ascii="Arial" w:hAnsi="Arial" w:cs="Arial"/>
        </w:rPr>
        <w:t>For example</w:t>
      </w:r>
      <w:r w:rsidR="00CE4AA5" w:rsidRPr="00D75313">
        <w:rPr>
          <w:rFonts w:ascii="Arial" w:hAnsi="Arial" w:cs="Arial"/>
        </w:rPr>
        <w:t xml:space="preserve">, </w:t>
      </w:r>
      <w:r w:rsidR="00D75313" w:rsidRPr="00D75313">
        <w:rPr>
          <w:rFonts w:ascii="Arial" w:hAnsi="Arial" w:cs="Arial"/>
        </w:rPr>
        <w:t>even if it is proved that the defendant role in the injury could ha</w:t>
      </w:r>
      <w:r w:rsidR="00D75313">
        <w:rPr>
          <w:rFonts w:ascii="Arial" w:hAnsi="Arial" w:cs="Arial"/>
        </w:rPr>
        <w:t>v</w:t>
      </w:r>
      <w:r w:rsidR="00D75313" w:rsidRPr="00D75313">
        <w:rPr>
          <w:rFonts w:ascii="Arial" w:hAnsi="Arial" w:cs="Arial"/>
        </w:rPr>
        <w:t>e le</w:t>
      </w:r>
      <w:r w:rsidR="00D75313">
        <w:rPr>
          <w:rFonts w:ascii="Arial" w:hAnsi="Arial" w:cs="Arial"/>
        </w:rPr>
        <w:t>d</w:t>
      </w:r>
      <w:r w:rsidR="00D75313" w:rsidRPr="00D75313">
        <w:rPr>
          <w:rFonts w:ascii="Arial" w:hAnsi="Arial" w:cs="Arial"/>
        </w:rPr>
        <w:t xml:space="preserve"> to </w:t>
      </w:r>
      <w:r w:rsidR="00D75313">
        <w:rPr>
          <w:rFonts w:ascii="Arial" w:hAnsi="Arial" w:cs="Arial"/>
        </w:rPr>
        <w:t xml:space="preserve">the </w:t>
      </w:r>
      <w:r w:rsidR="00D75313" w:rsidRPr="00D75313">
        <w:rPr>
          <w:rFonts w:ascii="Arial" w:hAnsi="Arial" w:cs="Arial"/>
        </w:rPr>
        <w:t>loss, other factors are taken into account of whether the claimant would still suffer even if the defendants action caused them harm.</w:t>
      </w:r>
      <w:r w:rsidR="00CE4AA5" w:rsidRPr="00D75313">
        <w:rPr>
          <w:rFonts w:ascii="Arial" w:hAnsi="Arial" w:cs="Arial"/>
        </w:rPr>
        <w:t xml:space="preserve"> </w:t>
      </w:r>
      <w:r w:rsidR="00D75313">
        <w:rPr>
          <w:rFonts w:ascii="Arial" w:hAnsi="Arial" w:cs="Arial"/>
        </w:rPr>
        <w:t>This is shown i</w:t>
      </w:r>
      <w:r w:rsidR="00773BE8" w:rsidRPr="00D75313">
        <w:rPr>
          <w:rFonts w:ascii="Arial" w:hAnsi="Arial" w:cs="Arial"/>
        </w:rPr>
        <w:t xml:space="preserve">n the Gregg v Scott [2005] case </w:t>
      </w:r>
      <w:r w:rsidR="00B04DCF" w:rsidRPr="00D75313">
        <w:rPr>
          <w:rFonts w:ascii="Arial" w:hAnsi="Arial" w:cs="Arial"/>
        </w:rPr>
        <w:t xml:space="preserve">where a GP delayed referring the claimant for treatment </w:t>
      </w:r>
      <w:r w:rsidR="00871926" w:rsidRPr="00D75313">
        <w:rPr>
          <w:rFonts w:ascii="Arial" w:hAnsi="Arial" w:cs="Arial"/>
        </w:rPr>
        <w:t xml:space="preserve">for 9 months when the claimant found a lump that he was concerned about, that turned out to be cancerous. This led to the claimant becoming very ill and this reduced the </w:t>
      </w:r>
      <w:r w:rsidR="00684B17" w:rsidRPr="00D75313">
        <w:rPr>
          <w:rFonts w:ascii="Arial" w:hAnsi="Arial" w:cs="Arial"/>
        </w:rPr>
        <w:t>claimants’</w:t>
      </w:r>
      <w:r w:rsidR="00871926" w:rsidRPr="00D75313">
        <w:rPr>
          <w:rFonts w:ascii="Arial" w:hAnsi="Arial" w:cs="Arial"/>
        </w:rPr>
        <w:t xml:space="preserve"> chance of surviving the cancer for another 10 years from 42% to 25%. The Ho</w:t>
      </w:r>
      <w:r w:rsidR="00684B17" w:rsidRPr="00D75313">
        <w:rPr>
          <w:rFonts w:ascii="Arial" w:hAnsi="Arial" w:cs="Arial"/>
        </w:rPr>
        <w:t xml:space="preserve">use of lords </w:t>
      </w:r>
      <w:r w:rsidR="00871926" w:rsidRPr="00D75313">
        <w:rPr>
          <w:rFonts w:ascii="Arial" w:hAnsi="Arial" w:cs="Arial"/>
        </w:rPr>
        <w:t xml:space="preserve">held that because the </w:t>
      </w:r>
      <w:r w:rsidR="00684B17" w:rsidRPr="00D75313">
        <w:rPr>
          <w:rFonts w:ascii="Arial" w:hAnsi="Arial" w:cs="Arial"/>
        </w:rPr>
        <w:t>claimant’s</w:t>
      </w:r>
      <w:r w:rsidR="00871926" w:rsidRPr="00D75313">
        <w:rPr>
          <w:rFonts w:ascii="Arial" w:hAnsi="Arial" w:cs="Arial"/>
        </w:rPr>
        <w:t xml:space="preserve"> chances of </w:t>
      </w:r>
      <w:r w:rsidR="00684B17" w:rsidRPr="00D75313">
        <w:rPr>
          <w:rFonts w:ascii="Arial" w:hAnsi="Arial" w:cs="Arial"/>
        </w:rPr>
        <w:t>surviving</w:t>
      </w:r>
      <w:r w:rsidR="00871926" w:rsidRPr="00D75313">
        <w:rPr>
          <w:rFonts w:ascii="Arial" w:hAnsi="Arial" w:cs="Arial"/>
        </w:rPr>
        <w:t xml:space="preserve"> 10 years were less than 50% </w:t>
      </w:r>
      <w:r>
        <w:rPr>
          <w:rFonts w:ascii="Arial" w:hAnsi="Arial" w:cs="Arial"/>
        </w:rPr>
        <w:t xml:space="preserve">without the </w:t>
      </w:r>
      <w:r w:rsidR="008E2BCB">
        <w:rPr>
          <w:rFonts w:ascii="Arial" w:hAnsi="Arial" w:cs="Arial"/>
        </w:rPr>
        <w:t>defend</w:t>
      </w:r>
      <w:r>
        <w:rPr>
          <w:rFonts w:ascii="Arial" w:hAnsi="Arial" w:cs="Arial"/>
        </w:rPr>
        <w:t xml:space="preserve">ants negligence, this meant </w:t>
      </w:r>
      <w:r w:rsidR="00871926" w:rsidRPr="00D75313">
        <w:rPr>
          <w:rFonts w:ascii="Arial" w:hAnsi="Arial" w:cs="Arial"/>
        </w:rPr>
        <w:t xml:space="preserve">the claimant could </w:t>
      </w:r>
      <w:r w:rsidR="00684B17" w:rsidRPr="00D75313">
        <w:rPr>
          <w:rFonts w:ascii="Arial" w:hAnsi="Arial" w:cs="Arial"/>
        </w:rPr>
        <w:t>not</w:t>
      </w:r>
      <w:r w:rsidR="00871926" w:rsidRPr="00D75313">
        <w:rPr>
          <w:rFonts w:ascii="Arial" w:hAnsi="Arial" w:cs="Arial"/>
        </w:rPr>
        <w:t xml:space="preserve"> recove</w:t>
      </w:r>
      <w:r w:rsidR="00684B17" w:rsidRPr="00D75313">
        <w:rPr>
          <w:rFonts w:ascii="Arial" w:hAnsi="Arial" w:cs="Arial"/>
        </w:rPr>
        <w:t>r</w:t>
      </w:r>
      <w:r w:rsidR="00D75313" w:rsidRPr="00D75313">
        <w:rPr>
          <w:rFonts w:ascii="Arial" w:hAnsi="Arial" w:cs="Arial"/>
        </w:rPr>
        <w:t xml:space="preserve"> the loss as it failed</w:t>
      </w:r>
      <w:r w:rsidR="00CE4AA5" w:rsidRPr="00D75313">
        <w:rPr>
          <w:rFonts w:ascii="Arial" w:hAnsi="Arial" w:cs="Arial"/>
        </w:rPr>
        <w:t xml:space="preserve"> th</w:t>
      </w:r>
      <w:r w:rsidR="00D75313" w:rsidRPr="00D75313">
        <w:rPr>
          <w:rFonts w:ascii="Arial" w:hAnsi="Arial" w:cs="Arial"/>
        </w:rPr>
        <w:t xml:space="preserve">e `but for` test </w:t>
      </w:r>
      <w:r w:rsidR="00684B17" w:rsidRPr="00D75313">
        <w:rPr>
          <w:rFonts w:ascii="Arial" w:hAnsi="Arial" w:cs="Arial"/>
        </w:rPr>
        <w:t>(Hersi, 202</w:t>
      </w:r>
      <w:r w:rsidR="00296B4B">
        <w:rPr>
          <w:rFonts w:ascii="Arial" w:hAnsi="Arial" w:cs="Arial"/>
        </w:rPr>
        <w:t>0).</w:t>
      </w:r>
    </w:p>
    <w:p w14:paraId="4DBD4FA9" w14:textId="0719E652" w:rsidR="00366F65" w:rsidRDefault="0053403A">
      <w:pPr>
        <w:rPr>
          <w:rFonts w:ascii="Arial" w:hAnsi="Arial" w:cs="Arial"/>
        </w:rPr>
      </w:pPr>
      <w:r>
        <w:rPr>
          <w:rFonts w:ascii="Arial" w:hAnsi="Arial" w:cs="Arial"/>
        </w:rPr>
        <w:t xml:space="preserve">The duty of care is also an important factor in </w:t>
      </w:r>
      <w:r w:rsidR="00366F65">
        <w:rPr>
          <w:rFonts w:ascii="Arial" w:hAnsi="Arial" w:cs="Arial"/>
        </w:rPr>
        <w:t>establish</w:t>
      </w:r>
      <w:r>
        <w:rPr>
          <w:rFonts w:ascii="Arial" w:hAnsi="Arial" w:cs="Arial"/>
        </w:rPr>
        <w:t>ing</w:t>
      </w:r>
      <w:r w:rsidR="00366F65">
        <w:rPr>
          <w:rFonts w:ascii="Arial" w:hAnsi="Arial" w:cs="Arial"/>
        </w:rPr>
        <w:t xml:space="preserve"> a negligence case, it must be prove</w:t>
      </w:r>
      <w:r>
        <w:rPr>
          <w:rFonts w:ascii="Arial" w:hAnsi="Arial" w:cs="Arial"/>
        </w:rPr>
        <w:t xml:space="preserve">n </w:t>
      </w:r>
      <w:r w:rsidR="00366F65">
        <w:rPr>
          <w:rFonts w:ascii="Arial" w:hAnsi="Arial" w:cs="Arial"/>
        </w:rPr>
        <w:t>that the defendant owed the claimant a duty of care. This can be established by a number of factors such as the neighbouring test which was commonly used in the Donoghue v Stevenson [1932] case</w:t>
      </w:r>
      <w:r>
        <w:rPr>
          <w:rFonts w:ascii="Arial" w:hAnsi="Arial" w:cs="Arial"/>
        </w:rPr>
        <w:t xml:space="preserve">. Where it must have been reasonably foreseeable that the injury or harm was a result of the defendant negligence. It must also be established of whether the injury/ harm to the claimant was through sufficient proximity and also would it be fair, just or reasonable to impose a duty of care. To have a successful case the answer to these questions needs to </w:t>
      </w:r>
      <w:r w:rsidR="008E2BCB">
        <w:rPr>
          <w:rFonts w:ascii="Arial" w:hAnsi="Arial" w:cs="Arial"/>
        </w:rPr>
        <w:t xml:space="preserve">be a </w:t>
      </w:r>
      <w:r>
        <w:rPr>
          <w:rFonts w:ascii="Arial" w:hAnsi="Arial" w:cs="Arial"/>
        </w:rPr>
        <w:t xml:space="preserve">`yes` this will then </w:t>
      </w:r>
      <w:r w:rsidR="00467E3B">
        <w:rPr>
          <w:rFonts w:ascii="Arial" w:hAnsi="Arial" w:cs="Arial"/>
        </w:rPr>
        <w:t xml:space="preserve">prove that there was a duty owed. Again, to establish a duty of care the objective test must have a `yes` to prove a duty of care was owed to the defendant. The objective test involves the question of would a reasonable </w:t>
      </w:r>
      <w:r w:rsidR="00467E3B">
        <w:rPr>
          <w:rFonts w:ascii="Arial" w:hAnsi="Arial" w:cs="Arial"/>
        </w:rPr>
        <w:lastRenderedPageBreak/>
        <w:t xml:space="preserve">person in the defendant position foreseen that the claimant might have been injured? If the answer is </w:t>
      </w:r>
      <w:r w:rsidR="002C0F29">
        <w:rPr>
          <w:rFonts w:ascii="Arial" w:hAnsi="Arial" w:cs="Arial"/>
        </w:rPr>
        <w:t>`</w:t>
      </w:r>
      <w:r w:rsidR="00467E3B">
        <w:rPr>
          <w:rFonts w:ascii="Arial" w:hAnsi="Arial" w:cs="Arial"/>
        </w:rPr>
        <w:t>no</w:t>
      </w:r>
      <w:r w:rsidR="002C0F29">
        <w:rPr>
          <w:rFonts w:ascii="Arial" w:hAnsi="Arial" w:cs="Arial"/>
        </w:rPr>
        <w:t>`</w:t>
      </w:r>
      <w:r w:rsidR="00467E3B">
        <w:rPr>
          <w:rFonts w:ascii="Arial" w:hAnsi="Arial" w:cs="Arial"/>
        </w:rPr>
        <w:t xml:space="preserve"> the defendant does not owe a duty to the claimant (</w:t>
      </w:r>
      <w:r w:rsidR="002C0F29">
        <w:rPr>
          <w:rFonts w:ascii="Arial" w:hAnsi="Arial" w:cs="Arial"/>
        </w:rPr>
        <w:t>Grimsey,2019)</w:t>
      </w:r>
      <w:r w:rsidR="00467E3B">
        <w:rPr>
          <w:rFonts w:ascii="Arial" w:hAnsi="Arial" w:cs="Arial"/>
        </w:rPr>
        <w:t xml:space="preserve">. </w:t>
      </w:r>
    </w:p>
    <w:p w14:paraId="51344CC0" w14:textId="05A6D715" w:rsidR="00467E3B" w:rsidRPr="00366F65" w:rsidRDefault="00467E3B">
      <w:pPr>
        <w:rPr>
          <w:rFonts w:ascii="Arial" w:hAnsi="Arial" w:cs="Arial"/>
        </w:rPr>
      </w:pPr>
      <w:r>
        <w:rPr>
          <w:rFonts w:ascii="Arial" w:hAnsi="Arial" w:cs="Arial"/>
        </w:rPr>
        <w:t xml:space="preserve">To conclude, there are many factors that are in place to help people that have been wronged by another person’s wrongdoing. These are put in place to protect both the claimant and defendant from unfair trail. These factors can also determine if the defendant is liable for causing harm </w:t>
      </w:r>
      <w:r w:rsidR="00942FBF">
        <w:rPr>
          <w:rFonts w:ascii="Arial" w:hAnsi="Arial" w:cs="Arial"/>
        </w:rPr>
        <w:t xml:space="preserve">or loss to the claimant. Causation is vital part of negligence because it helps the judges come to a fair verdict for both parties. </w:t>
      </w:r>
    </w:p>
    <w:p w14:paraId="730073E4" w14:textId="736ADAF3" w:rsidR="008D4A8F" w:rsidRDefault="008D4A8F">
      <w:pPr>
        <w:rPr>
          <w:u w:val="single"/>
        </w:rPr>
      </w:pPr>
    </w:p>
    <w:p w14:paraId="4F4A2547" w14:textId="78BFF6C6" w:rsidR="00EE3A74" w:rsidRDefault="00EE3A74">
      <w:pPr>
        <w:rPr>
          <w:u w:val="single"/>
        </w:rPr>
      </w:pPr>
    </w:p>
    <w:p w14:paraId="776B0110" w14:textId="6611422E" w:rsidR="008D4A8F" w:rsidRDefault="008D4A8F">
      <w:pPr>
        <w:rPr>
          <w:u w:val="single"/>
        </w:rPr>
      </w:pPr>
    </w:p>
    <w:p w14:paraId="3F24DC11" w14:textId="041B4D99" w:rsidR="00773BE8" w:rsidRDefault="00773BE8">
      <w:pPr>
        <w:rPr>
          <w:u w:val="single"/>
        </w:rPr>
      </w:pPr>
    </w:p>
    <w:p w14:paraId="267C9CC2" w14:textId="15967E78" w:rsidR="00773BE8" w:rsidRDefault="00773BE8">
      <w:pPr>
        <w:rPr>
          <w:u w:val="single"/>
        </w:rPr>
      </w:pPr>
    </w:p>
    <w:p w14:paraId="497E79B7" w14:textId="2CC58F83" w:rsidR="00773BE8" w:rsidRDefault="00773BE8">
      <w:pPr>
        <w:rPr>
          <w:u w:val="single"/>
        </w:rPr>
      </w:pPr>
    </w:p>
    <w:p w14:paraId="321F551B" w14:textId="7710AF58" w:rsidR="00684B17" w:rsidRDefault="00684B17">
      <w:pPr>
        <w:rPr>
          <w:u w:val="single"/>
        </w:rPr>
      </w:pPr>
    </w:p>
    <w:p w14:paraId="5623A832" w14:textId="30F86F4A" w:rsidR="00684B17" w:rsidRDefault="00684B17">
      <w:pPr>
        <w:rPr>
          <w:u w:val="single"/>
        </w:rPr>
      </w:pPr>
    </w:p>
    <w:p w14:paraId="45D23DA7" w14:textId="77777777" w:rsidR="00684B17" w:rsidRDefault="00684B17">
      <w:pPr>
        <w:rPr>
          <w:u w:val="single"/>
        </w:rPr>
      </w:pPr>
    </w:p>
    <w:p w14:paraId="4E08673A" w14:textId="1AD87134" w:rsidR="00773BE8" w:rsidRDefault="00773BE8">
      <w:pPr>
        <w:rPr>
          <w:u w:val="single"/>
        </w:rPr>
      </w:pPr>
    </w:p>
    <w:p w14:paraId="4A7FAB50" w14:textId="07A58A38" w:rsidR="00296B4B" w:rsidRDefault="00296B4B">
      <w:pPr>
        <w:rPr>
          <w:u w:val="single"/>
        </w:rPr>
      </w:pPr>
    </w:p>
    <w:p w14:paraId="74B4432F" w14:textId="42824ECC" w:rsidR="002C0F29" w:rsidRDefault="002C0F29">
      <w:pPr>
        <w:rPr>
          <w:u w:val="single"/>
        </w:rPr>
      </w:pPr>
    </w:p>
    <w:p w14:paraId="1C15B12B" w14:textId="073A75EC" w:rsidR="002C0F29" w:rsidRDefault="002C0F29">
      <w:pPr>
        <w:rPr>
          <w:u w:val="single"/>
        </w:rPr>
      </w:pPr>
    </w:p>
    <w:p w14:paraId="68CA9428" w14:textId="3EA2AFED" w:rsidR="002C0F29" w:rsidRDefault="002C0F29">
      <w:pPr>
        <w:rPr>
          <w:u w:val="single"/>
        </w:rPr>
      </w:pPr>
    </w:p>
    <w:p w14:paraId="0243F86F" w14:textId="049E6BEE" w:rsidR="002C0F29" w:rsidRDefault="002C0F29">
      <w:pPr>
        <w:rPr>
          <w:u w:val="single"/>
        </w:rPr>
      </w:pPr>
    </w:p>
    <w:p w14:paraId="4C9F4661" w14:textId="155BDB90" w:rsidR="002C0F29" w:rsidRDefault="002C0F29">
      <w:pPr>
        <w:rPr>
          <w:u w:val="single"/>
        </w:rPr>
      </w:pPr>
    </w:p>
    <w:p w14:paraId="0002CFD3" w14:textId="06EB8116" w:rsidR="002C0F29" w:rsidRDefault="002C0F29">
      <w:pPr>
        <w:rPr>
          <w:u w:val="single"/>
        </w:rPr>
      </w:pPr>
    </w:p>
    <w:p w14:paraId="13C3DBA6" w14:textId="5BCE2885" w:rsidR="002C0F29" w:rsidRDefault="002C0F29">
      <w:pPr>
        <w:rPr>
          <w:u w:val="single"/>
        </w:rPr>
      </w:pPr>
    </w:p>
    <w:p w14:paraId="0EF5666A" w14:textId="776699CA" w:rsidR="002C0F29" w:rsidRDefault="002C0F29">
      <w:pPr>
        <w:rPr>
          <w:u w:val="single"/>
        </w:rPr>
      </w:pPr>
    </w:p>
    <w:p w14:paraId="3626DDCF" w14:textId="0C1818C2" w:rsidR="002C0F29" w:rsidRDefault="002C0F29">
      <w:pPr>
        <w:rPr>
          <w:u w:val="single"/>
        </w:rPr>
      </w:pPr>
    </w:p>
    <w:p w14:paraId="137A73B1" w14:textId="5BB4FD07" w:rsidR="002C0F29" w:rsidRDefault="002C0F29">
      <w:pPr>
        <w:rPr>
          <w:u w:val="single"/>
        </w:rPr>
      </w:pPr>
    </w:p>
    <w:p w14:paraId="495BEA6E" w14:textId="663D6596" w:rsidR="002C0F29" w:rsidRDefault="002C0F29">
      <w:pPr>
        <w:rPr>
          <w:u w:val="single"/>
        </w:rPr>
      </w:pPr>
    </w:p>
    <w:p w14:paraId="5C6F0D59" w14:textId="77777777" w:rsidR="002C0F29" w:rsidRDefault="002C0F29">
      <w:pPr>
        <w:rPr>
          <w:u w:val="single"/>
        </w:rPr>
      </w:pPr>
    </w:p>
    <w:p w14:paraId="1AC8BFEA" w14:textId="77777777" w:rsidR="002C0F29" w:rsidRDefault="002C0F29">
      <w:pPr>
        <w:rPr>
          <w:u w:val="single"/>
        </w:rPr>
      </w:pPr>
    </w:p>
    <w:p w14:paraId="5476E093" w14:textId="77777777" w:rsidR="002C0F29" w:rsidRDefault="002C0F29">
      <w:pPr>
        <w:rPr>
          <w:u w:val="single"/>
        </w:rPr>
      </w:pPr>
    </w:p>
    <w:p w14:paraId="59A73333" w14:textId="77777777" w:rsidR="002C0F29" w:rsidRDefault="002C0F29">
      <w:pPr>
        <w:rPr>
          <w:u w:val="single"/>
        </w:rPr>
      </w:pPr>
    </w:p>
    <w:p w14:paraId="49F7A7C1" w14:textId="0D7EEF18" w:rsidR="00156F92" w:rsidRDefault="00BE745E">
      <w:pPr>
        <w:rPr>
          <w:u w:val="single"/>
        </w:rPr>
      </w:pPr>
      <w:r w:rsidRPr="00BE745E">
        <w:rPr>
          <w:u w:val="single"/>
        </w:rPr>
        <w:lastRenderedPageBreak/>
        <w:t xml:space="preserve">Reference </w:t>
      </w:r>
    </w:p>
    <w:p w14:paraId="45BA5323" w14:textId="4DBDFD85" w:rsidR="007A6EC2" w:rsidRDefault="007A6EC2">
      <w:pPr>
        <w:rPr>
          <w:u w:val="single"/>
        </w:rPr>
      </w:pPr>
      <w:r>
        <w:rPr>
          <w:u w:val="single"/>
        </w:rPr>
        <w:t xml:space="preserve">Arakeri, J (2019) Remoteness of Damages. Available at URL </w:t>
      </w:r>
      <w:r w:rsidRPr="007A6EC2">
        <w:rPr>
          <w:u w:val="single"/>
        </w:rPr>
        <w:t>https://blog.ipleaders.in/remoteness-of-damages/</w:t>
      </w:r>
      <w:r>
        <w:rPr>
          <w:u w:val="single"/>
        </w:rPr>
        <w:t xml:space="preserve"> [Accessed 2</w:t>
      </w:r>
      <w:r w:rsidRPr="007A6EC2">
        <w:rPr>
          <w:u w:val="single"/>
          <w:vertAlign w:val="superscript"/>
        </w:rPr>
        <w:t>nd</w:t>
      </w:r>
      <w:r>
        <w:rPr>
          <w:u w:val="single"/>
        </w:rPr>
        <w:t xml:space="preserve"> November 2020]</w:t>
      </w:r>
    </w:p>
    <w:p w14:paraId="36164679" w14:textId="64D3C577" w:rsidR="00F50D6B" w:rsidRDefault="00F50D6B">
      <w:pPr>
        <w:rPr>
          <w:u w:val="single"/>
        </w:rPr>
      </w:pPr>
      <w:r>
        <w:rPr>
          <w:u w:val="single"/>
        </w:rPr>
        <w:t xml:space="preserve">Champlin, K (2015) Tort Law. Available at URL </w:t>
      </w:r>
      <w:hyperlink r:id="rId5" w:anchor=":~:text=Tort%20law%20refers%20to%20the%20set%20of%20laws,they%20cause%20harm%20to%20another%20person%20or%20entity" w:history="1">
        <w:r w:rsidRPr="00472284">
          <w:rPr>
            <w:rStyle w:val="Hyperlink"/>
          </w:rPr>
          <w:t>https://legaldictionary.net/tort-law/#:~:text=Tort%20law%20refers%20to%20the%20set%20of%20laws,they%20cause%20harm%20to%20another%20person%20or%20entity</w:t>
        </w:r>
      </w:hyperlink>
      <w:r w:rsidRPr="00F50D6B">
        <w:rPr>
          <w:u w:val="single"/>
        </w:rPr>
        <w:t>.</w:t>
      </w:r>
      <w:r>
        <w:rPr>
          <w:u w:val="single"/>
        </w:rPr>
        <w:t xml:space="preserve"> [Accessed; 1</w:t>
      </w:r>
      <w:r w:rsidRPr="00F50D6B">
        <w:rPr>
          <w:u w:val="single"/>
          <w:vertAlign w:val="superscript"/>
        </w:rPr>
        <w:t>st</w:t>
      </w:r>
      <w:r>
        <w:rPr>
          <w:u w:val="single"/>
        </w:rPr>
        <w:t xml:space="preserve"> November 2020] </w:t>
      </w:r>
    </w:p>
    <w:p w14:paraId="4A24517E" w14:textId="40ACBEDE" w:rsidR="002A7851" w:rsidRDefault="002A7851">
      <w:pPr>
        <w:rPr>
          <w:u w:val="single"/>
        </w:rPr>
      </w:pPr>
      <w:r>
        <w:rPr>
          <w:u w:val="single"/>
        </w:rPr>
        <w:t xml:space="preserve">Courits, T (2016) R v Jordan. Available at URL </w:t>
      </w:r>
      <w:hyperlink r:id="rId6" w:history="1">
        <w:r w:rsidRPr="00472284">
          <w:rPr>
            <w:rStyle w:val="Hyperlink"/>
          </w:rPr>
          <w:t>https://www.mccarthy.ca/en/insights/blogs/canadian-era-perspectives/r-v-jordan-supreme-court-canada-dramatically-alters-framework-applicable-right-criminal-trial-within-reasonable-time</w:t>
        </w:r>
      </w:hyperlink>
      <w:r>
        <w:rPr>
          <w:u w:val="single"/>
        </w:rPr>
        <w:t xml:space="preserve"> [Accessed; 1</w:t>
      </w:r>
      <w:r w:rsidRPr="002A7851">
        <w:rPr>
          <w:u w:val="single"/>
          <w:vertAlign w:val="superscript"/>
        </w:rPr>
        <w:t>st</w:t>
      </w:r>
      <w:r>
        <w:rPr>
          <w:u w:val="single"/>
        </w:rPr>
        <w:t xml:space="preserve"> November 2020] </w:t>
      </w:r>
    </w:p>
    <w:p w14:paraId="09C9D2E7" w14:textId="69B6BF19" w:rsidR="00146603" w:rsidRDefault="00146603">
      <w:pPr>
        <w:rPr>
          <w:sz w:val="20"/>
          <w:szCs w:val="20"/>
          <w:u w:val="single"/>
        </w:rPr>
      </w:pPr>
      <w:r w:rsidRPr="009E1FA4">
        <w:rPr>
          <w:sz w:val="20"/>
          <w:szCs w:val="20"/>
          <w:u w:val="single"/>
        </w:rPr>
        <w:t xml:space="preserve">Dinnie, D (2020) Causation, the `but for` test and flexibility. Available at URL </w:t>
      </w:r>
      <w:hyperlink r:id="rId7" w:history="1">
        <w:r w:rsidRPr="009E1FA4">
          <w:rPr>
            <w:rStyle w:val="Hyperlink"/>
            <w:sz w:val="20"/>
            <w:szCs w:val="20"/>
          </w:rPr>
          <w:t>https://www.financialinstitutionslegalsnapshot.com/2020/02/causation-the-but-for-test-and-flexibility/</w:t>
        </w:r>
      </w:hyperlink>
      <w:r w:rsidRPr="009E1FA4">
        <w:rPr>
          <w:sz w:val="20"/>
          <w:szCs w:val="20"/>
          <w:u w:val="single"/>
        </w:rPr>
        <w:t xml:space="preserve"> [ Accessed 20</w:t>
      </w:r>
      <w:r w:rsidRPr="009E1FA4">
        <w:rPr>
          <w:sz w:val="20"/>
          <w:szCs w:val="20"/>
          <w:u w:val="single"/>
          <w:vertAlign w:val="superscript"/>
        </w:rPr>
        <w:t>th</w:t>
      </w:r>
      <w:r w:rsidRPr="009E1FA4">
        <w:rPr>
          <w:sz w:val="20"/>
          <w:szCs w:val="20"/>
          <w:u w:val="single"/>
        </w:rPr>
        <w:t xml:space="preserve"> October 2020]</w:t>
      </w:r>
    </w:p>
    <w:p w14:paraId="22CE115A" w14:textId="6E0F4401" w:rsidR="009E1FA4" w:rsidRPr="009E1FA4" w:rsidRDefault="009E1FA4">
      <w:pPr>
        <w:rPr>
          <w:sz w:val="20"/>
          <w:szCs w:val="20"/>
          <w:u w:val="single"/>
        </w:rPr>
      </w:pPr>
      <w:r>
        <w:rPr>
          <w:sz w:val="20"/>
          <w:szCs w:val="20"/>
          <w:u w:val="single"/>
        </w:rPr>
        <w:t>Draper, D (2017</w:t>
      </w:r>
      <w:r w:rsidR="004F6EEF">
        <w:rPr>
          <w:sz w:val="20"/>
          <w:szCs w:val="20"/>
          <w:u w:val="single"/>
        </w:rPr>
        <w:t>) Remoteness</w:t>
      </w:r>
      <w:r>
        <w:rPr>
          <w:sz w:val="20"/>
          <w:szCs w:val="20"/>
          <w:u w:val="single"/>
        </w:rPr>
        <w:t xml:space="preserve"> of Damage in professional negli</w:t>
      </w:r>
      <w:r w:rsidR="004F6EEF">
        <w:rPr>
          <w:sz w:val="20"/>
          <w:szCs w:val="20"/>
          <w:u w:val="single"/>
        </w:rPr>
        <w:t xml:space="preserve">gence cases. Available at URL </w:t>
      </w:r>
      <w:hyperlink r:id="rId8" w:history="1">
        <w:r w:rsidR="004F6EEF" w:rsidRPr="00472284">
          <w:rPr>
            <w:rStyle w:val="Hyperlink"/>
            <w:sz w:val="20"/>
            <w:szCs w:val="20"/>
          </w:rPr>
          <w:t>https://www.farleys.com/remoteness-damage-professional-negligence-cases/</w:t>
        </w:r>
      </w:hyperlink>
      <w:r w:rsidR="004F6EEF">
        <w:rPr>
          <w:sz w:val="20"/>
          <w:szCs w:val="20"/>
          <w:u w:val="single"/>
        </w:rPr>
        <w:t xml:space="preserve"> [Accessed’ 29</w:t>
      </w:r>
      <w:r w:rsidR="004F6EEF" w:rsidRPr="004F6EEF">
        <w:rPr>
          <w:sz w:val="20"/>
          <w:szCs w:val="20"/>
          <w:u w:val="single"/>
          <w:vertAlign w:val="superscript"/>
        </w:rPr>
        <w:t>th</w:t>
      </w:r>
      <w:r w:rsidR="004F6EEF">
        <w:rPr>
          <w:sz w:val="20"/>
          <w:szCs w:val="20"/>
          <w:u w:val="single"/>
        </w:rPr>
        <w:t xml:space="preserve"> October 2020] </w:t>
      </w:r>
    </w:p>
    <w:p w14:paraId="6BBD2AAD" w14:textId="5B9CF059" w:rsidR="009E1FA4" w:rsidRDefault="009E1FA4">
      <w:pPr>
        <w:rPr>
          <w:sz w:val="20"/>
          <w:szCs w:val="20"/>
          <w:u w:val="single"/>
        </w:rPr>
      </w:pPr>
      <w:r w:rsidRPr="009E1FA4">
        <w:rPr>
          <w:sz w:val="20"/>
          <w:szCs w:val="20"/>
          <w:u w:val="single"/>
        </w:rPr>
        <w:t>Egan-Ronayne, N (2017) Barnett v Chelsea and Kensingt</w:t>
      </w:r>
      <w:r>
        <w:rPr>
          <w:sz w:val="20"/>
          <w:szCs w:val="20"/>
          <w:u w:val="single"/>
        </w:rPr>
        <w:t>o</w:t>
      </w:r>
      <w:r w:rsidRPr="009E1FA4">
        <w:rPr>
          <w:sz w:val="20"/>
          <w:szCs w:val="20"/>
          <w:u w:val="single"/>
        </w:rPr>
        <w:t xml:space="preserve">n Management Committee (1969). Available at URL </w:t>
      </w:r>
      <w:hyperlink r:id="rId9" w:history="1">
        <w:r w:rsidRPr="009E1FA4">
          <w:rPr>
            <w:rStyle w:val="Hyperlink"/>
            <w:sz w:val="20"/>
            <w:szCs w:val="20"/>
          </w:rPr>
          <w:t>https://theblackletter.co.uk/2017/10/25/barnett-v-chelsea-and-kensington-management-committee/</w:t>
        </w:r>
      </w:hyperlink>
      <w:r w:rsidRPr="009E1FA4">
        <w:rPr>
          <w:sz w:val="20"/>
          <w:szCs w:val="20"/>
          <w:u w:val="single"/>
        </w:rPr>
        <w:t xml:space="preserve"> [Accessed; 29</w:t>
      </w:r>
      <w:r w:rsidRPr="009E1FA4">
        <w:rPr>
          <w:sz w:val="20"/>
          <w:szCs w:val="20"/>
          <w:u w:val="single"/>
          <w:vertAlign w:val="superscript"/>
        </w:rPr>
        <w:t>th</w:t>
      </w:r>
      <w:r w:rsidRPr="009E1FA4">
        <w:rPr>
          <w:sz w:val="20"/>
          <w:szCs w:val="20"/>
          <w:u w:val="single"/>
        </w:rPr>
        <w:t xml:space="preserve"> October 2020]</w:t>
      </w:r>
    </w:p>
    <w:p w14:paraId="2EBD6A83" w14:textId="58BE1F26" w:rsidR="00684B17" w:rsidRDefault="00684B17">
      <w:pPr>
        <w:rPr>
          <w:sz w:val="20"/>
          <w:szCs w:val="20"/>
          <w:u w:val="single"/>
        </w:rPr>
      </w:pPr>
      <w:r>
        <w:rPr>
          <w:sz w:val="20"/>
          <w:szCs w:val="20"/>
          <w:u w:val="single"/>
        </w:rPr>
        <w:t xml:space="preserve">Hersi , A (2020) Gregg v Scott [2005] Available at URL </w:t>
      </w:r>
      <w:hyperlink r:id="rId10" w:history="1">
        <w:r w:rsidRPr="00EF24F9">
          <w:rPr>
            <w:rStyle w:val="Hyperlink"/>
            <w:sz w:val="20"/>
            <w:szCs w:val="20"/>
          </w:rPr>
          <w:t>https://www.explore-law.com/gre</w:t>
        </w:r>
        <w:r w:rsidRPr="00EF24F9">
          <w:rPr>
            <w:rStyle w:val="Hyperlink"/>
            <w:sz w:val="20"/>
            <w:szCs w:val="20"/>
          </w:rPr>
          <w:t>g</w:t>
        </w:r>
        <w:r w:rsidRPr="00EF24F9">
          <w:rPr>
            <w:rStyle w:val="Hyperlink"/>
            <w:sz w:val="20"/>
            <w:szCs w:val="20"/>
          </w:rPr>
          <w:t>g-v-scott/</w:t>
        </w:r>
      </w:hyperlink>
      <w:r>
        <w:rPr>
          <w:sz w:val="20"/>
          <w:szCs w:val="20"/>
          <w:u w:val="single"/>
        </w:rPr>
        <w:t xml:space="preserve"> [Accessed; 2</w:t>
      </w:r>
      <w:r w:rsidRPr="00684B17">
        <w:rPr>
          <w:sz w:val="20"/>
          <w:szCs w:val="20"/>
          <w:u w:val="single"/>
          <w:vertAlign w:val="superscript"/>
        </w:rPr>
        <w:t>nd</w:t>
      </w:r>
      <w:r>
        <w:rPr>
          <w:sz w:val="20"/>
          <w:szCs w:val="20"/>
          <w:u w:val="single"/>
        </w:rPr>
        <w:t xml:space="preserve"> of November 2020]</w:t>
      </w:r>
    </w:p>
    <w:p w14:paraId="10BDE341" w14:textId="16607541" w:rsidR="002C0F29" w:rsidRPr="009E1FA4" w:rsidRDefault="002C0F29">
      <w:pPr>
        <w:rPr>
          <w:sz w:val="20"/>
          <w:szCs w:val="20"/>
          <w:u w:val="single"/>
        </w:rPr>
      </w:pPr>
      <w:r>
        <w:rPr>
          <w:sz w:val="20"/>
          <w:szCs w:val="20"/>
          <w:u w:val="single"/>
        </w:rPr>
        <w:t xml:space="preserve">Grimsey, </w:t>
      </w:r>
      <w:proofErr w:type="gramStart"/>
      <w:r>
        <w:rPr>
          <w:sz w:val="20"/>
          <w:szCs w:val="20"/>
          <w:u w:val="single"/>
        </w:rPr>
        <w:t>A.E.(</w:t>
      </w:r>
      <w:proofErr w:type="gramEnd"/>
      <w:r>
        <w:rPr>
          <w:sz w:val="20"/>
          <w:szCs w:val="20"/>
          <w:u w:val="single"/>
        </w:rPr>
        <w:t xml:space="preserve">2019) Overview of duty of care, standard of care, Damages and Causation. Available at URL </w:t>
      </w:r>
      <w:hyperlink r:id="rId11" w:history="1">
        <w:r w:rsidRPr="00EF24F9">
          <w:rPr>
            <w:rStyle w:val="Hyperlink"/>
            <w:sz w:val="20"/>
            <w:szCs w:val="20"/>
          </w:rPr>
          <w:t>https://weirbowen.com/news/overview-of-duty-of-care-standard-of-care-damages-and-causation/</w:t>
        </w:r>
      </w:hyperlink>
      <w:r>
        <w:rPr>
          <w:sz w:val="20"/>
          <w:szCs w:val="20"/>
          <w:u w:val="single"/>
        </w:rPr>
        <w:t xml:space="preserve"> [</w:t>
      </w:r>
      <w:proofErr w:type="spellStart"/>
      <w:r>
        <w:rPr>
          <w:sz w:val="20"/>
          <w:szCs w:val="20"/>
          <w:u w:val="single"/>
        </w:rPr>
        <w:t>Accessd</w:t>
      </w:r>
      <w:proofErr w:type="spellEnd"/>
      <w:r>
        <w:rPr>
          <w:sz w:val="20"/>
          <w:szCs w:val="20"/>
          <w:u w:val="single"/>
        </w:rPr>
        <w:t xml:space="preserve"> 3</w:t>
      </w:r>
      <w:r w:rsidRPr="002C0F29">
        <w:rPr>
          <w:sz w:val="20"/>
          <w:szCs w:val="20"/>
          <w:u w:val="single"/>
          <w:vertAlign w:val="superscript"/>
        </w:rPr>
        <w:t>rd</w:t>
      </w:r>
      <w:r>
        <w:rPr>
          <w:sz w:val="20"/>
          <w:szCs w:val="20"/>
          <w:u w:val="single"/>
        </w:rPr>
        <w:t xml:space="preserve"> November 2020] </w:t>
      </w:r>
    </w:p>
    <w:p w14:paraId="15CDB012" w14:textId="6D55465F" w:rsidR="00BE745E" w:rsidRDefault="00BE745E">
      <w:pPr>
        <w:rPr>
          <w:sz w:val="20"/>
          <w:szCs w:val="20"/>
          <w:u w:val="single"/>
        </w:rPr>
      </w:pPr>
      <w:r w:rsidRPr="009E1FA4">
        <w:rPr>
          <w:sz w:val="20"/>
          <w:szCs w:val="20"/>
          <w:u w:val="single"/>
        </w:rPr>
        <w:t>LexisNexis (2020)</w:t>
      </w:r>
      <w:r w:rsidR="003A732B" w:rsidRPr="009E1FA4">
        <w:rPr>
          <w:sz w:val="20"/>
          <w:szCs w:val="20"/>
          <w:u w:val="single"/>
        </w:rPr>
        <w:t xml:space="preserve"> Causation and remoteness in professional negligence claims. Available at URL </w:t>
      </w:r>
      <w:hyperlink r:id="rId12" w:history="1">
        <w:r w:rsidR="003A732B" w:rsidRPr="009E1FA4">
          <w:rPr>
            <w:rStyle w:val="Hyperlink"/>
            <w:sz w:val="20"/>
            <w:szCs w:val="20"/>
          </w:rPr>
          <w:t>https://www.lexisnexis.co.uk/legal/guidance/causation-remoteness-in-professional-negligence-claims</w:t>
        </w:r>
      </w:hyperlink>
      <w:r w:rsidR="003A732B" w:rsidRPr="009E1FA4">
        <w:rPr>
          <w:sz w:val="20"/>
          <w:szCs w:val="20"/>
          <w:u w:val="single"/>
        </w:rPr>
        <w:t xml:space="preserve"> </w:t>
      </w:r>
      <w:r w:rsidR="00146603" w:rsidRPr="009E1FA4">
        <w:rPr>
          <w:sz w:val="20"/>
          <w:szCs w:val="20"/>
          <w:u w:val="single"/>
        </w:rPr>
        <w:t>[Accessed ‘ 29</w:t>
      </w:r>
      <w:r w:rsidR="00146603" w:rsidRPr="009E1FA4">
        <w:rPr>
          <w:sz w:val="20"/>
          <w:szCs w:val="20"/>
          <w:u w:val="single"/>
          <w:vertAlign w:val="superscript"/>
        </w:rPr>
        <w:t>th</w:t>
      </w:r>
      <w:r w:rsidR="00146603" w:rsidRPr="009E1FA4">
        <w:rPr>
          <w:sz w:val="20"/>
          <w:szCs w:val="20"/>
          <w:u w:val="single"/>
        </w:rPr>
        <w:t xml:space="preserve"> October 2020]</w:t>
      </w:r>
    </w:p>
    <w:p w14:paraId="7B799641" w14:textId="02798062" w:rsidR="004716B5" w:rsidRDefault="004716B5">
      <w:pPr>
        <w:rPr>
          <w:sz w:val="20"/>
          <w:szCs w:val="20"/>
          <w:u w:val="single"/>
        </w:rPr>
      </w:pPr>
      <w:r>
        <w:rPr>
          <w:sz w:val="20"/>
          <w:szCs w:val="20"/>
          <w:u w:val="single"/>
        </w:rPr>
        <w:t>Lovells, H (2017) Novus actus interveniens. Available at URL</w:t>
      </w:r>
      <w:r w:rsidR="009659A7">
        <w:rPr>
          <w:sz w:val="20"/>
          <w:szCs w:val="20"/>
          <w:u w:val="single"/>
        </w:rPr>
        <w:t xml:space="preserve"> </w:t>
      </w:r>
      <w:hyperlink r:id="rId13" w:history="1">
        <w:r w:rsidR="009659A7" w:rsidRPr="00472284">
          <w:rPr>
            <w:rStyle w:val="Hyperlink"/>
            <w:sz w:val="20"/>
            <w:szCs w:val="20"/>
          </w:rPr>
          <w:t>https://www.hoganlovells.com/en/publications/novus-actus-interveniens</w:t>
        </w:r>
      </w:hyperlink>
      <w:r>
        <w:rPr>
          <w:sz w:val="20"/>
          <w:szCs w:val="20"/>
          <w:u w:val="single"/>
        </w:rPr>
        <w:t xml:space="preserve">  [Accessed; 1</w:t>
      </w:r>
      <w:r w:rsidRPr="004716B5">
        <w:rPr>
          <w:sz w:val="20"/>
          <w:szCs w:val="20"/>
          <w:u w:val="single"/>
          <w:vertAlign w:val="superscript"/>
        </w:rPr>
        <w:t>st</w:t>
      </w:r>
      <w:r>
        <w:rPr>
          <w:sz w:val="20"/>
          <w:szCs w:val="20"/>
          <w:u w:val="single"/>
        </w:rPr>
        <w:t xml:space="preserve"> November 2020]</w:t>
      </w:r>
    </w:p>
    <w:p w14:paraId="2A06FF78" w14:textId="1E2BF339" w:rsidR="009659A7" w:rsidRDefault="009659A7">
      <w:pPr>
        <w:rPr>
          <w:sz w:val="20"/>
          <w:szCs w:val="20"/>
          <w:u w:val="single"/>
        </w:rPr>
      </w:pPr>
      <w:r>
        <w:rPr>
          <w:sz w:val="20"/>
          <w:szCs w:val="20"/>
          <w:u w:val="single"/>
        </w:rPr>
        <w:t xml:space="preserve">Lucid Law (2017) R #v Cheshire (1991) 1 WLR 844. Available at URL </w:t>
      </w:r>
      <w:hyperlink r:id="rId14" w:history="1">
        <w:r w:rsidRPr="00472284">
          <w:rPr>
            <w:rStyle w:val="Hyperlink"/>
            <w:sz w:val="20"/>
            <w:szCs w:val="20"/>
          </w:rPr>
          <w:t>https://lucidlaw.co.uk/criminal-law/legal-doctrines/causation/r-v-cheshire/</w:t>
        </w:r>
      </w:hyperlink>
      <w:r>
        <w:rPr>
          <w:sz w:val="20"/>
          <w:szCs w:val="20"/>
          <w:u w:val="single"/>
        </w:rPr>
        <w:t xml:space="preserve"> [Accessed’ 1</w:t>
      </w:r>
      <w:r w:rsidRPr="009659A7">
        <w:rPr>
          <w:sz w:val="20"/>
          <w:szCs w:val="20"/>
          <w:u w:val="single"/>
          <w:vertAlign w:val="superscript"/>
        </w:rPr>
        <w:t>st</w:t>
      </w:r>
      <w:r>
        <w:rPr>
          <w:sz w:val="20"/>
          <w:szCs w:val="20"/>
          <w:u w:val="single"/>
        </w:rPr>
        <w:t xml:space="preserve"> November 2020]</w:t>
      </w:r>
    </w:p>
    <w:p w14:paraId="171E888F" w14:textId="6EB5DB25" w:rsidR="008C28CF" w:rsidRDefault="008C28CF">
      <w:pPr>
        <w:rPr>
          <w:sz w:val="20"/>
          <w:szCs w:val="20"/>
          <w:u w:val="single"/>
        </w:rPr>
      </w:pPr>
      <w:r>
        <w:rPr>
          <w:sz w:val="20"/>
          <w:szCs w:val="20"/>
          <w:u w:val="single"/>
        </w:rPr>
        <w:t xml:space="preserve">McMahon, B.M.E and </w:t>
      </w:r>
      <w:proofErr w:type="spellStart"/>
      <w:r>
        <w:rPr>
          <w:sz w:val="20"/>
          <w:szCs w:val="20"/>
          <w:u w:val="single"/>
        </w:rPr>
        <w:t>Binchy,W</w:t>
      </w:r>
      <w:proofErr w:type="spellEnd"/>
      <w:r>
        <w:rPr>
          <w:sz w:val="20"/>
          <w:szCs w:val="20"/>
          <w:u w:val="single"/>
        </w:rPr>
        <w:t xml:space="preserve"> (2013) Factual and Legal Causatio</w:t>
      </w:r>
      <w:r w:rsidR="007E1BBB">
        <w:rPr>
          <w:sz w:val="20"/>
          <w:szCs w:val="20"/>
          <w:u w:val="single"/>
        </w:rPr>
        <w:t>n (4</w:t>
      </w:r>
      <w:r w:rsidR="007E1BBB" w:rsidRPr="007E1BBB">
        <w:rPr>
          <w:sz w:val="20"/>
          <w:szCs w:val="20"/>
          <w:u w:val="single"/>
          <w:vertAlign w:val="superscript"/>
        </w:rPr>
        <w:t>th</w:t>
      </w:r>
      <w:r w:rsidR="007E1BBB">
        <w:rPr>
          <w:sz w:val="20"/>
          <w:szCs w:val="20"/>
          <w:u w:val="single"/>
        </w:rPr>
        <w:t xml:space="preserve"> </w:t>
      </w:r>
      <w:proofErr w:type="spellStart"/>
      <w:r w:rsidR="007E1BBB">
        <w:rPr>
          <w:sz w:val="20"/>
          <w:szCs w:val="20"/>
          <w:u w:val="single"/>
        </w:rPr>
        <w:t>edn</w:t>
      </w:r>
      <w:proofErr w:type="spellEnd"/>
      <w:r w:rsidR="007E1BBB">
        <w:rPr>
          <w:sz w:val="20"/>
          <w:szCs w:val="20"/>
          <w:u w:val="single"/>
        </w:rPr>
        <w:t xml:space="preserve">) Available at URL </w:t>
      </w:r>
      <w:hyperlink r:id="rId15" w:history="1">
        <w:r w:rsidR="007E1BBB" w:rsidRPr="00EF24F9">
          <w:rPr>
            <w:rStyle w:val="Hyperlink"/>
            <w:sz w:val="20"/>
            <w:szCs w:val="20"/>
          </w:rPr>
          <w:t>https://www.bloomsburyprofessionalonline.com/view/law-of-torts/TORTS4-ch02-UID4.xml</w:t>
        </w:r>
      </w:hyperlink>
      <w:r w:rsidR="007E1BBB">
        <w:rPr>
          <w:sz w:val="20"/>
          <w:szCs w:val="20"/>
          <w:u w:val="single"/>
        </w:rPr>
        <w:t xml:space="preserve"> [Accessed 2nd November 2020]</w:t>
      </w:r>
    </w:p>
    <w:p w14:paraId="51A503A4" w14:textId="3205D3EE" w:rsidR="008E2BCB" w:rsidRDefault="008E2BCB">
      <w:pPr>
        <w:rPr>
          <w:sz w:val="20"/>
          <w:szCs w:val="20"/>
          <w:u w:val="single"/>
        </w:rPr>
      </w:pPr>
      <w:r>
        <w:rPr>
          <w:sz w:val="20"/>
          <w:szCs w:val="20"/>
          <w:u w:val="single"/>
        </w:rPr>
        <w:t xml:space="preserve">Merriam- Webster (2020) Chain of Causation. Available at URL </w:t>
      </w:r>
      <w:hyperlink r:id="rId16" w:history="1">
        <w:r w:rsidRPr="00EF24F9">
          <w:rPr>
            <w:rStyle w:val="Hyperlink"/>
            <w:sz w:val="20"/>
            <w:szCs w:val="20"/>
          </w:rPr>
          <w:t>https://www.bing.com/search?q=chain+of+causaton&amp;src=IE-TopResult&amp;FORM=IETR02&amp;pc=WCUG&amp;conversationid=</w:t>
        </w:r>
      </w:hyperlink>
      <w:r>
        <w:rPr>
          <w:sz w:val="20"/>
          <w:szCs w:val="20"/>
          <w:u w:val="single"/>
        </w:rPr>
        <w:t xml:space="preserve"> [Accessed;3</w:t>
      </w:r>
      <w:r w:rsidRPr="008E2BCB">
        <w:rPr>
          <w:sz w:val="20"/>
          <w:szCs w:val="20"/>
          <w:u w:val="single"/>
          <w:vertAlign w:val="superscript"/>
        </w:rPr>
        <w:t>rd</w:t>
      </w:r>
      <w:r>
        <w:rPr>
          <w:sz w:val="20"/>
          <w:szCs w:val="20"/>
          <w:u w:val="single"/>
        </w:rPr>
        <w:t xml:space="preserve"> November 2020]</w:t>
      </w:r>
    </w:p>
    <w:p w14:paraId="1E7DC6E8" w14:textId="148AF4F9" w:rsidR="00616DCC" w:rsidRDefault="00616DCC">
      <w:pPr>
        <w:rPr>
          <w:sz w:val="20"/>
          <w:szCs w:val="20"/>
          <w:u w:val="single"/>
        </w:rPr>
      </w:pPr>
      <w:r>
        <w:rPr>
          <w:sz w:val="20"/>
          <w:szCs w:val="20"/>
          <w:u w:val="single"/>
        </w:rPr>
        <w:t xml:space="preserve">Pam, N (2013) Multiple causation </w:t>
      </w:r>
      <w:r w:rsidR="00BD2578">
        <w:rPr>
          <w:sz w:val="20"/>
          <w:szCs w:val="20"/>
          <w:u w:val="single"/>
        </w:rPr>
        <w:t xml:space="preserve">available at URL </w:t>
      </w:r>
      <w:hyperlink r:id="rId17" w:history="1">
        <w:r w:rsidR="00BD2578" w:rsidRPr="00EF24F9">
          <w:rPr>
            <w:rStyle w:val="Hyperlink"/>
            <w:sz w:val="20"/>
            <w:szCs w:val="20"/>
          </w:rPr>
          <w:t>https://psychologydictionary.org/multiple-causation/#:~:text=MULTIPLE%20CAUSATION%3A%20%22The%20concept%20of%20multiple%20causation%20argues,likely%20to%20be%20the%20result%20of%20multiple%20causes.%22</w:t>
        </w:r>
      </w:hyperlink>
      <w:r w:rsidR="00BD2578">
        <w:rPr>
          <w:sz w:val="20"/>
          <w:szCs w:val="20"/>
          <w:u w:val="single"/>
        </w:rPr>
        <w:t xml:space="preserve"> [Accessed; 3</w:t>
      </w:r>
      <w:r w:rsidR="00BD2578" w:rsidRPr="00BD2578">
        <w:rPr>
          <w:sz w:val="20"/>
          <w:szCs w:val="20"/>
          <w:u w:val="single"/>
          <w:vertAlign w:val="superscript"/>
        </w:rPr>
        <w:t>rd</w:t>
      </w:r>
      <w:r w:rsidR="00BD2578">
        <w:rPr>
          <w:sz w:val="20"/>
          <w:szCs w:val="20"/>
          <w:u w:val="single"/>
        </w:rPr>
        <w:t xml:space="preserve"> November 2020]</w:t>
      </w:r>
    </w:p>
    <w:p w14:paraId="77DFB5E2" w14:textId="6B2217C0" w:rsidR="00DB4808" w:rsidRDefault="00DB4808">
      <w:pPr>
        <w:rPr>
          <w:sz w:val="20"/>
          <w:szCs w:val="20"/>
          <w:u w:val="single"/>
        </w:rPr>
      </w:pPr>
      <w:r>
        <w:rPr>
          <w:sz w:val="20"/>
          <w:szCs w:val="20"/>
          <w:u w:val="single"/>
        </w:rPr>
        <w:t xml:space="preserve">Parliament (2007) </w:t>
      </w:r>
      <w:r w:rsidR="0083793A">
        <w:rPr>
          <w:sz w:val="20"/>
          <w:szCs w:val="20"/>
          <w:u w:val="single"/>
        </w:rPr>
        <w:t xml:space="preserve">Judgements- R v. Kennedy (on appeal from the court of appeal). Available at URL </w:t>
      </w:r>
      <w:hyperlink r:id="rId18" w:history="1">
        <w:r w:rsidR="0083793A" w:rsidRPr="00472284">
          <w:rPr>
            <w:rStyle w:val="Hyperlink"/>
            <w:sz w:val="20"/>
            <w:szCs w:val="20"/>
          </w:rPr>
          <w:t>https://publications.parliament.uk/pa/ld200607/ldjudgmt/jd071017/kenny-1.htm</w:t>
        </w:r>
      </w:hyperlink>
      <w:r w:rsidR="0083793A">
        <w:rPr>
          <w:sz w:val="20"/>
          <w:szCs w:val="20"/>
          <w:u w:val="single"/>
        </w:rPr>
        <w:t xml:space="preserve"> [Accessed; 1 November 2020</w:t>
      </w:r>
      <w:r w:rsidR="00E26645">
        <w:rPr>
          <w:sz w:val="20"/>
          <w:szCs w:val="20"/>
          <w:u w:val="single"/>
        </w:rPr>
        <w:t xml:space="preserve"> </w:t>
      </w:r>
    </w:p>
    <w:p w14:paraId="2CB14F2F" w14:textId="2F1ACE88" w:rsidR="00E26645" w:rsidRDefault="00E26645">
      <w:pPr>
        <w:rPr>
          <w:sz w:val="20"/>
          <w:szCs w:val="20"/>
          <w:u w:val="single"/>
        </w:rPr>
      </w:pPr>
      <w:r>
        <w:rPr>
          <w:sz w:val="20"/>
          <w:szCs w:val="20"/>
          <w:u w:val="single"/>
        </w:rPr>
        <w:lastRenderedPageBreak/>
        <w:t xml:space="preserve">Poortvliet, K (2019) Causation; Legal definitions &amp; Examples. Available at URL  </w:t>
      </w:r>
      <w:r>
        <w:rPr>
          <w:sz w:val="20"/>
          <w:szCs w:val="20"/>
          <w:u w:val="single"/>
        </w:rPr>
        <w:t xml:space="preserve">] </w:t>
      </w:r>
      <w:hyperlink r:id="rId19" w:history="1">
        <w:r w:rsidRPr="00EF24F9">
          <w:rPr>
            <w:rStyle w:val="Hyperlink"/>
            <w:sz w:val="20"/>
            <w:szCs w:val="20"/>
          </w:rPr>
          <w:t>https://study.com/academy/lesson/causation-legal-definitions-examples.html</w:t>
        </w:r>
      </w:hyperlink>
      <w:r>
        <w:rPr>
          <w:sz w:val="20"/>
          <w:szCs w:val="20"/>
          <w:u w:val="single"/>
        </w:rPr>
        <w:t xml:space="preserve"> [Accessed; 2</w:t>
      </w:r>
      <w:r w:rsidRPr="00E26645">
        <w:rPr>
          <w:sz w:val="20"/>
          <w:szCs w:val="20"/>
          <w:u w:val="single"/>
          <w:vertAlign w:val="superscript"/>
        </w:rPr>
        <w:t>nd</w:t>
      </w:r>
      <w:r>
        <w:rPr>
          <w:sz w:val="20"/>
          <w:szCs w:val="20"/>
          <w:u w:val="single"/>
        </w:rPr>
        <w:t xml:space="preserve"> November 2020] </w:t>
      </w:r>
    </w:p>
    <w:p w14:paraId="32720AA7" w14:textId="70177D97" w:rsidR="007E1BBB" w:rsidRDefault="007E1BBB">
      <w:pPr>
        <w:rPr>
          <w:sz w:val="20"/>
          <w:szCs w:val="20"/>
          <w:u w:val="single"/>
        </w:rPr>
      </w:pPr>
      <w:proofErr w:type="spellStart"/>
      <w:r>
        <w:rPr>
          <w:sz w:val="20"/>
          <w:szCs w:val="20"/>
          <w:u w:val="single"/>
        </w:rPr>
        <w:t>WebStroke</w:t>
      </w:r>
      <w:proofErr w:type="spellEnd"/>
      <w:r>
        <w:rPr>
          <w:sz w:val="20"/>
          <w:szCs w:val="20"/>
          <w:u w:val="single"/>
        </w:rPr>
        <w:t xml:space="preserve"> (2017) The Wagon Mound (No,1) [1961] Available at URL </w:t>
      </w:r>
      <w:hyperlink r:id="rId20" w:history="1">
        <w:r w:rsidRPr="00EF24F9">
          <w:rPr>
            <w:rStyle w:val="Hyperlink"/>
            <w:sz w:val="20"/>
            <w:szCs w:val="20"/>
          </w:rPr>
          <w:t>https://webstroke.co.uk/law/the-wagon-mound-no-1-1961</w:t>
        </w:r>
      </w:hyperlink>
      <w:r>
        <w:rPr>
          <w:sz w:val="20"/>
          <w:szCs w:val="20"/>
          <w:u w:val="single"/>
        </w:rPr>
        <w:t>. [Accessed; 2</w:t>
      </w:r>
      <w:r w:rsidRPr="007E1BBB">
        <w:rPr>
          <w:sz w:val="20"/>
          <w:szCs w:val="20"/>
          <w:u w:val="single"/>
          <w:vertAlign w:val="superscript"/>
        </w:rPr>
        <w:t>nd</w:t>
      </w:r>
      <w:r>
        <w:rPr>
          <w:sz w:val="20"/>
          <w:szCs w:val="20"/>
          <w:u w:val="single"/>
        </w:rPr>
        <w:t xml:space="preserve"> November 2020] </w:t>
      </w:r>
    </w:p>
    <w:p w14:paraId="31A31C17" w14:textId="684AE52B" w:rsidR="00D83522" w:rsidRPr="009E1FA4" w:rsidRDefault="00D83522">
      <w:pPr>
        <w:rPr>
          <w:sz w:val="20"/>
          <w:szCs w:val="20"/>
          <w:u w:val="single"/>
        </w:rPr>
      </w:pPr>
      <w:r>
        <w:rPr>
          <w:sz w:val="20"/>
          <w:szCs w:val="20"/>
          <w:u w:val="single"/>
        </w:rPr>
        <w:t>Weslowski, K (2020) Causation and concurrent causes</w:t>
      </w:r>
      <w:r w:rsidR="00EE3A74">
        <w:rPr>
          <w:sz w:val="20"/>
          <w:szCs w:val="20"/>
          <w:u w:val="single"/>
        </w:rPr>
        <w:t xml:space="preserve"> of business interruption involving COVID-19</w:t>
      </w:r>
      <w:r>
        <w:rPr>
          <w:sz w:val="20"/>
          <w:szCs w:val="20"/>
          <w:u w:val="single"/>
        </w:rPr>
        <w:t xml:space="preserve">. Available at URL </w:t>
      </w:r>
      <w:hyperlink r:id="rId21" w:history="1">
        <w:r w:rsidR="00EE3A74" w:rsidRPr="00472284">
          <w:rPr>
            <w:rStyle w:val="Hyperlink"/>
            <w:sz w:val="20"/>
            <w:szCs w:val="20"/>
          </w:rPr>
          <w:t>https://www.millerthomson.com/en/publications/articles/causation-and-concurrent-causes-of-business-interruption-involving-covid-19/</w:t>
        </w:r>
      </w:hyperlink>
      <w:r w:rsidR="00EE3A74">
        <w:rPr>
          <w:sz w:val="20"/>
          <w:szCs w:val="20"/>
          <w:u w:val="single"/>
        </w:rPr>
        <w:t xml:space="preserve"> </w:t>
      </w:r>
    </w:p>
    <w:sectPr w:rsidR="00D83522" w:rsidRPr="009E1F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F92"/>
    <w:rsid w:val="000C7497"/>
    <w:rsid w:val="000D511A"/>
    <w:rsid w:val="001253CE"/>
    <w:rsid w:val="0014515B"/>
    <w:rsid w:val="00146603"/>
    <w:rsid w:val="00156F92"/>
    <w:rsid w:val="0020575A"/>
    <w:rsid w:val="002651EB"/>
    <w:rsid w:val="00296B4B"/>
    <w:rsid w:val="002A7851"/>
    <w:rsid w:val="002C0F29"/>
    <w:rsid w:val="002D4C89"/>
    <w:rsid w:val="00366F65"/>
    <w:rsid w:val="003A732B"/>
    <w:rsid w:val="003D41A0"/>
    <w:rsid w:val="003E299C"/>
    <w:rsid w:val="00457892"/>
    <w:rsid w:val="00463232"/>
    <w:rsid w:val="004637E4"/>
    <w:rsid w:val="00467E3B"/>
    <w:rsid w:val="004716B5"/>
    <w:rsid w:val="0047228E"/>
    <w:rsid w:val="004B121B"/>
    <w:rsid w:val="004F6EEF"/>
    <w:rsid w:val="00524A95"/>
    <w:rsid w:val="0053403A"/>
    <w:rsid w:val="005E5660"/>
    <w:rsid w:val="005F1087"/>
    <w:rsid w:val="00616DCC"/>
    <w:rsid w:val="00684B17"/>
    <w:rsid w:val="00712695"/>
    <w:rsid w:val="007146D4"/>
    <w:rsid w:val="00744787"/>
    <w:rsid w:val="00773BE8"/>
    <w:rsid w:val="00775329"/>
    <w:rsid w:val="00790D0A"/>
    <w:rsid w:val="007A506C"/>
    <w:rsid w:val="007A6EC2"/>
    <w:rsid w:val="007E1BBB"/>
    <w:rsid w:val="0081359E"/>
    <w:rsid w:val="008204D5"/>
    <w:rsid w:val="008262AC"/>
    <w:rsid w:val="0083793A"/>
    <w:rsid w:val="00857AB6"/>
    <w:rsid w:val="00871926"/>
    <w:rsid w:val="008C28CF"/>
    <w:rsid w:val="008D4A8F"/>
    <w:rsid w:val="008E2BCB"/>
    <w:rsid w:val="008F6FF9"/>
    <w:rsid w:val="00901B6B"/>
    <w:rsid w:val="00913E3B"/>
    <w:rsid w:val="00923871"/>
    <w:rsid w:val="0093718B"/>
    <w:rsid w:val="00942FBF"/>
    <w:rsid w:val="00944DE3"/>
    <w:rsid w:val="00951C0F"/>
    <w:rsid w:val="009659A7"/>
    <w:rsid w:val="00972294"/>
    <w:rsid w:val="009E1FA4"/>
    <w:rsid w:val="009E3706"/>
    <w:rsid w:val="00A70D7B"/>
    <w:rsid w:val="00AC36AA"/>
    <w:rsid w:val="00B04DCF"/>
    <w:rsid w:val="00B34BEF"/>
    <w:rsid w:val="00B80AB9"/>
    <w:rsid w:val="00BA20C9"/>
    <w:rsid w:val="00BA614E"/>
    <w:rsid w:val="00BB795A"/>
    <w:rsid w:val="00BD2578"/>
    <w:rsid w:val="00BE745E"/>
    <w:rsid w:val="00C1069D"/>
    <w:rsid w:val="00C122F5"/>
    <w:rsid w:val="00C218E4"/>
    <w:rsid w:val="00C56BDD"/>
    <w:rsid w:val="00C829F9"/>
    <w:rsid w:val="00C961D8"/>
    <w:rsid w:val="00CE4AA5"/>
    <w:rsid w:val="00D6508F"/>
    <w:rsid w:val="00D75313"/>
    <w:rsid w:val="00D83522"/>
    <w:rsid w:val="00D91D05"/>
    <w:rsid w:val="00DA0388"/>
    <w:rsid w:val="00DA438E"/>
    <w:rsid w:val="00DB4808"/>
    <w:rsid w:val="00DE09B2"/>
    <w:rsid w:val="00E17FD9"/>
    <w:rsid w:val="00E26645"/>
    <w:rsid w:val="00E65527"/>
    <w:rsid w:val="00E85B9D"/>
    <w:rsid w:val="00E949D3"/>
    <w:rsid w:val="00EB1324"/>
    <w:rsid w:val="00EE3A74"/>
    <w:rsid w:val="00F50D6B"/>
    <w:rsid w:val="00F82B20"/>
    <w:rsid w:val="00F92C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53389"/>
  <w15:chartTrackingRefBased/>
  <w15:docId w15:val="{510B3407-FC17-4259-B1F5-7D557D2398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732B"/>
    <w:rPr>
      <w:color w:val="0563C1" w:themeColor="hyperlink"/>
      <w:u w:val="single"/>
    </w:rPr>
  </w:style>
  <w:style w:type="character" w:styleId="UnresolvedMention">
    <w:name w:val="Unresolved Mention"/>
    <w:basedOn w:val="DefaultParagraphFont"/>
    <w:uiPriority w:val="99"/>
    <w:semiHidden/>
    <w:unhideWhenUsed/>
    <w:rsid w:val="003A732B"/>
    <w:rPr>
      <w:color w:val="605E5C"/>
      <w:shd w:val="clear" w:color="auto" w:fill="E1DFDD"/>
    </w:rPr>
  </w:style>
  <w:style w:type="character" w:styleId="FollowedHyperlink">
    <w:name w:val="FollowedHyperlink"/>
    <w:basedOn w:val="DefaultParagraphFont"/>
    <w:uiPriority w:val="99"/>
    <w:semiHidden/>
    <w:unhideWhenUsed/>
    <w:rsid w:val="00684B1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rleys.com/remoteness-damage-professional-negligence-cases/" TargetMode="External"/><Relationship Id="rId13" Type="http://schemas.openxmlformats.org/officeDocument/2006/relationships/hyperlink" Target="https://www.hoganlovells.com/en/publications/novus-actus-interveniens" TargetMode="External"/><Relationship Id="rId18" Type="http://schemas.openxmlformats.org/officeDocument/2006/relationships/hyperlink" Target="https://publications.parliament.uk/pa/ld200607/ldjudgmt/jd071017/kenny-1.htm" TargetMode="External"/><Relationship Id="rId3" Type="http://schemas.openxmlformats.org/officeDocument/2006/relationships/settings" Target="settings.xml"/><Relationship Id="rId21" Type="http://schemas.openxmlformats.org/officeDocument/2006/relationships/hyperlink" Target="https://www.millerthomson.com/en/publications/articles/causation-and-concurrent-causes-of-business-interruption-involving-covid-19/" TargetMode="External"/><Relationship Id="rId7" Type="http://schemas.openxmlformats.org/officeDocument/2006/relationships/hyperlink" Target="https://www.financialinstitutionslegalsnapshot.com/2020/02/causation-the-but-for-test-and-flexibility/" TargetMode="External"/><Relationship Id="rId12" Type="http://schemas.openxmlformats.org/officeDocument/2006/relationships/hyperlink" Target="https://www.lexisnexis.co.uk/legal/guidance/causation-remoteness-in-professional-negligence-claims" TargetMode="External"/><Relationship Id="rId17" Type="http://schemas.openxmlformats.org/officeDocument/2006/relationships/hyperlink" Target="https://psychologydictionary.org/multiple-causation/#:~:text=MULTIPLE%20CAUSATION%3A%20%22The%20concept%20of%20multiple%20causation%20argues,likely%20to%20be%20the%20result%20of%20multiple%20causes.%22" TargetMode="External"/><Relationship Id="rId2" Type="http://schemas.openxmlformats.org/officeDocument/2006/relationships/styles" Target="styles.xml"/><Relationship Id="rId16" Type="http://schemas.openxmlformats.org/officeDocument/2006/relationships/hyperlink" Target="https://www.bing.com/search?q=chain+of+causaton&amp;src=IE-TopResult&amp;FORM=IETR02&amp;pc=WCUG&amp;conversationid=" TargetMode="External"/><Relationship Id="rId20" Type="http://schemas.openxmlformats.org/officeDocument/2006/relationships/hyperlink" Target="https://webstroke.co.uk/law/the-wagon-mound-no-1-1961" TargetMode="External"/><Relationship Id="rId1" Type="http://schemas.openxmlformats.org/officeDocument/2006/relationships/customXml" Target="../customXml/item1.xml"/><Relationship Id="rId6" Type="http://schemas.openxmlformats.org/officeDocument/2006/relationships/hyperlink" Target="https://www.mccarthy.ca/en/insights/blogs/canadian-era-perspectives/r-v-jordan-supreme-court-canada-dramatically-alters-framework-applicable-right-criminal-trial-within-reasonable-time" TargetMode="External"/><Relationship Id="rId11" Type="http://schemas.openxmlformats.org/officeDocument/2006/relationships/hyperlink" Target="https://weirbowen.com/news/overview-of-duty-of-care-standard-of-care-damages-and-causation/" TargetMode="External"/><Relationship Id="rId5" Type="http://schemas.openxmlformats.org/officeDocument/2006/relationships/hyperlink" Target="https://legaldictionary.net/tort-law/" TargetMode="External"/><Relationship Id="rId15" Type="http://schemas.openxmlformats.org/officeDocument/2006/relationships/hyperlink" Target="https://www.bloomsburyprofessionalonline.com/view/law-of-torts/TORTS4-ch02-UID4.xml" TargetMode="External"/><Relationship Id="rId23" Type="http://schemas.openxmlformats.org/officeDocument/2006/relationships/theme" Target="theme/theme1.xml"/><Relationship Id="rId10" Type="http://schemas.openxmlformats.org/officeDocument/2006/relationships/hyperlink" Target="https://www.explore-law.com/gregg-v-scott/" TargetMode="External"/><Relationship Id="rId19" Type="http://schemas.openxmlformats.org/officeDocument/2006/relationships/hyperlink" Target="https://study.com/academy/lesson/causation-legal-definitions-examples.html" TargetMode="External"/><Relationship Id="rId4" Type="http://schemas.openxmlformats.org/officeDocument/2006/relationships/webSettings" Target="webSettings.xml"/><Relationship Id="rId9" Type="http://schemas.openxmlformats.org/officeDocument/2006/relationships/hyperlink" Target="https://theblackletter.co.uk/2017/10/25/barnett-v-chelsea-and-kensington-management-committee/" TargetMode="External"/><Relationship Id="rId14" Type="http://schemas.openxmlformats.org/officeDocument/2006/relationships/hyperlink" Target="https://lucidlaw.co.uk/criminal-law/legal-doctrines/causation/r-v-cheshir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2D4DEC-9F3A-4C80-A1EF-854D06B0A0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13101</TotalTime>
  <Pages>7</Pages>
  <Words>2815</Words>
  <Characters>16052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reynolds</dc:creator>
  <cp:keywords/>
  <dc:description/>
  <cp:lastModifiedBy>chloe reynolds</cp:lastModifiedBy>
  <cp:revision>9</cp:revision>
  <dcterms:created xsi:type="dcterms:W3CDTF">2020-10-23T23:14:00Z</dcterms:created>
  <dcterms:modified xsi:type="dcterms:W3CDTF">2020-11-06T00:26:00Z</dcterms:modified>
</cp:coreProperties>
</file>