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EFF16D" w14:textId="77777777" w:rsidR="00925B43" w:rsidRDefault="0010736A" w:rsidP="0010736A">
      <w:pPr>
        <w:jc w:val="center"/>
        <w:rPr>
          <w:b/>
          <w:sz w:val="32"/>
          <w:szCs w:val="32"/>
          <w:u w:val="single"/>
        </w:rPr>
      </w:pPr>
      <w:r>
        <w:rPr>
          <w:b/>
          <w:sz w:val="32"/>
          <w:szCs w:val="32"/>
          <w:u w:val="single"/>
        </w:rPr>
        <w:t>Women in the time of Hammurabi</w:t>
      </w:r>
    </w:p>
    <w:p w14:paraId="060DE367" w14:textId="77777777" w:rsidR="0010736A" w:rsidRDefault="0010736A" w:rsidP="0010736A">
      <w:pPr>
        <w:jc w:val="center"/>
        <w:rPr>
          <w:b/>
          <w:sz w:val="32"/>
          <w:szCs w:val="32"/>
          <w:u w:val="single"/>
        </w:rPr>
      </w:pPr>
    </w:p>
    <w:p w14:paraId="5DD9A32F" w14:textId="77777777" w:rsidR="0010736A" w:rsidRDefault="0010736A" w:rsidP="0010736A"/>
    <w:p w14:paraId="5D77EDA8" w14:textId="77777777" w:rsidR="00EA07DA" w:rsidRDefault="00EA07DA" w:rsidP="0010736A"/>
    <w:p w14:paraId="5CE538E5" w14:textId="3448B8B6" w:rsidR="00EA07DA" w:rsidRDefault="00EA07DA" w:rsidP="0010736A">
      <w:r>
        <w:tab/>
      </w:r>
      <w:r w:rsidR="006E5EE4">
        <w:t>The Code of Hammurabi is a comprehensive text outlining the laws of</w:t>
      </w:r>
      <w:r w:rsidR="00E35FEA">
        <w:t xml:space="preserve"> Babylonian</w:t>
      </w:r>
      <w:r w:rsidR="006E5EE4">
        <w:t xml:space="preserve"> society </w:t>
      </w:r>
      <w:r w:rsidR="00E35FEA">
        <w:t xml:space="preserve">during the reign of Hammurabi in 1792-1750 BC. This law code was </w:t>
      </w:r>
      <w:r w:rsidR="006E5EE4">
        <w:t>found on a stele in Susa in 1902.</w:t>
      </w:r>
      <w:r w:rsidR="00FB7F4E">
        <w:rPr>
          <w:rStyle w:val="FootnoteReference"/>
        </w:rPr>
        <w:footnoteReference w:id="1"/>
      </w:r>
      <w:r w:rsidR="00E35FEA">
        <w:t xml:space="preserve"> While the code contains a multitude of laws designed to keep physicians in check, it also maintains order for individual relationships in society and within a household. </w:t>
      </w:r>
      <w:r w:rsidR="000377CC">
        <w:t xml:space="preserve">Amongst this code is a list of laws concerning a woman’s role in her home and a man’s rights over her. Ultimately, they explain that a wife’s role is to be dutiful and childbearing for her husband, or it is his legal right to do away with her. It is implied that a woman’s life is broken down into parts: her life before her husband, her life with her husband, and, at times, her life after her husband. </w:t>
      </w:r>
      <w:r w:rsidR="00AC2B80">
        <w:t xml:space="preserve">In this paper I am going to analyse the significance of </w:t>
      </w:r>
      <w:r w:rsidR="0063143E">
        <w:t xml:space="preserve">this text and how it can provide for us a solid social explanation for life in this time, and how a woman could influence daily life in society. </w:t>
      </w:r>
    </w:p>
    <w:p w14:paraId="52F68B40" w14:textId="40B4BF9F" w:rsidR="00ED6E6B" w:rsidRDefault="00ED6E6B" w:rsidP="0010736A">
      <w:r>
        <w:tab/>
      </w:r>
      <w:r w:rsidR="00B40C9E">
        <w:t>The emergence</w:t>
      </w:r>
      <w:r w:rsidR="00B633F3">
        <w:t xml:space="preserve"> of feminist archaeologists has</w:t>
      </w:r>
      <w:r w:rsidR="00B40C9E">
        <w:t xml:space="preserve"> been incredibly instrumental in the study of the lives of women in various societies around the world. In the case of Babylon and Mesopotamia, there have been </w:t>
      </w:r>
      <w:r w:rsidR="00B633F3">
        <w:t>great finds such as motifs on seals demonstrating d</w:t>
      </w:r>
      <w:r w:rsidR="00CE4595">
        <w:t>ifferent aspects of daily life.</w:t>
      </w:r>
      <w:r w:rsidR="00CE4595">
        <w:rPr>
          <w:rStyle w:val="FootnoteReference"/>
        </w:rPr>
        <w:footnoteReference w:id="2"/>
      </w:r>
      <w:r w:rsidR="008842EA">
        <w:t xml:space="preserve"> By analysing these seals, we can discover that women were the vast majority of workers in the field of large production of textiles, a field which would have grown rapidly and potentially place</w:t>
      </w:r>
      <w:r w:rsidR="008B24DD">
        <w:t>d</w:t>
      </w:r>
      <w:r w:rsidR="008842EA">
        <w:t xml:space="preserve"> a strain on the </w:t>
      </w:r>
      <w:r w:rsidR="008B24DD">
        <w:t xml:space="preserve">limited </w:t>
      </w:r>
      <w:r w:rsidR="008842EA">
        <w:t>work force. It is unknown whether women worked on this craft within the home.</w:t>
      </w:r>
      <w:r w:rsidR="008842EA">
        <w:rPr>
          <w:rStyle w:val="FootnoteReference"/>
        </w:rPr>
        <w:footnoteReference w:id="3"/>
      </w:r>
      <w:r w:rsidR="008842EA">
        <w:t xml:space="preserve"> However, it could be concluded that this was part of the maid-service a wife provided if she had belittle</w:t>
      </w:r>
      <w:r w:rsidR="0007552F">
        <w:t>d her husband as outlined in law</w:t>
      </w:r>
      <w:r w:rsidR="008842EA">
        <w:t xml:space="preserve"> 141 of the Code of Hammurabi: </w:t>
      </w:r>
      <w:r w:rsidR="00724768">
        <w:t>“She shall remain as servant in her husband’s house” (King 2008)</w:t>
      </w:r>
      <w:r w:rsidR="008354A9">
        <w:t xml:space="preserve">. </w:t>
      </w:r>
      <w:r w:rsidR="00D7152C">
        <w:t>A woman’s work both within and outside of her household may have helped to shape the social and economic development in her culture. Without the work of women, the textile industry would have been a great deal smaller and less established</w:t>
      </w:r>
      <w:r w:rsidR="00F60771">
        <w:t xml:space="preserve"> and other social connections and daily routines would have been much more skewed in regards to the </w:t>
      </w:r>
      <w:r w:rsidR="00D60D42">
        <w:t>responsibilities and relationships of the occupants of a society.</w:t>
      </w:r>
      <w:r w:rsidR="00D60D42">
        <w:rPr>
          <w:rStyle w:val="FootnoteReference"/>
        </w:rPr>
        <w:footnoteReference w:id="4"/>
      </w:r>
    </w:p>
    <w:p w14:paraId="247D3B15" w14:textId="46CE3973" w:rsidR="00DF42B0" w:rsidRDefault="00DF42B0" w:rsidP="0010736A">
      <w:r>
        <w:tab/>
        <w:t>The work of archaeologists has also been to conclude whether the majority of a woman’s time would be within the walls of her home. Not only this, but it would seem that her place within the home would rema</w:t>
      </w:r>
      <w:r w:rsidR="00980B46">
        <w:t>in contingent on</w:t>
      </w:r>
      <w:r>
        <w:t xml:space="preserve"> how doting she was toward her husband, and how generous he was</w:t>
      </w:r>
      <w:r w:rsidR="00EB11DC">
        <w:t xml:space="preserve"> </w:t>
      </w:r>
      <w:r w:rsidR="00474FB3">
        <w:t>toward her in return</w:t>
      </w:r>
      <w:r>
        <w:t>.</w:t>
      </w:r>
      <w:r w:rsidR="00F826B9">
        <w:t xml:space="preserve"> </w:t>
      </w:r>
      <w:r w:rsidR="002F4A8E">
        <w:t>Many merchant’s wives would act as the face and council for his “business,” demonstrating a kind of power equality in certain aspects of the marriage. Due to a woman’s work both with her husband and on her own in textile production, she would be allowed her own inc</w:t>
      </w:r>
      <w:r w:rsidR="00006715">
        <w:t>ome and financial autonomy.</w:t>
      </w:r>
      <w:r w:rsidR="00006715">
        <w:rPr>
          <w:rStyle w:val="FootnoteReference"/>
        </w:rPr>
        <w:footnoteReference w:id="5"/>
      </w:r>
      <w:r w:rsidR="00321BAD">
        <w:t xml:space="preserve"> </w:t>
      </w:r>
      <w:r w:rsidR="00F87960">
        <w:t>Amongst the most autonomous with their pr</w:t>
      </w:r>
      <w:r w:rsidR="00E448C9">
        <w:t>ospects were the naditu priests, who were primarily royal or upper class. Hammurabi’s own sister was a naditu priest.</w:t>
      </w:r>
      <w:r w:rsidR="00C8662F">
        <w:rPr>
          <w:rStyle w:val="FootnoteReference"/>
        </w:rPr>
        <w:footnoteReference w:id="6"/>
      </w:r>
      <w:r w:rsidR="00C8662F">
        <w:t xml:space="preserve"> The naditu were given substantial dowries with which they were allowed to handle as they deemed fit. Many would become land owners or invest in businesses in the city. They did not marry or engage in any sexual activity throughout their lives, and thus </w:t>
      </w:r>
      <w:r w:rsidR="00C8662F">
        <w:lastRenderedPageBreak/>
        <w:t xml:space="preserve">were able to be the sole decision maker and distributer of their wealth. </w:t>
      </w:r>
      <w:r w:rsidR="00333FAB">
        <w:t xml:space="preserve">As the naditu approached old age toward the end of their life, they would either return their </w:t>
      </w:r>
      <w:r w:rsidR="002B3C27">
        <w:t>wealth and property to their father’s home, or to an adopted daughter of sorts who would then act as a succ</w:t>
      </w:r>
      <w:r w:rsidR="00157F36">
        <w:t>essor to her naditu priesthood.</w:t>
      </w:r>
      <w:r w:rsidR="00085FED">
        <w:rPr>
          <w:rStyle w:val="FootnoteReference"/>
        </w:rPr>
        <w:footnoteReference w:id="7"/>
      </w:r>
      <w:r w:rsidR="00936220">
        <w:t xml:space="preserve"> Their activity within society and their ability to engage with businesses would have greatly aided the economic and social growth of her society. By the very nature of women investing in s</w:t>
      </w:r>
      <w:r w:rsidR="008B0A88">
        <w:t>mall or large businesses, they</w:t>
      </w:r>
      <w:r w:rsidR="008539C7">
        <w:t xml:space="preserve"> would have been</w:t>
      </w:r>
      <w:r w:rsidR="00936220">
        <w:t xml:space="preserve"> seen as a significant and independent figure capable of thought free from the </w:t>
      </w:r>
      <w:r w:rsidR="004F1351">
        <w:t xml:space="preserve">intrusion or influence of men. </w:t>
      </w:r>
      <w:r w:rsidR="00092460">
        <w:t>Through this exposure, it is not impossible to think that this could have helped to inspire faith in the free-thinking abil</w:t>
      </w:r>
      <w:r w:rsidR="009F07DD">
        <w:t>ities of other women in society</w:t>
      </w:r>
      <w:r w:rsidR="00092460">
        <w:t xml:space="preserve"> who were not necessarily privileged</w:t>
      </w:r>
      <w:r w:rsidR="00207EA3">
        <w:t xml:space="preserve"> enough to be born into a</w:t>
      </w:r>
      <w:r w:rsidR="00092460">
        <w:t xml:space="preserve"> royal or upper class family. </w:t>
      </w:r>
    </w:p>
    <w:p w14:paraId="4ED7C12F" w14:textId="452B86FE" w:rsidR="00242216" w:rsidRDefault="00242216" w:rsidP="0010736A">
      <w:r>
        <w:tab/>
      </w:r>
      <w:r w:rsidR="005056BB">
        <w:t>By being able to correlate the discussion of women in the Code of Hammurabi to the economic importance of production and investing, we must</w:t>
      </w:r>
      <w:r w:rsidR="002738EC">
        <w:t xml:space="preserve"> then</w:t>
      </w:r>
      <w:r w:rsidR="005056BB">
        <w:t xml:space="preserve"> be able to correlate the mere lasting nature of the code to the social importance of the </w:t>
      </w:r>
      <w:r w:rsidR="002738EC">
        <w:t>content itself.</w:t>
      </w:r>
      <w:r w:rsidR="008A0914">
        <w:t xml:space="preserve"> The creation, organization, and survival of this stele is not a lucky happenstance. </w:t>
      </w:r>
      <w:r w:rsidR="00346693">
        <w:t xml:space="preserve">The fact that this stele was able to physically survive for some 3,767 years is miraculous. However what could be even more impressive is </w:t>
      </w:r>
      <w:r w:rsidR="000A51BE">
        <w:t>that this governing text was still used as legislative enforcement more than 100 years after Hammurabi’s death.</w:t>
      </w:r>
      <w:r w:rsidR="00D32946">
        <w:rPr>
          <w:rStyle w:val="FootnoteReference"/>
        </w:rPr>
        <w:footnoteReference w:id="8"/>
      </w:r>
      <w:r w:rsidR="00792FA8">
        <w:t xml:space="preserve"> This means that it was not Hammurabi himself that would necessarily oversee his code being followed, but that it was the people who continued to see credence in the laws </w:t>
      </w:r>
      <w:r w:rsidR="00303BF1">
        <w:t xml:space="preserve">long after his death. </w:t>
      </w:r>
      <w:r w:rsidR="00E97065">
        <w:t xml:space="preserve">Whether this was the direct belief of the people of Mesopotamia, or a legacy of the belief of the rulers thereafter can only be speculated. </w:t>
      </w:r>
      <w:r w:rsidR="00F47647">
        <w:t>The historic</w:t>
      </w:r>
      <w:r w:rsidR="00037A1F">
        <w:t>al reliabili</w:t>
      </w:r>
      <w:r w:rsidR="00764721">
        <w:t xml:space="preserve">ty of this code is, in my opinion, significant. </w:t>
      </w:r>
      <w:r w:rsidR="00505124">
        <w:t xml:space="preserve">There is further archaeological evidence such as merchants’ tablets, seals, and economic records that correlate with the permissible </w:t>
      </w:r>
      <w:r w:rsidR="00C932E9">
        <w:t xml:space="preserve">activities and behaviours as stated in the code. This leads to the belief that these laws were in fact abided by. </w:t>
      </w:r>
    </w:p>
    <w:p w14:paraId="2937C8C6" w14:textId="30541DFB" w:rsidR="003B4B47" w:rsidRDefault="00C47923" w:rsidP="0010736A">
      <w:r>
        <w:tab/>
        <w:t xml:space="preserve">In contrast, the very acceptance of the stele being called a “code” can be contested. </w:t>
      </w:r>
      <w:r w:rsidR="00173DF2">
        <w:t xml:space="preserve">Bottéro (1992) offers an interesting perspective on </w:t>
      </w:r>
      <w:r w:rsidR="00585600">
        <w:t xml:space="preserve">what we can learn from the shortcomings of the text. </w:t>
      </w:r>
      <w:r w:rsidR="009C5FA4">
        <w:t xml:space="preserve">If the Code of Hammurabi was used absolutely as a law code for Mesopotamia during his rule, </w:t>
      </w:r>
      <w:r w:rsidR="00120067">
        <w:t xml:space="preserve">who was directly enforcing these laws? </w:t>
      </w:r>
      <w:r w:rsidR="00FF001D">
        <w:t xml:space="preserve">Why then does the law code not cover every aspect of life and possible repercussions of a broken law? </w:t>
      </w:r>
      <w:r w:rsidR="0096706B">
        <w:t>We may be able to give the benefit of the doubt and say that this is simply because society was not yet evolved enough to represent each aspect of a complex dynamic of citizens in a lawful way.</w:t>
      </w:r>
      <w:r w:rsidR="0096706B">
        <w:rPr>
          <w:rStyle w:val="FootnoteReference"/>
        </w:rPr>
        <w:footnoteReference w:id="9"/>
      </w:r>
      <w:r w:rsidR="0096706B">
        <w:t xml:space="preserve"> Certain aspects could also be seen as a less wordy method of including each variation of citizen, such as the way we say “mankind” as an all conclusive reference to men, women, and children of either sex. </w:t>
      </w:r>
      <w:r w:rsidR="00874B12">
        <w:t xml:space="preserve">We can then draw the conclusion that this may have been seen also as a moral guideline, with included punishments, more so than the sole official law system. </w:t>
      </w:r>
      <w:r w:rsidR="006D5126">
        <w:t>The introduction of the code could potentially serve as evidence that this may be the case. In Hammurabi’s own words, “…to bring about the rule of righteousness in the land, to destroy the wicked… so that the strong should not harm the weak…” (King 2008).</w:t>
      </w:r>
      <w:r w:rsidR="002A4026">
        <w:t xml:space="preserve"> It would seem as though he was</w:t>
      </w:r>
      <w:r w:rsidR="006D5126">
        <w:t xml:space="preserve"> more trying to create a moral socie</w:t>
      </w:r>
      <w:r w:rsidR="002B55B1">
        <w:t>ty than a hugely lawful society, at least in this aspect.</w:t>
      </w:r>
      <w:r w:rsidR="004D1E25">
        <w:t xml:space="preserve"> </w:t>
      </w:r>
    </w:p>
    <w:p w14:paraId="42F37DCE" w14:textId="603C27A9" w:rsidR="00912D8A" w:rsidRDefault="00912D8A" w:rsidP="0010736A">
      <w:r>
        <w:tab/>
      </w:r>
      <w:r w:rsidR="003759CB">
        <w:t xml:space="preserve">Even more significant as a reliable historical source is the perspective that this is merely a collection of </w:t>
      </w:r>
      <w:r w:rsidR="00DD438D">
        <w:t>rules commonly known to be true,</w:t>
      </w:r>
      <w:r w:rsidR="00096C75">
        <w:t xml:space="preserve"> and was more of a </w:t>
      </w:r>
      <w:r w:rsidR="00DD438D">
        <w:t>documentation rather than a strict law code.</w:t>
      </w:r>
      <w:r w:rsidR="00126E57">
        <w:rPr>
          <w:rStyle w:val="FootnoteReference"/>
        </w:rPr>
        <w:footnoteReference w:id="10"/>
      </w:r>
      <w:r w:rsidR="00DD438D">
        <w:t xml:space="preserve"> </w:t>
      </w:r>
      <w:r w:rsidR="001B13AA">
        <w:t xml:space="preserve">Various statements in the code can be used to </w:t>
      </w:r>
      <w:r w:rsidR="0064334F">
        <w:t xml:space="preserve">support this claim. Lesser offenses such as accidentally overflowing a fellow man’s crops with water and being expected to pay him the debt for the losses. Further to this, if a man owes a debt but is unable to pay due to a low harvest </w:t>
      </w:r>
      <w:r w:rsidR="00BC5257">
        <w:t xml:space="preserve">because of weather or drought, his debt is cleared </w:t>
      </w:r>
      <w:r w:rsidR="006C7FEB">
        <w:t xml:space="preserve">and he need not pay rent for that </w:t>
      </w:r>
      <w:r w:rsidR="00CC3D9E">
        <w:t>year.</w:t>
      </w:r>
      <w:r w:rsidR="00CC3D9E">
        <w:rPr>
          <w:rStyle w:val="FootnoteReference"/>
        </w:rPr>
        <w:footnoteReference w:id="11"/>
      </w:r>
      <w:r w:rsidR="0048145F">
        <w:t xml:space="preserve"> This appears to confirm the idea that a man who is not wicked will not be punished for a situation that is out of his control. This would have encouraged citizens to be honest, honourable, and moral, rather than </w:t>
      </w:r>
      <w:r w:rsidR="005026A3">
        <w:t>people who are only afraid of the law.</w:t>
      </w:r>
    </w:p>
    <w:p w14:paraId="73B4CE51" w14:textId="13EB160D" w:rsidR="00D02C83" w:rsidRDefault="00D02C83" w:rsidP="0010736A">
      <w:r>
        <w:tab/>
      </w:r>
      <w:r w:rsidR="00991C6F">
        <w:t>It can be said that the Code of Hammurabi merely stood as a set of laws used to boastfully rule over the people of Mesopotamia in the 18</w:t>
      </w:r>
      <w:r w:rsidR="00991C6F" w:rsidRPr="00991C6F">
        <w:rPr>
          <w:vertAlign w:val="superscript"/>
        </w:rPr>
        <w:t>th</w:t>
      </w:r>
      <w:r w:rsidR="00991C6F">
        <w:t xml:space="preserve"> century BC. However</w:t>
      </w:r>
      <w:r w:rsidR="003B466E">
        <w:t>,</w:t>
      </w:r>
      <w:r w:rsidR="00991C6F">
        <w:t xml:space="preserve"> this would be a vast understatement</w:t>
      </w:r>
      <w:r w:rsidR="00A11AFC">
        <w:t xml:space="preserve"> and insulting to the nature of the conclusions we can draw from these texts. </w:t>
      </w:r>
      <w:r w:rsidR="006E419B">
        <w:t xml:space="preserve">By studying the role of women in this time period, we are able to reconstruct a view of this ancient world in a wide array of social, economic, and ethic perspectives. By creating a moral society invented to award honestly and vilify evil, Hammurabi was able to create for himself a legacy literally written in stone that would continue to aid its citizens for years after his death. We can learn that while women had a long way to go in terms of independence, they were not without their freedoms and free thinking that surely would have </w:t>
      </w:r>
      <w:r w:rsidR="00E23F79">
        <w:t xml:space="preserve">shaped the society they lived in. </w:t>
      </w:r>
    </w:p>
    <w:p w14:paraId="1B606D58" w14:textId="5D4F9312" w:rsidR="00496AFC" w:rsidRDefault="00496AFC" w:rsidP="0010736A">
      <w:r>
        <w:tab/>
      </w:r>
    </w:p>
    <w:p w14:paraId="39F12777" w14:textId="7383C935" w:rsidR="00FA521F" w:rsidRDefault="00FA521F" w:rsidP="0010736A">
      <w:r>
        <w:tab/>
      </w:r>
    </w:p>
    <w:p w14:paraId="6BA577B1" w14:textId="77777777" w:rsidR="00824029" w:rsidRDefault="00824029" w:rsidP="0010736A"/>
    <w:p w14:paraId="45ED9EE3" w14:textId="77777777" w:rsidR="00824029" w:rsidRDefault="00824029" w:rsidP="0010736A"/>
    <w:p w14:paraId="47F53F5C" w14:textId="77777777" w:rsidR="00824029" w:rsidRDefault="00824029" w:rsidP="0010736A"/>
    <w:p w14:paraId="268C7E8C" w14:textId="77777777" w:rsidR="00824029" w:rsidRDefault="00824029" w:rsidP="0010736A"/>
    <w:p w14:paraId="76DF7754" w14:textId="77777777" w:rsidR="00824029" w:rsidRDefault="00824029" w:rsidP="0010736A"/>
    <w:p w14:paraId="75F1D3BD" w14:textId="77777777" w:rsidR="00824029" w:rsidRDefault="00824029" w:rsidP="0010736A"/>
    <w:p w14:paraId="5954EE2C" w14:textId="77777777" w:rsidR="00824029" w:rsidRDefault="00824029" w:rsidP="0010736A"/>
    <w:p w14:paraId="2A41F935" w14:textId="77777777" w:rsidR="00824029" w:rsidRDefault="00824029" w:rsidP="0010736A"/>
    <w:p w14:paraId="40023D52" w14:textId="77777777" w:rsidR="00824029" w:rsidRDefault="00824029" w:rsidP="0010736A"/>
    <w:p w14:paraId="30F74F2D" w14:textId="77777777" w:rsidR="00824029" w:rsidRDefault="00824029" w:rsidP="0010736A"/>
    <w:p w14:paraId="1AA549C4" w14:textId="77777777" w:rsidR="00824029" w:rsidRDefault="00824029" w:rsidP="0010736A"/>
    <w:p w14:paraId="520BA491" w14:textId="77777777" w:rsidR="00824029" w:rsidRDefault="00824029" w:rsidP="0010736A"/>
    <w:p w14:paraId="23B529A4" w14:textId="77777777" w:rsidR="00824029" w:rsidRDefault="00824029" w:rsidP="0010736A"/>
    <w:p w14:paraId="780B3FAF" w14:textId="77777777" w:rsidR="00824029" w:rsidRDefault="00824029" w:rsidP="0010736A"/>
    <w:p w14:paraId="629704DF" w14:textId="77777777" w:rsidR="00824029" w:rsidRDefault="00824029" w:rsidP="0010736A"/>
    <w:p w14:paraId="56A2D938" w14:textId="77777777" w:rsidR="00824029" w:rsidRDefault="00824029" w:rsidP="0010736A"/>
    <w:p w14:paraId="40741D00" w14:textId="77777777" w:rsidR="00824029" w:rsidRDefault="00824029" w:rsidP="0010736A"/>
    <w:p w14:paraId="418952CE" w14:textId="77777777" w:rsidR="00824029" w:rsidRDefault="00824029" w:rsidP="0010736A"/>
    <w:p w14:paraId="4C3A7F74" w14:textId="77777777" w:rsidR="00824029" w:rsidRDefault="00824029" w:rsidP="0010736A"/>
    <w:p w14:paraId="7B385E14" w14:textId="77777777" w:rsidR="00824029" w:rsidRDefault="00824029" w:rsidP="0010736A"/>
    <w:p w14:paraId="3C7E1668" w14:textId="77777777" w:rsidR="00824029" w:rsidRDefault="00824029" w:rsidP="0010736A"/>
    <w:p w14:paraId="4C2E7869" w14:textId="77777777" w:rsidR="00824029" w:rsidRDefault="00824029" w:rsidP="0010736A"/>
    <w:p w14:paraId="2DCE2BD0" w14:textId="77777777" w:rsidR="00824029" w:rsidRDefault="00824029" w:rsidP="0010736A"/>
    <w:p w14:paraId="597391F8" w14:textId="77777777" w:rsidR="00824029" w:rsidRDefault="00824029" w:rsidP="0010736A"/>
    <w:p w14:paraId="41B3B4E7" w14:textId="77777777" w:rsidR="00824029" w:rsidRDefault="00824029" w:rsidP="0010736A"/>
    <w:p w14:paraId="262FEBA5" w14:textId="176FD7BC" w:rsidR="00824029" w:rsidRDefault="00824029" w:rsidP="00824029">
      <w:pPr>
        <w:jc w:val="center"/>
        <w:rPr>
          <w:b/>
          <w:sz w:val="32"/>
          <w:szCs w:val="32"/>
          <w:u w:val="single"/>
        </w:rPr>
      </w:pPr>
      <w:r>
        <w:rPr>
          <w:b/>
          <w:sz w:val="32"/>
          <w:szCs w:val="32"/>
          <w:u w:val="single"/>
        </w:rPr>
        <w:t>Bibliography</w:t>
      </w:r>
    </w:p>
    <w:p w14:paraId="19383628" w14:textId="77777777" w:rsidR="00413972" w:rsidRDefault="00413972" w:rsidP="00824029">
      <w:pPr>
        <w:jc w:val="center"/>
        <w:rPr>
          <w:b/>
          <w:sz w:val="32"/>
          <w:szCs w:val="32"/>
          <w:u w:val="single"/>
        </w:rPr>
      </w:pPr>
    </w:p>
    <w:p w14:paraId="1C824931" w14:textId="77777777" w:rsidR="00413972" w:rsidRDefault="00413972" w:rsidP="00824029">
      <w:pPr>
        <w:jc w:val="center"/>
        <w:rPr>
          <w:b/>
          <w:sz w:val="32"/>
          <w:szCs w:val="32"/>
          <w:u w:val="single"/>
        </w:rPr>
      </w:pPr>
    </w:p>
    <w:p w14:paraId="4D3E9A2B" w14:textId="75017D9D" w:rsidR="00413972" w:rsidRDefault="00654B9B" w:rsidP="00413972">
      <w:r>
        <w:t>Bottéro, J. 1992.</w:t>
      </w:r>
      <w:r>
        <w:rPr>
          <w:i/>
        </w:rPr>
        <w:t xml:space="preserve"> Mesopotamia: Writing, Reasoning, and the Gods. </w:t>
      </w:r>
      <w:r>
        <w:t>Chicago: The University of Chicago Press</w:t>
      </w:r>
    </w:p>
    <w:p w14:paraId="2250E575" w14:textId="77777777" w:rsidR="003D7F75" w:rsidRDefault="003D7F75" w:rsidP="00413972"/>
    <w:p w14:paraId="0AF3D7AA" w14:textId="16D91E1B" w:rsidR="00050988" w:rsidRDefault="00050988" w:rsidP="00413972">
      <w:r>
        <w:t xml:space="preserve">Leick, G. 2001. </w:t>
      </w:r>
      <w:r>
        <w:rPr>
          <w:i/>
        </w:rPr>
        <w:t>Mesopotamia: The Invention of the City.</w:t>
      </w:r>
      <w:r>
        <w:t xml:space="preserve"> </w:t>
      </w:r>
      <w:r w:rsidR="002B5AEC">
        <w:t>London: Penguin Books</w:t>
      </w:r>
    </w:p>
    <w:p w14:paraId="147F8D0D" w14:textId="77777777" w:rsidR="003D7F75" w:rsidRDefault="003D7F75" w:rsidP="00413972"/>
    <w:p w14:paraId="632829D1" w14:textId="1B048779" w:rsidR="002B5AEC" w:rsidRDefault="00AE27F8" w:rsidP="00413972">
      <w:r>
        <w:t xml:space="preserve">Liverani, M. 2014. </w:t>
      </w:r>
      <w:r>
        <w:rPr>
          <w:i/>
        </w:rPr>
        <w:t xml:space="preserve">The Ancient Near East: History, Society, and the Economy. </w:t>
      </w:r>
      <w:r>
        <w:t>London: Routeledge</w:t>
      </w:r>
    </w:p>
    <w:p w14:paraId="7C52F380" w14:textId="77777777" w:rsidR="003D7F75" w:rsidRDefault="003D7F75" w:rsidP="00413972"/>
    <w:p w14:paraId="20AC2C5B" w14:textId="1300A829" w:rsidR="0018519C" w:rsidRDefault="0018519C" w:rsidP="00413972">
      <w:r>
        <w:t>K</w:t>
      </w:r>
      <w:r w:rsidR="003D7F75">
        <w:t xml:space="preserve">ing, L.W. 2008. The Code of Hammurabi. The Avalon Project. Available from: </w:t>
      </w:r>
      <w:hyperlink r:id="rId7" w:history="1">
        <w:r w:rsidR="003D7F75" w:rsidRPr="0049177E">
          <w:rPr>
            <w:rStyle w:val="Hyperlink"/>
          </w:rPr>
          <w:t>http://avalon.law.yale.edu/ancient/hamframe.asp</w:t>
        </w:r>
      </w:hyperlink>
      <w:r w:rsidR="003D7F75">
        <w:t xml:space="preserve"> [Accessed 9th November 2017]</w:t>
      </w:r>
    </w:p>
    <w:p w14:paraId="616C4E31" w14:textId="77777777" w:rsidR="003D7F75" w:rsidRDefault="003D7F75" w:rsidP="00413972"/>
    <w:p w14:paraId="1B3FF820" w14:textId="55F6F62C" w:rsidR="003D7F75" w:rsidRDefault="00BE40FB" w:rsidP="00413972">
      <w:r>
        <w:t>Matthews,</w:t>
      </w:r>
      <w:r w:rsidR="008E2E31">
        <w:t xml:space="preserve"> R. 2003. </w:t>
      </w:r>
      <w:r w:rsidR="008E2E31">
        <w:rPr>
          <w:i/>
        </w:rPr>
        <w:t xml:space="preserve">The Archaeology of Mesopotamia. Theories and Approaches. </w:t>
      </w:r>
      <w:r w:rsidR="008E2E31">
        <w:t>London: Routeledge</w:t>
      </w:r>
    </w:p>
    <w:p w14:paraId="18D63FCB" w14:textId="77777777" w:rsidR="008E2E31" w:rsidRDefault="008E2E31" w:rsidP="00413972"/>
    <w:p w14:paraId="0EA0F00C" w14:textId="14996B5E" w:rsidR="008E2E31" w:rsidRDefault="00BE40FB" w:rsidP="00413972">
      <w:r>
        <w:t xml:space="preserve">Pollock, S. 1999. </w:t>
      </w:r>
      <w:r>
        <w:rPr>
          <w:i/>
        </w:rPr>
        <w:t xml:space="preserve">Ancient Mesopotamia. </w:t>
      </w:r>
      <w:r w:rsidR="002D5719">
        <w:t>Cambridge: Cambridge University Press.</w:t>
      </w:r>
    </w:p>
    <w:p w14:paraId="3AA33FE3" w14:textId="77777777" w:rsidR="00314495" w:rsidRDefault="00314495" w:rsidP="00413972"/>
    <w:p w14:paraId="23D6B491" w14:textId="76612DDD" w:rsidR="00314495" w:rsidRPr="00BE40FB" w:rsidRDefault="00314495" w:rsidP="00413972">
      <w:r>
        <w:t xml:space="preserve">Renger, J. 2006. Hammurabi. Brills New Pauly. Available from: </w:t>
      </w:r>
      <w:hyperlink r:id="rId8" w:history="1">
        <w:r w:rsidRPr="0049177E">
          <w:rPr>
            <w:rStyle w:val="Hyperlink"/>
          </w:rPr>
          <w:t>http://referenceworks.brillonline.com.ezproxy.uwtsd.ac.uk/entries/brill-s-new-pauly/hammurapi-e502470?s.num=2&amp;s.f.s2_parent=s.f.book.brill-s-new-pauly&amp;s.q=hammurabi</w:t>
        </w:r>
      </w:hyperlink>
      <w:r>
        <w:t xml:space="preserve"> [accessed 9</w:t>
      </w:r>
      <w:r w:rsidRPr="00314495">
        <w:rPr>
          <w:vertAlign w:val="superscript"/>
        </w:rPr>
        <w:t>th</w:t>
      </w:r>
      <w:r>
        <w:t xml:space="preserve"> November 2017]</w:t>
      </w:r>
      <w:bookmarkStart w:id="0" w:name="_GoBack"/>
      <w:bookmarkEnd w:id="0"/>
    </w:p>
    <w:sectPr w:rsidR="00314495" w:rsidRPr="00BE40FB" w:rsidSect="00705F8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F33DCE" w14:textId="77777777" w:rsidR="00603598" w:rsidRDefault="00603598" w:rsidP="00FB7F4E">
      <w:r>
        <w:separator/>
      </w:r>
    </w:p>
  </w:endnote>
  <w:endnote w:type="continuationSeparator" w:id="0">
    <w:p w14:paraId="438E89E4" w14:textId="77777777" w:rsidR="00603598" w:rsidRDefault="00603598" w:rsidP="00FB7F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0F14E8" w14:textId="77777777" w:rsidR="00603598" w:rsidRDefault="00603598" w:rsidP="00FB7F4E">
      <w:r>
        <w:separator/>
      </w:r>
    </w:p>
  </w:footnote>
  <w:footnote w:type="continuationSeparator" w:id="0">
    <w:p w14:paraId="1C66D132" w14:textId="77777777" w:rsidR="00603598" w:rsidRDefault="00603598" w:rsidP="00FB7F4E">
      <w:r>
        <w:continuationSeparator/>
      </w:r>
    </w:p>
  </w:footnote>
  <w:footnote w:id="1">
    <w:p w14:paraId="627AE659" w14:textId="73468861" w:rsidR="00FB7F4E" w:rsidRPr="00FB7F4E" w:rsidRDefault="00FB7F4E">
      <w:pPr>
        <w:pStyle w:val="FootnoteText"/>
        <w:rPr>
          <w:lang w:val="en-US"/>
        </w:rPr>
      </w:pPr>
      <w:r>
        <w:rPr>
          <w:rStyle w:val="FootnoteReference"/>
        </w:rPr>
        <w:footnoteRef/>
      </w:r>
      <w:r>
        <w:t xml:space="preserve"> </w:t>
      </w:r>
      <w:r w:rsidR="00E35FEA">
        <w:rPr>
          <w:lang w:val="en-US"/>
        </w:rPr>
        <w:t>Renger 2006</w:t>
      </w:r>
    </w:p>
  </w:footnote>
  <w:footnote w:id="2">
    <w:p w14:paraId="396E42D2" w14:textId="35A14FA8" w:rsidR="00CE4595" w:rsidRPr="00CE4595" w:rsidRDefault="00CE4595">
      <w:pPr>
        <w:pStyle w:val="FootnoteText"/>
        <w:rPr>
          <w:lang w:val="en-US"/>
        </w:rPr>
      </w:pPr>
      <w:r>
        <w:rPr>
          <w:rStyle w:val="FootnoteReference"/>
        </w:rPr>
        <w:footnoteRef/>
      </w:r>
      <w:r>
        <w:t xml:space="preserve"> </w:t>
      </w:r>
      <w:r>
        <w:rPr>
          <w:lang w:val="en-US"/>
        </w:rPr>
        <w:t>Pollock 1999: 96-97</w:t>
      </w:r>
    </w:p>
  </w:footnote>
  <w:footnote w:id="3">
    <w:p w14:paraId="2A629BED" w14:textId="411E697C" w:rsidR="008842EA" w:rsidRPr="008842EA" w:rsidRDefault="008842EA">
      <w:pPr>
        <w:pStyle w:val="FootnoteText"/>
        <w:rPr>
          <w:lang w:val="en-US"/>
        </w:rPr>
      </w:pPr>
      <w:r>
        <w:rPr>
          <w:rStyle w:val="FootnoteReference"/>
        </w:rPr>
        <w:footnoteRef/>
      </w:r>
      <w:r>
        <w:t xml:space="preserve"> </w:t>
      </w:r>
      <w:r>
        <w:rPr>
          <w:lang w:val="en-US"/>
        </w:rPr>
        <w:t>Pollock 1999: 104</w:t>
      </w:r>
    </w:p>
  </w:footnote>
  <w:footnote w:id="4">
    <w:p w14:paraId="137D2777" w14:textId="084BD73F" w:rsidR="00D60D42" w:rsidRPr="00D60D42" w:rsidRDefault="00D60D42">
      <w:pPr>
        <w:pStyle w:val="FootnoteText"/>
        <w:rPr>
          <w:lang w:val="en-US"/>
        </w:rPr>
      </w:pPr>
      <w:r>
        <w:rPr>
          <w:rStyle w:val="FootnoteReference"/>
        </w:rPr>
        <w:footnoteRef/>
      </w:r>
      <w:r>
        <w:t xml:space="preserve"> </w:t>
      </w:r>
      <w:r>
        <w:rPr>
          <w:lang w:val="en-US"/>
        </w:rPr>
        <w:t>Matthews 2003: 25</w:t>
      </w:r>
    </w:p>
  </w:footnote>
  <w:footnote w:id="5">
    <w:p w14:paraId="5A97A2DE" w14:textId="3ED74D16" w:rsidR="00006715" w:rsidRPr="00006715" w:rsidRDefault="00006715">
      <w:pPr>
        <w:pStyle w:val="FootnoteText"/>
        <w:rPr>
          <w:lang w:val="en-US"/>
        </w:rPr>
      </w:pPr>
      <w:r>
        <w:rPr>
          <w:rStyle w:val="FootnoteReference"/>
        </w:rPr>
        <w:footnoteRef/>
      </w:r>
      <w:r>
        <w:t xml:space="preserve"> </w:t>
      </w:r>
      <w:r>
        <w:rPr>
          <w:lang w:val="en-US"/>
        </w:rPr>
        <w:t>Leick 2001: 202</w:t>
      </w:r>
    </w:p>
  </w:footnote>
  <w:footnote w:id="6">
    <w:p w14:paraId="197F0035" w14:textId="06A4200A" w:rsidR="00C8662F" w:rsidRPr="00C8662F" w:rsidRDefault="00C8662F">
      <w:pPr>
        <w:pStyle w:val="FootnoteText"/>
        <w:rPr>
          <w:lang w:val="en-US"/>
        </w:rPr>
      </w:pPr>
      <w:r>
        <w:rPr>
          <w:rStyle w:val="FootnoteReference"/>
        </w:rPr>
        <w:footnoteRef/>
      </w:r>
      <w:r>
        <w:t xml:space="preserve"> </w:t>
      </w:r>
      <w:r>
        <w:rPr>
          <w:lang w:val="en-US"/>
        </w:rPr>
        <w:t>Tetlow 2005: 80</w:t>
      </w:r>
    </w:p>
  </w:footnote>
  <w:footnote w:id="7">
    <w:p w14:paraId="21013E72" w14:textId="67C3075D" w:rsidR="00085FED" w:rsidRPr="00085FED" w:rsidRDefault="00085FED">
      <w:pPr>
        <w:pStyle w:val="FootnoteText"/>
        <w:rPr>
          <w:lang w:val="en-US"/>
        </w:rPr>
      </w:pPr>
      <w:r>
        <w:rPr>
          <w:rStyle w:val="FootnoteReference"/>
        </w:rPr>
        <w:footnoteRef/>
      </w:r>
      <w:r>
        <w:t xml:space="preserve"> </w:t>
      </w:r>
      <w:r>
        <w:rPr>
          <w:lang w:val="en-US"/>
        </w:rPr>
        <w:t>Leick 2001: 178-179</w:t>
      </w:r>
    </w:p>
  </w:footnote>
  <w:footnote w:id="8">
    <w:p w14:paraId="15735F88" w14:textId="522CB78C" w:rsidR="00D32946" w:rsidRPr="00D32946" w:rsidRDefault="00D32946">
      <w:pPr>
        <w:pStyle w:val="FootnoteText"/>
        <w:rPr>
          <w:lang w:val="en-US"/>
        </w:rPr>
      </w:pPr>
      <w:r>
        <w:rPr>
          <w:rStyle w:val="FootnoteReference"/>
        </w:rPr>
        <w:footnoteRef/>
      </w:r>
      <w:r>
        <w:t xml:space="preserve"> </w:t>
      </w:r>
      <w:r>
        <w:rPr>
          <w:lang w:val="en-US"/>
        </w:rPr>
        <w:t>Bottéro 1992: 160</w:t>
      </w:r>
    </w:p>
  </w:footnote>
  <w:footnote w:id="9">
    <w:p w14:paraId="5C53E68C" w14:textId="77777777" w:rsidR="0096706B" w:rsidRPr="00DF5658" w:rsidRDefault="0096706B" w:rsidP="0096706B">
      <w:pPr>
        <w:pStyle w:val="FootnoteText"/>
        <w:rPr>
          <w:lang w:val="en-US"/>
        </w:rPr>
      </w:pPr>
      <w:r>
        <w:rPr>
          <w:rStyle w:val="FootnoteReference"/>
        </w:rPr>
        <w:footnoteRef/>
      </w:r>
      <w:r>
        <w:t xml:space="preserve"> </w:t>
      </w:r>
      <w:r>
        <w:rPr>
          <w:lang w:val="en-US"/>
        </w:rPr>
        <w:t>Bottéro 1992: 161-162</w:t>
      </w:r>
    </w:p>
  </w:footnote>
  <w:footnote w:id="10">
    <w:p w14:paraId="7ECA6AD0" w14:textId="207746CD" w:rsidR="00126E57" w:rsidRPr="00126E57" w:rsidRDefault="00126E57">
      <w:pPr>
        <w:pStyle w:val="FootnoteText"/>
        <w:rPr>
          <w:lang w:val="en-US"/>
        </w:rPr>
      </w:pPr>
      <w:r>
        <w:rPr>
          <w:rStyle w:val="FootnoteReference"/>
        </w:rPr>
        <w:footnoteRef/>
      </w:r>
      <w:r>
        <w:t xml:space="preserve"> </w:t>
      </w:r>
      <w:r>
        <w:rPr>
          <w:lang w:val="en-US"/>
        </w:rPr>
        <w:t>Liverani 2014: 247</w:t>
      </w:r>
    </w:p>
  </w:footnote>
  <w:footnote w:id="11">
    <w:p w14:paraId="2666F15F" w14:textId="43318E9A" w:rsidR="00CC3D9E" w:rsidRPr="00CC3D9E" w:rsidRDefault="00CC3D9E">
      <w:pPr>
        <w:pStyle w:val="FootnoteText"/>
        <w:rPr>
          <w:lang w:val="en-US"/>
        </w:rPr>
      </w:pPr>
      <w:r>
        <w:rPr>
          <w:rStyle w:val="FootnoteReference"/>
        </w:rPr>
        <w:footnoteRef/>
      </w:r>
      <w:r>
        <w:t xml:space="preserve"> </w:t>
      </w:r>
      <w:r>
        <w:rPr>
          <w:lang w:val="en-US"/>
        </w:rPr>
        <w:t>King 2008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736A"/>
    <w:rsid w:val="00006715"/>
    <w:rsid w:val="000377CC"/>
    <w:rsid w:val="00037A1F"/>
    <w:rsid w:val="00050988"/>
    <w:rsid w:val="0007552F"/>
    <w:rsid w:val="00085FED"/>
    <w:rsid w:val="0009052C"/>
    <w:rsid w:val="00092460"/>
    <w:rsid w:val="00096C75"/>
    <w:rsid w:val="000A51BE"/>
    <w:rsid w:val="0010736A"/>
    <w:rsid w:val="00120067"/>
    <w:rsid w:val="00126E57"/>
    <w:rsid w:val="00157F36"/>
    <w:rsid w:val="00173DF2"/>
    <w:rsid w:val="0018519C"/>
    <w:rsid w:val="001B13AA"/>
    <w:rsid w:val="00207EA3"/>
    <w:rsid w:val="002269AF"/>
    <w:rsid w:val="00242216"/>
    <w:rsid w:val="002738EC"/>
    <w:rsid w:val="002A4026"/>
    <w:rsid w:val="002B3C27"/>
    <w:rsid w:val="002B55B1"/>
    <w:rsid w:val="002B5AEC"/>
    <w:rsid w:val="002D5719"/>
    <w:rsid w:val="002F4A8E"/>
    <w:rsid w:val="00303BF1"/>
    <w:rsid w:val="00314495"/>
    <w:rsid w:val="00321BAD"/>
    <w:rsid w:val="00333FAB"/>
    <w:rsid w:val="00346693"/>
    <w:rsid w:val="003759CB"/>
    <w:rsid w:val="003B466E"/>
    <w:rsid w:val="003B4B47"/>
    <w:rsid w:val="003D7F75"/>
    <w:rsid w:val="00413972"/>
    <w:rsid w:val="004230A0"/>
    <w:rsid w:val="004446C2"/>
    <w:rsid w:val="004657F6"/>
    <w:rsid w:val="00474FB3"/>
    <w:rsid w:val="0048145F"/>
    <w:rsid w:val="00496AFC"/>
    <w:rsid w:val="004D1E25"/>
    <w:rsid w:val="004F1351"/>
    <w:rsid w:val="005026A3"/>
    <w:rsid w:val="00505124"/>
    <w:rsid w:val="005056BB"/>
    <w:rsid w:val="005153E2"/>
    <w:rsid w:val="00562334"/>
    <w:rsid w:val="00585600"/>
    <w:rsid w:val="005B445C"/>
    <w:rsid w:val="00603598"/>
    <w:rsid w:val="00611341"/>
    <w:rsid w:val="0063143E"/>
    <w:rsid w:val="0064334F"/>
    <w:rsid w:val="00654B9B"/>
    <w:rsid w:val="006C7FEB"/>
    <w:rsid w:val="006D5126"/>
    <w:rsid w:val="006E419B"/>
    <w:rsid w:val="006E5EE4"/>
    <w:rsid w:val="00705F83"/>
    <w:rsid w:val="00724768"/>
    <w:rsid w:val="00764721"/>
    <w:rsid w:val="00792FA8"/>
    <w:rsid w:val="007A1B52"/>
    <w:rsid w:val="007A536F"/>
    <w:rsid w:val="007C1054"/>
    <w:rsid w:val="007D4C1C"/>
    <w:rsid w:val="00824029"/>
    <w:rsid w:val="008354A9"/>
    <w:rsid w:val="008539C7"/>
    <w:rsid w:val="008700A4"/>
    <w:rsid w:val="00874B12"/>
    <w:rsid w:val="008842EA"/>
    <w:rsid w:val="008A0914"/>
    <w:rsid w:val="008B0A88"/>
    <w:rsid w:val="008B24DD"/>
    <w:rsid w:val="008B79E4"/>
    <w:rsid w:val="008E2E31"/>
    <w:rsid w:val="008F1804"/>
    <w:rsid w:val="00912D8A"/>
    <w:rsid w:val="00925B43"/>
    <w:rsid w:val="00936220"/>
    <w:rsid w:val="00966B6A"/>
    <w:rsid w:val="0096706B"/>
    <w:rsid w:val="00974B11"/>
    <w:rsid w:val="00980B46"/>
    <w:rsid w:val="00991C6F"/>
    <w:rsid w:val="009C5FA4"/>
    <w:rsid w:val="009E3C63"/>
    <w:rsid w:val="009F07DD"/>
    <w:rsid w:val="00A11AFC"/>
    <w:rsid w:val="00A41D14"/>
    <w:rsid w:val="00AC2B80"/>
    <w:rsid w:val="00AE27F8"/>
    <w:rsid w:val="00B40C9E"/>
    <w:rsid w:val="00B61F31"/>
    <w:rsid w:val="00B633F3"/>
    <w:rsid w:val="00BC5257"/>
    <w:rsid w:val="00BE40FB"/>
    <w:rsid w:val="00C17B52"/>
    <w:rsid w:val="00C47923"/>
    <w:rsid w:val="00C84D39"/>
    <w:rsid w:val="00C8662F"/>
    <w:rsid w:val="00C932E9"/>
    <w:rsid w:val="00CC3D9E"/>
    <w:rsid w:val="00CE4595"/>
    <w:rsid w:val="00D02C83"/>
    <w:rsid w:val="00D32946"/>
    <w:rsid w:val="00D47C58"/>
    <w:rsid w:val="00D60D42"/>
    <w:rsid w:val="00D7152C"/>
    <w:rsid w:val="00D72FF3"/>
    <w:rsid w:val="00D909BF"/>
    <w:rsid w:val="00DD438D"/>
    <w:rsid w:val="00DF42B0"/>
    <w:rsid w:val="00DF5658"/>
    <w:rsid w:val="00E23F79"/>
    <w:rsid w:val="00E35FEA"/>
    <w:rsid w:val="00E448C9"/>
    <w:rsid w:val="00E467C6"/>
    <w:rsid w:val="00E97065"/>
    <w:rsid w:val="00EA07DA"/>
    <w:rsid w:val="00EB11DC"/>
    <w:rsid w:val="00EC0095"/>
    <w:rsid w:val="00ED6E6B"/>
    <w:rsid w:val="00F145DB"/>
    <w:rsid w:val="00F363EF"/>
    <w:rsid w:val="00F47647"/>
    <w:rsid w:val="00F60771"/>
    <w:rsid w:val="00F76E28"/>
    <w:rsid w:val="00F826B9"/>
    <w:rsid w:val="00F87960"/>
    <w:rsid w:val="00FA521F"/>
    <w:rsid w:val="00FB7F4E"/>
    <w:rsid w:val="00FC0499"/>
    <w:rsid w:val="00FD380F"/>
    <w:rsid w:val="00FF00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0045C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7C1054"/>
    <w:pPr>
      <w:keepNext/>
      <w:keepLines/>
      <w:spacing w:before="480" w:line="276" w:lineRule="auto"/>
      <w:outlineLvl w:val="0"/>
    </w:pPr>
    <w:rPr>
      <w:rFonts w:asciiTheme="majorHAnsi" w:eastAsiaTheme="majorEastAsia" w:hAnsiTheme="majorHAnsi" w:cstheme="majorBidi"/>
      <w:b/>
      <w:bCs/>
      <w:color w:val="2E74B5"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FB7F4E"/>
  </w:style>
  <w:style w:type="character" w:customStyle="1" w:styleId="FootnoteTextChar">
    <w:name w:val="Footnote Text Char"/>
    <w:basedOn w:val="DefaultParagraphFont"/>
    <w:link w:val="FootnoteText"/>
    <w:uiPriority w:val="99"/>
    <w:rsid w:val="00FB7F4E"/>
    <w:rPr>
      <w:lang w:val="en-GB"/>
    </w:rPr>
  </w:style>
  <w:style w:type="character" w:styleId="FootnoteReference">
    <w:name w:val="footnote reference"/>
    <w:basedOn w:val="DefaultParagraphFont"/>
    <w:uiPriority w:val="99"/>
    <w:unhideWhenUsed/>
    <w:rsid w:val="00FB7F4E"/>
    <w:rPr>
      <w:vertAlign w:val="superscript"/>
    </w:rPr>
  </w:style>
  <w:style w:type="character" w:customStyle="1" w:styleId="Heading1Char">
    <w:name w:val="Heading 1 Char"/>
    <w:basedOn w:val="DefaultParagraphFont"/>
    <w:link w:val="Heading1"/>
    <w:uiPriority w:val="9"/>
    <w:rsid w:val="007C1054"/>
    <w:rPr>
      <w:rFonts w:asciiTheme="majorHAnsi" w:eastAsiaTheme="majorEastAsia" w:hAnsiTheme="majorHAnsi" w:cstheme="majorBidi"/>
      <w:b/>
      <w:bCs/>
      <w:color w:val="2E74B5" w:themeColor="accent1" w:themeShade="BF"/>
      <w:sz w:val="28"/>
      <w:szCs w:val="28"/>
      <w:lang w:bidi="en-US"/>
    </w:rPr>
  </w:style>
  <w:style w:type="character" w:styleId="Hyperlink">
    <w:name w:val="Hyperlink"/>
    <w:basedOn w:val="DefaultParagraphFont"/>
    <w:uiPriority w:val="99"/>
    <w:unhideWhenUsed/>
    <w:rsid w:val="003D7F7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avalon.law.yale.edu/ancient/hamframe.asp" TargetMode="External"/><Relationship Id="rId8" Type="http://schemas.openxmlformats.org/officeDocument/2006/relationships/hyperlink" Target="http://referenceworks.brillonline.com.ezproxy.uwtsd.ac.uk/entries/brill-s-new-pauly/hammurapi-e502470?s.num=2&amp;s.f.s2_parent=s.f.book.brill-s-new-pauly&amp;s.q=hammurabi"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09958E1-33BF-AD4A-B598-64D51681A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240</TotalTime>
  <Pages>4</Pages>
  <Words>1653</Words>
  <Characters>7922</Characters>
  <Application>Microsoft Macintosh Word</Application>
  <DocSecurity>0</DocSecurity>
  <Lines>198</Lines>
  <Paragraphs>59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9516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Kinnicutt</dc:creator>
  <cp:keywords/>
  <dc:description/>
  <cp:lastModifiedBy>Jordan Kinnicutt</cp:lastModifiedBy>
  <cp:revision>379</cp:revision>
  <dcterms:created xsi:type="dcterms:W3CDTF">2017-11-13T14:20:00Z</dcterms:created>
  <dcterms:modified xsi:type="dcterms:W3CDTF">2017-11-15T00:01:00Z</dcterms:modified>
</cp:coreProperties>
</file>